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58668">
      <w:pPr>
        <w:pStyle w:val="11"/>
        <w:keepNext w:val="0"/>
        <w:keepLines w:val="0"/>
        <w:widowControl/>
        <w:suppressLineNumbers w:val="0"/>
        <w:spacing w:before="0" w:beforeAutospacing="0" w:after="0" w:afterAutospacing="0"/>
        <w:ind w:left="0" w:right="0" w:firstLine="0"/>
        <w:jc w:val="both"/>
        <w:rPr>
          <w:rFonts w:hint="eastAsia" w:ascii="CESI宋体-GB2312" w:hAnsi="CESI宋体-GB2312" w:eastAsia="CESI宋体-GB2312" w:cs="CESI宋体-GB2312"/>
        </w:rPr>
      </w:pPr>
      <w:bookmarkStart w:id="1" w:name="_GoBack"/>
      <w:bookmarkEnd w:id="1"/>
      <w:bookmarkStart w:id="0" w:name="OLE_LINK9"/>
      <w:r>
        <w:rPr>
          <w:rFonts w:hint="eastAsia" w:ascii="CESI宋体-GB2312" w:hAnsi="CESI宋体-GB2312" w:eastAsia="CESI宋体-GB2312" w:cs="CESI宋体-GB2312"/>
          <w:b w:val="0"/>
          <w:bCs w:val="0"/>
          <w:sz w:val="24"/>
          <w:szCs w:val="24"/>
        </w:rPr>
        <w:t>合同编号：</w:t>
      </w:r>
      <w:r>
        <w:rPr>
          <w:rFonts w:hint="eastAsia" w:ascii="CESI宋体-GB2312" w:hAnsi="CESI宋体-GB2312" w:eastAsia="CESI宋体-GB2312" w:cs="CESI宋体-GB2312"/>
        </w:rPr>
        <w:t>市血采计〔202</w:t>
      </w:r>
      <w:r>
        <w:rPr>
          <w:rFonts w:hint="eastAsia" w:ascii="CESI宋体-GB2312" w:hAnsi="CESI宋体-GB2312" w:eastAsia="CESI宋体-GB2312" w:cs="CESI宋体-GB2312"/>
          <w:lang w:val="en-US" w:eastAsia="zh-CN"/>
        </w:rPr>
        <w:t>6</w:t>
      </w:r>
      <w:r>
        <w:rPr>
          <w:rFonts w:hint="eastAsia" w:ascii="CESI宋体-GB2312" w:hAnsi="CESI宋体-GB2312" w:eastAsia="CESI宋体-GB2312" w:cs="CESI宋体-GB2312"/>
        </w:rPr>
        <w:t>〕</w:t>
      </w:r>
      <w:r>
        <w:rPr>
          <w:rFonts w:hint="eastAsia" w:ascii="CESI宋体-GB2312" w:hAnsi="CESI宋体-GB2312" w:eastAsia="CESI宋体-GB2312" w:cs="CESI宋体-GB2312"/>
          <w:lang w:val="en-US" w:eastAsia="zh-CN"/>
        </w:rPr>
        <w:t xml:space="preserve">    </w:t>
      </w:r>
      <w:r>
        <w:rPr>
          <w:rFonts w:hint="eastAsia" w:ascii="CESI宋体-GB2312" w:hAnsi="CESI宋体-GB2312" w:eastAsia="CESI宋体-GB2312" w:cs="CESI宋体-GB2312"/>
        </w:rPr>
        <w:t>号</w:t>
      </w:r>
    </w:p>
    <w:p w14:paraId="55DE9B51">
      <w:pPr>
        <w:pStyle w:val="10"/>
        <w:tabs>
          <w:tab w:val="left" w:pos="720"/>
          <w:tab w:val="center" w:pos="4320"/>
          <w:tab w:val="right" w:pos="8640"/>
          <w:tab w:val="clear" w:pos="4153"/>
          <w:tab w:val="clear" w:pos="8306"/>
        </w:tabs>
        <w:jc w:val="left"/>
        <w:rPr>
          <w:rFonts w:hint="eastAsia" w:ascii="CESI宋体-GB2312" w:hAnsi="CESI宋体-GB2312" w:eastAsia="CESI宋体-GB2312" w:cs="CESI宋体-GB2312"/>
          <w:b w:val="0"/>
          <w:sz w:val="24"/>
          <w:szCs w:val="24"/>
          <w:lang w:eastAsia="zh-CN"/>
        </w:rPr>
      </w:pPr>
    </w:p>
    <w:p w14:paraId="2F5F8A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小标宋简体" w:hAnsi="Calibri" w:eastAsia="方正小标宋简体" w:cs="Times New Roman"/>
          <w:sz w:val="36"/>
          <w:szCs w:val="36"/>
          <w:lang w:val="en-US" w:eastAsia="zh-CN"/>
        </w:rPr>
      </w:pPr>
      <w:r>
        <w:rPr>
          <w:rFonts w:hint="eastAsia" w:ascii="方正小标宋简体" w:hAnsi="Calibri" w:eastAsia="方正小标宋简体" w:cs="Times New Roman"/>
          <w:color w:val="auto"/>
          <w:sz w:val="36"/>
          <w:szCs w:val="36"/>
          <w:lang w:val="en-US" w:eastAsia="zh-CN"/>
        </w:rPr>
        <w:t>2026年</w:t>
      </w:r>
      <w:r>
        <w:rPr>
          <w:rFonts w:hint="eastAsia" w:ascii="方正小标宋简体" w:hAnsi="Calibri" w:eastAsia="方正小标宋简体" w:cs="Times New Roman"/>
          <w:color w:val="0000FF"/>
          <w:sz w:val="36"/>
          <w:szCs w:val="36"/>
          <w:lang w:val="en-US" w:eastAsia="zh-CN"/>
        </w:rPr>
        <w:t>XXX</w:t>
      </w:r>
      <w:r>
        <w:rPr>
          <w:rFonts w:hint="eastAsia" w:ascii="方正小标宋简体" w:hAnsi="Calibri" w:eastAsia="方正小标宋简体" w:cs="Times New Roman"/>
          <w:color w:val="auto"/>
          <w:sz w:val="36"/>
          <w:szCs w:val="36"/>
          <w:lang w:val="en-US" w:eastAsia="zh-CN"/>
        </w:rPr>
        <w:t>项目第</w:t>
      </w:r>
      <w:r>
        <w:rPr>
          <w:rFonts w:hint="eastAsia" w:ascii="方正小标宋简体" w:hAnsi="Calibri" w:eastAsia="方正小标宋简体" w:cs="Times New Roman"/>
          <w:color w:val="0000FF"/>
          <w:sz w:val="36"/>
          <w:szCs w:val="36"/>
          <w:lang w:val="en-US" w:eastAsia="zh-CN"/>
        </w:rPr>
        <w:t>X</w:t>
      </w:r>
      <w:r>
        <w:rPr>
          <w:rFonts w:hint="eastAsia" w:ascii="方正小标宋简体" w:hAnsi="Calibri" w:eastAsia="方正小标宋简体" w:cs="Times New Roman"/>
          <w:color w:val="auto"/>
          <w:sz w:val="36"/>
          <w:szCs w:val="36"/>
          <w:lang w:val="en-US" w:eastAsia="zh-CN"/>
        </w:rPr>
        <w:t>包</w:t>
      </w:r>
    </w:p>
    <w:p w14:paraId="31E0230F">
      <w:pPr>
        <w:jc w:val="center"/>
        <w:rPr>
          <w:rFonts w:hint="eastAsia" w:ascii="方正小标宋简体" w:eastAsia="方正小标宋简体"/>
          <w:sz w:val="36"/>
          <w:szCs w:val="36"/>
        </w:rPr>
      </w:pPr>
      <w:r>
        <w:rPr>
          <w:rFonts w:hint="eastAsia" w:ascii="方正小标宋简体" w:eastAsia="方正小标宋简体"/>
          <w:sz w:val="36"/>
          <w:szCs w:val="36"/>
          <w:lang w:eastAsia="zh-CN"/>
        </w:rPr>
        <w:t>政府采购</w:t>
      </w:r>
      <w:r>
        <w:rPr>
          <w:rFonts w:hint="eastAsia" w:ascii="方正小标宋简体" w:eastAsia="方正小标宋简体"/>
          <w:sz w:val="36"/>
          <w:szCs w:val="36"/>
        </w:rPr>
        <w:t>合同</w:t>
      </w:r>
    </w:p>
    <w:p w14:paraId="1C062B2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sz w:val="24"/>
          <w:szCs w:val="24"/>
        </w:rPr>
      </w:pPr>
    </w:p>
    <w:p w14:paraId="7E86FAD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甲方：西安市中心血站</w:t>
      </w:r>
    </w:p>
    <w:p w14:paraId="19B9A8FC">
      <w:pPr>
        <w:spacing w:line="360" w:lineRule="exact"/>
        <w:ind w:firstLine="480" w:firstLineChars="200"/>
        <w:jc w:val="left"/>
        <w:rPr>
          <w:rFonts w:hint="eastAsia" w:ascii="CESI宋体-GB2312" w:hAnsi="CESI宋体-GB2312" w:eastAsia="CESI宋体-GB2312" w:cs="CESI宋体-GB2312"/>
          <w:b w:val="0"/>
          <w:bCs w:val="0"/>
          <w:sz w:val="24"/>
          <w:szCs w:val="24"/>
        </w:rPr>
      </w:pPr>
      <w:r>
        <w:rPr>
          <w:rFonts w:hint="eastAsia" w:ascii="CESI宋体-GB2312" w:hAnsi="CESI宋体-GB2312" w:eastAsia="CESI宋体-GB2312" w:cs="CESI宋体-GB2312"/>
          <w:b w:val="0"/>
          <w:bCs w:val="0"/>
          <w:sz w:val="24"/>
          <w:szCs w:val="24"/>
        </w:rPr>
        <w:t>住所地：陕西省西安市雁塔区朱雀大街407号</w:t>
      </w:r>
    </w:p>
    <w:p w14:paraId="0B35547F">
      <w:pPr>
        <w:spacing w:line="360" w:lineRule="exact"/>
        <w:ind w:firstLine="480" w:firstLineChars="200"/>
        <w:jc w:val="left"/>
        <w:rPr>
          <w:rFonts w:hint="eastAsia" w:ascii="CESI宋体-GB2312" w:hAnsi="CESI宋体-GB2312" w:eastAsia="CESI宋体-GB2312" w:cs="CESI宋体-GB2312"/>
          <w:b w:val="0"/>
          <w:bCs w:val="0"/>
          <w:sz w:val="24"/>
          <w:szCs w:val="24"/>
        </w:rPr>
      </w:pPr>
      <w:r>
        <w:rPr>
          <w:rFonts w:hint="eastAsia" w:ascii="CESI宋体-GB2312" w:hAnsi="CESI宋体-GB2312" w:eastAsia="CESI宋体-GB2312" w:cs="CESI宋体-GB2312"/>
          <w:b w:val="0"/>
          <w:bCs w:val="0"/>
          <w:sz w:val="24"/>
          <w:szCs w:val="24"/>
        </w:rPr>
        <w:t>统一社会信用代码：</w:t>
      </w:r>
      <w:r>
        <w:rPr>
          <w:rFonts w:hint="eastAsia" w:ascii="CESI宋体-GB2312" w:hAnsi="CESI宋体-GB2312" w:eastAsia="CESI宋体-GB2312" w:cs="CESI宋体-GB2312"/>
          <w:sz w:val="24"/>
          <w:szCs w:val="24"/>
          <w:lang w:val="en-US" w:eastAsia="zh-CN"/>
        </w:rPr>
        <w:t>126101004372030973</w:t>
      </w:r>
    </w:p>
    <w:p w14:paraId="0A7ED212">
      <w:pPr>
        <w:spacing w:line="360" w:lineRule="exact"/>
        <w:ind w:firstLine="480" w:firstLineChars="200"/>
        <w:jc w:val="left"/>
        <w:rPr>
          <w:rFonts w:hint="eastAsia" w:ascii="CESI宋体-GB2312" w:hAnsi="CESI宋体-GB2312" w:eastAsia="CESI宋体-GB2312" w:cs="CESI宋体-GB2312"/>
          <w:b w:val="0"/>
          <w:bCs w:val="0"/>
          <w:sz w:val="24"/>
          <w:szCs w:val="24"/>
          <w:lang w:val="en-US" w:eastAsia="zh-CN"/>
        </w:rPr>
      </w:pPr>
      <w:r>
        <w:rPr>
          <w:rFonts w:hint="eastAsia" w:ascii="CESI宋体-GB2312" w:hAnsi="CESI宋体-GB2312" w:eastAsia="CESI宋体-GB2312" w:cs="CESI宋体-GB2312"/>
          <w:b w:val="0"/>
          <w:bCs w:val="0"/>
          <w:sz w:val="24"/>
          <w:szCs w:val="24"/>
        </w:rPr>
        <w:t>联系方式：029-852</w:t>
      </w:r>
      <w:r>
        <w:rPr>
          <w:rFonts w:hint="eastAsia" w:ascii="CESI宋体-GB2312" w:hAnsi="CESI宋体-GB2312" w:eastAsia="CESI宋体-GB2312" w:cs="CESI宋体-GB2312"/>
          <w:b w:val="0"/>
          <w:bCs w:val="0"/>
          <w:sz w:val="24"/>
          <w:szCs w:val="24"/>
          <w:lang w:val="en-US" w:eastAsia="zh-CN"/>
        </w:rPr>
        <w:t>12746</w:t>
      </w:r>
    </w:p>
    <w:p w14:paraId="79E9D4C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CESI宋体-GB2312" w:hAnsi="CESI宋体-GB2312" w:eastAsia="CESI宋体-GB2312" w:cs="CESI宋体-GB2312"/>
          <w:sz w:val="24"/>
          <w:szCs w:val="24"/>
        </w:rPr>
      </w:pPr>
    </w:p>
    <w:p w14:paraId="72E65C4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eastAsia="zh-CN"/>
        </w:rPr>
      </w:pPr>
      <w:r>
        <w:rPr>
          <w:rFonts w:hint="eastAsia" w:ascii="CESI宋体-GB2312" w:hAnsi="CESI宋体-GB2312" w:eastAsia="CESI宋体-GB2312" w:cs="CESI宋体-GB2312"/>
          <w:sz w:val="24"/>
          <w:szCs w:val="24"/>
          <w:lang w:eastAsia="zh-CN"/>
        </w:rPr>
        <w:t>乙方：</w:t>
      </w:r>
    </w:p>
    <w:p w14:paraId="1CE3090D">
      <w:pPr>
        <w:spacing w:line="360" w:lineRule="exact"/>
        <w:ind w:firstLine="480" w:firstLineChars="200"/>
        <w:jc w:val="left"/>
        <w:rPr>
          <w:rFonts w:hint="eastAsia" w:ascii="CESI宋体-GB2312" w:hAnsi="CESI宋体-GB2312" w:eastAsia="CESI宋体-GB2312" w:cs="CESI宋体-GB2312"/>
          <w:b w:val="0"/>
          <w:bCs w:val="0"/>
          <w:sz w:val="24"/>
          <w:szCs w:val="24"/>
          <w:lang w:eastAsia="zh-CN"/>
        </w:rPr>
      </w:pPr>
      <w:r>
        <w:rPr>
          <w:rFonts w:hint="eastAsia" w:ascii="CESI宋体-GB2312" w:hAnsi="CESI宋体-GB2312" w:eastAsia="CESI宋体-GB2312" w:cs="CESI宋体-GB2312"/>
          <w:b w:val="0"/>
          <w:bCs w:val="0"/>
          <w:sz w:val="24"/>
          <w:szCs w:val="24"/>
        </w:rPr>
        <w:t>住所地：</w:t>
      </w:r>
    </w:p>
    <w:p w14:paraId="7A2B92CF">
      <w:pPr>
        <w:spacing w:line="360" w:lineRule="exact"/>
        <w:ind w:firstLine="480" w:firstLineChars="200"/>
        <w:jc w:val="left"/>
        <w:rPr>
          <w:rFonts w:hint="eastAsia" w:ascii="CESI宋体-GB2312" w:hAnsi="CESI宋体-GB2312" w:eastAsia="CESI宋体-GB2312" w:cs="CESI宋体-GB2312"/>
          <w:b w:val="0"/>
          <w:bCs w:val="0"/>
          <w:sz w:val="24"/>
          <w:szCs w:val="24"/>
        </w:rPr>
      </w:pPr>
      <w:r>
        <w:rPr>
          <w:rFonts w:hint="eastAsia" w:ascii="CESI宋体-GB2312" w:hAnsi="CESI宋体-GB2312" w:eastAsia="CESI宋体-GB2312" w:cs="CESI宋体-GB2312"/>
          <w:b w:val="0"/>
          <w:bCs w:val="0"/>
          <w:sz w:val="24"/>
          <w:szCs w:val="24"/>
        </w:rPr>
        <w:t>统一社会信用代码：</w:t>
      </w:r>
    </w:p>
    <w:p w14:paraId="2C413230">
      <w:pPr>
        <w:spacing w:line="360" w:lineRule="exact"/>
        <w:ind w:firstLine="480" w:firstLineChars="200"/>
        <w:jc w:val="left"/>
        <w:rPr>
          <w:rFonts w:hint="eastAsia" w:ascii="CESI宋体-GB2312" w:hAnsi="CESI宋体-GB2312" w:eastAsia="CESI宋体-GB2312" w:cs="CESI宋体-GB2312"/>
          <w:b w:val="0"/>
          <w:bCs w:val="0"/>
          <w:sz w:val="24"/>
          <w:szCs w:val="24"/>
          <w:lang w:eastAsia="zh-CN"/>
        </w:rPr>
      </w:pPr>
      <w:r>
        <w:rPr>
          <w:rFonts w:hint="eastAsia" w:ascii="CESI宋体-GB2312" w:hAnsi="CESI宋体-GB2312" w:eastAsia="CESI宋体-GB2312" w:cs="CESI宋体-GB2312"/>
          <w:b w:val="0"/>
          <w:bCs w:val="0"/>
          <w:sz w:val="24"/>
          <w:szCs w:val="24"/>
        </w:rPr>
        <w:t>联系方式：</w:t>
      </w:r>
    </w:p>
    <w:p w14:paraId="19DC223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p>
    <w:p w14:paraId="6E8D3BC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val="en-US"/>
        </w:rPr>
      </w:pPr>
      <w:r>
        <w:rPr>
          <w:rFonts w:hint="eastAsia" w:ascii="CESI宋体-GB2312" w:hAnsi="CESI宋体-GB2312" w:eastAsia="CESI宋体-GB2312" w:cs="CESI宋体-GB2312"/>
          <w:color w:val="auto"/>
          <w:sz w:val="24"/>
          <w:szCs w:val="24"/>
          <w:lang w:val="en-US" w:eastAsia="zh-CN"/>
        </w:rPr>
        <w:t>依据</w:t>
      </w:r>
      <w:r>
        <w:rPr>
          <w:rFonts w:hint="eastAsia" w:ascii="CESI宋体-GB2312" w:hAnsi="CESI宋体-GB2312" w:eastAsia="CESI宋体-GB2312" w:cs="CESI宋体-GB2312"/>
          <w:color w:val="auto"/>
          <w:sz w:val="24"/>
          <w:szCs w:val="24"/>
        </w:rPr>
        <w:t>《中华人民共和国政府采购法》、《中华人民共和国民法典》</w:t>
      </w:r>
      <w:r>
        <w:rPr>
          <w:rFonts w:hint="eastAsia" w:ascii="CESI宋体-GB2312" w:hAnsi="CESI宋体-GB2312" w:eastAsia="CESI宋体-GB2312" w:cs="CESI宋体-GB2312"/>
          <w:color w:val="auto"/>
          <w:sz w:val="24"/>
          <w:szCs w:val="24"/>
          <w:lang w:val="en-US" w:eastAsia="zh-CN"/>
        </w:rPr>
        <w:t>的规定，</w:t>
      </w:r>
      <w:r>
        <w:rPr>
          <w:rFonts w:hint="eastAsia" w:ascii="CESI宋体-GB2312" w:hAnsi="CESI宋体-GB2312" w:eastAsia="CESI宋体-GB2312" w:cs="CESI宋体-GB2312"/>
          <w:sz w:val="24"/>
          <w:szCs w:val="24"/>
          <w:lang w:eastAsia="zh-CN"/>
        </w:rPr>
        <w:t>按照政府采购程序就甲方所需组织</w:t>
      </w:r>
      <w:r>
        <w:rPr>
          <w:rFonts w:hint="eastAsia" w:ascii="CESI宋体-GB2312" w:hAnsi="CESI宋体-GB2312" w:eastAsia="CESI宋体-GB2312" w:cs="CESI宋体-GB2312"/>
          <w:color w:val="auto"/>
          <w:sz w:val="24"/>
          <w:szCs w:val="24"/>
          <w:lang w:eastAsia="zh-CN"/>
        </w:rPr>
        <w:t>采购工作</w:t>
      </w:r>
      <w:r>
        <w:rPr>
          <w:rFonts w:hint="eastAsia" w:ascii="CESI宋体-GB2312" w:hAnsi="CESI宋体-GB2312" w:eastAsia="CESI宋体-GB2312" w:cs="CESI宋体-GB2312"/>
          <w:sz w:val="24"/>
          <w:szCs w:val="24"/>
          <w:lang w:eastAsia="zh-CN"/>
        </w:rPr>
        <w:t>，确定乙方为</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lang w:val="en-US" w:eastAsia="zh-CN"/>
        </w:rPr>
        <w:t>项目（项目编号：</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lang w:val="en-US" w:eastAsia="zh-CN"/>
        </w:rPr>
        <w:t>）第</w:t>
      </w:r>
      <w:r>
        <w:rPr>
          <w:rFonts w:hint="eastAsia" w:ascii="CESI宋体-GB2312" w:hAnsi="CESI宋体-GB2312" w:eastAsia="CESI宋体-GB2312" w:cs="CESI宋体-GB2312"/>
          <w:color w:val="0000FF"/>
          <w:sz w:val="24"/>
          <w:szCs w:val="24"/>
          <w:lang w:val="en-US" w:eastAsia="zh-CN"/>
        </w:rPr>
        <w:t>X</w:t>
      </w:r>
      <w:r>
        <w:rPr>
          <w:rFonts w:hint="eastAsia" w:ascii="CESI宋体-GB2312" w:hAnsi="CESI宋体-GB2312" w:eastAsia="CESI宋体-GB2312" w:cs="CESI宋体-GB2312"/>
          <w:color w:val="auto"/>
          <w:sz w:val="24"/>
          <w:szCs w:val="24"/>
          <w:lang w:val="en-US" w:eastAsia="zh-CN"/>
        </w:rPr>
        <w:t>包的成交供应商。经甲、乙双方协商，达成如下合同条款。</w:t>
      </w:r>
    </w:p>
    <w:p w14:paraId="2C974B05">
      <w:pPr>
        <w:spacing w:line="360" w:lineRule="exact"/>
        <w:ind w:firstLine="472" w:firstLineChars="196"/>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b/>
          <w:bCs/>
          <w:sz w:val="24"/>
          <w:szCs w:val="24"/>
          <w:lang w:val="zh-CN"/>
        </w:rPr>
        <w:t>一、合同标的</w:t>
      </w:r>
    </w:p>
    <w:tbl>
      <w:tblPr>
        <w:tblStyle w:val="12"/>
        <w:tblW w:w="8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1630"/>
        <w:gridCol w:w="1422"/>
        <w:gridCol w:w="1112"/>
        <w:gridCol w:w="1027"/>
        <w:gridCol w:w="845"/>
        <w:gridCol w:w="892"/>
        <w:gridCol w:w="1140"/>
      </w:tblGrid>
      <w:tr w14:paraId="2F49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27" w:type="dxa"/>
            <w:tcBorders>
              <w:top w:val="single" w:color="auto" w:sz="4" w:space="0"/>
              <w:left w:val="single" w:color="auto" w:sz="4" w:space="0"/>
              <w:bottom w:val="single" w:color="auto" w:sz="4" w:space="0"/>
              <w:right w:val="single" w:color="auto" w:sz="4" w:space="0"/>
            </w:tcBorders>
            <w:vAlign w:val="center"/>
          </w:tcPr>
          <w:p w14:paraId="66FE377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lang w:eastAsia="zh-CN"/>
              </w:rPr>
            </w:pPr>
            <w:r>
              <w:rPr>
                <w:rFonts w:ascii="CESI宋体-GB2312" w:hAnsi="CESI宋体-GB2312" w:eastAsia="CESI宋体-GB2312" w:cs="CESI宋体-GB2312"/>
                <w:sz w:val="24"/>
                <w:szCs w:val="24"/>
                <w:lang w:eastAsia="zh-CN"/>
              </w:rPr>
              <w:t>序号</w:t>
            </w:r>
          </w:p>
        </w:tc>
        <w:tc>
          <w:tcPr>
            <w:tcW w:w="1630" w:type="dxa"/>
            <w:tcBorders>
              <w:top w:val="single" w:color="auto" w:sz="4" w:space="0"/>
              <w:left w:val="single" w:color="auto" w:sz="4" w:space="0"/>
              <w:bottom w:val="single" w:color="auto" w:sz="4" w:space="0"/>
              <w:right w:val="single" w:color="auto" w:sz="4" w:space="0"/>
            </w:tcBorders>
            <w:vAlign w:val="center"/>
          </w:tcPr>
          <w:p w14:paraId="21A5664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color w:val="auto"/>
                <w:sz w:val="24"/>
                <w:szCs w:val="24"/>
              </w:rPr>
              <w:t>物品名称</w:t>
            </w:r>
          </w:p>
        </w:tc>
        <w:tc>
          <w:tcPr>
            <w:tcW w:w="1422" w:type="dxa"/>
            <w:tcBorders>
              <w:top w:val="single" w:color="auto" w:sz="4" w:space="0"/>
              <w:left w:val="single" w:color="auto" w:sz="4" w:space="0"/>
              <w:bottom w:val="single" w:color="auto" w:sz="4" w:space="0"/>
              <w:right w:val="single" w:color="auto" w:sz="4" w:space="0"/>
            </w:tcBorders>
            <w:vAlign w:val="center"/>
          </w:tcPr>
          <w:p w14:paraId="38EA66F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ascii="CESI宋体-GB2312" w:hAnsi="CESI宋体-GB2312" w:eastAsia="CESI宋体-GB2312" w:cs="CESI宋体-GB2312"/>
                <w:sz w:val="24"/>
                <w:szCs w:val="24"/>
              </w:rPr>
              <w:t>商品名称</w:t>
            </w:r>
          </w:p>
        </w:tc>
        <w:tc>
          <w:tcPr>
            <w:tcW w:w="1112" w:type="dxa"/>
            <w:tcBorders>
              <w:top w:val="single" w:color="auto" w:sz="4" w:space="0"/>
              <w:left w:val="single" w:color="auto" w:sz="4" w:space="0"/>
              <w:bottom w:val="single" w:color="auto" w:sz="4" w:space="0"/>
              <w:right w:val="single" w:color="auto" w:sz="4" w:space="0"/>
            </w:tcBorders>
            <w:vAlign w:val="center"/>
          </w:tcPr>
          <w:p w14:paraId="47926049">
            <w:pPr>
              <w:keepNext w:val="0"/>
              <w:keepLines w:val="0"/>
              <w:pageBreakBefore w:val="0"/>
              <w:widowControl w:val="0"/>
              <w:kinsoku/>
              <w:wordWrap/>
              <w:overflowPunct/>
              <w:topLinePunct w:val="0"/>
              <w:autoSpaceDE/>
              <w:autoSpaceDN/>
              <w:adjustRightInd/>
              <w:snapToGrid/>
              <w:spacing w:line="360" w:lineRule="exact"/>
              <w:rPr>
                <w:rFonts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制造厂商</w:t>
            </w:r>
          </w:p>
        </w:tc>
        <w:tc>
          <w:tcPr>
            <w:tcW w:w="1027" w:type="dxa"/>
            <w:tcBorders>
              <w:top w:val="single" w:color="auto" w:sz="4" w:space="0"/>
              <w:left w:val="single" w:color="auto" w:sz="4" w:space="0"/>
              <w:bottom w:val="single" w:color="auto" w:sz="4" w:space="0"/>
              <w:right w:val="single" w:color="auto" w:sz="4" w:space="0"/>
            </w:tcBorders>
            <w:vAlign w:val="center"/>
          </w:tcPr>
          <w:p w14:paraId="1F5D5EF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规格</w:t>
            </w:r>
          </w:p>
        </w:tc>
        <w:tc>
          <w:tcPr>
            <w:tcW w:w="845" w:type="dxa"/>
            <w:tcBorders>
              <w:top w:val="single" w:color="auto" w:sz="4" w:space="0"/>
              <w:left w:val="single" w:color="auto" w:sz="4" w:space="0"/>
              <w:right w:val="single" w:color="auto" w:sz="4" w:space="0"/>
            </w:tcBorders>
            <w:vAlign w:val="center"/>
          </w:tcPr>
          <w:p w14:paraId="13EF4E3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单价（元）</w:t>
            </w:r>
          </w:p>
        </w:tc>
        <w:tc>
          <w:tcPr>
            <w:tcW w:w="892" w:type="dxa"/>
            <w:tcBorders>
              <w:top w:val="single" w:color="auto" w:sz="4" w:space="0"/>
              <w:left w:val="single" w:color="auto" w:sz="4" w:space="0"/>
              <w:right w:val="single" w:color="auto" w:sz="4" w:space="0"/>
            </w:tcBorders>
            <w:vAlign w:val="center"/>
          </w:tcPr>
          <w:p w14:paraId="336617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数量（</w:t>
            </w:r>
            <w:r>
              <w:rPr>
                <w:rFonts w:hint="eastAsia" w:ascii="CESI宋体-GB2312" w:hAnsi="CESI宋体-GB2312" w:eastAsia="CESI宋体-GB2312" w:cs="CESI宋体-GB2312"/>
                <w:sz w:val="24"/>
                <w:szCs w:val="24"/>
                <w:lang w:val="en-US" w:eastAsia="zh-CN"/>
              </w:rPr>
              <w:t xml:space="preserve"> </w:t>
            </w:r>
            <w:r>
              <w:rPr>
                <w:rFonts w:hint="eastAsia" w:ascii="CESI宋体-GB2312" w:hAnsi="CESI宋体-GB2312" w:eastAsia="CESI宋体-GB2312" w:cs="CESI宋体-GB2312"/>
                <w:sz w:val="24"/>
                <w:szCs w:val="24"/>
              </w:rPr>
              <w:t>）</w:t>
            </w:r>
          </w:p>
        </w:tc>
        <w:tc>
          <w:tcPr>
            <w:tcW w:w="1140" w:type="dxa"/>
            <w:tcBorders>
              <w:top w:val="single" w:color="auto" w:sz="4" w:space="0"/>
              <w:left w:val="single" w:color="auto" w:sz="4" w:space="0"/>
              <w:bottom w:val="single" w:color="auto" w:sz="4" w:space="0"/>
              <w:right w:val="single" w:color="auto" w:sz="4" w:space="0"/>
            </w:tcBorders>
            <w:vAlign w:val="center"/>
          </w:tcPr>
          <w:p w14:paraId="5AAC35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合计（元）</w:t>
            </w:r>
          </w:p>
        </w:tc>
      </w:tr>
      <w:tr w14:paraId="53EBE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679E720D">
            <w:pPr>
              <w:spacing w:line="360" w:lineRule="exact"/>
              <w:jc w:val="both"/>
              <w:rPr>
                <w:rFonts w:hint="eastAsia" w:ascii="CESI宋体-GB2312" w:hAnsi="CESI宋体-GB2312" w:eastAsia="CESI宋体-GB2312" w:cs="CESI宋体-GB2312"/>
                <w:color w:val="0000FF"/>
                <w:sz w:val="24"/>
                <w:szCs w:val="24"/>
              </w:rPr>
            </w:pPr>
          </w:p>
        </w:tc>
        <w:tc>
          <w:tcPr>
            <w:tcW w:w="1630" w:type="dxa"/>
            <w:tcBorders>
              <w:top w:val="single" w:color="auto" w:sz="4" w:space="0"/>
              <w:left w:val="single" w:color="auto" w:sz="4" w:space="0"/>
              <w:bottom w:val="single" w:color="auto" w:sz="4" w:space="0"/>
              <w:right w:val="single" w:color="auto" w:sz="4" w:space="0"/>
            </w:tcBorders>
            <w:vAlign w:val="center"/>
          </w:tcPr>
          <w:p w14:paraId="22771481">
            <w:pPr>
              <w:spacing w:line="360" w:lineRule="exact"/>
              <w:jc w:val="both"/>
              <w:rPr>
                <w:rFonts w:hint="eastAsia" w:ascii="CESI宋体-GB2312" w:hAnsi="CESI宋体-GB2312" w:eastAsia="CESI宋体-GB2312" w:cs="CESI宋体-GB2312"/>
                <w:color w:val="0000FF"/>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227C95F6">
            <w:pPr>
              <w:spacing w:line="360" w:lineRule="exact"/>
              <w:jc w:val="both"/>
              <w:rPr>
                <w:rFonts w:hint="eastAsia" w:ascii="CESI宋体-GB2312" w:hAnsi="CESI宋体-GB2312" w:eastAsia="CESI宋体-GB2312" w:cs="CESI宋体-GB2312"/>
                <w:color w:val="0000FF"/>
                <w:sz w:val="24"/>
                <w:szCs w:val="24"/>
              </w:rPr>
            </w:pPr>
          </w:p>
        </w:tc>
        <w:tc>
          <w:tcPr>
            <w:tcW w:w="1112" w:type="dxa"/>
            <w:tcBorders>
              <w:top w:val="single" w:color="auto" w:sz="4" w:space="0"/>
              <w:left w:val="single" w:color="auto" w:sz="4" w:space="0"/>
              <w:bottom w:val="single" w:color="auto" w:sz="4" w:space="0"/>
              <w:right w:val="single" w:color="auto" w:sz="4" w:space="0"/>
            </w:tcBorders>
          </w:tcPr>
          <w:p w14:paraId="10369C6E">
            <w:pPr>
              <w:spacing w:line="360" w:lineRule="exact"/>
              <w:jc w:val="both"/>
              <w:rPr>
                <w:rFonts w:ascii="CESI宋体-GB2312" w:hAnsi="CESI宋体-GB2312" w:eastAsia="CESI宋体-GB2312" w:cs="CESI宋体-GB2312"/>
                <w:color w:val="0000FF"/>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18FBA520">
            <w:pPr>
              <w:spacing w:line="360" w:lineRule="exact"/>
              <w:jc w:val="both"/>
              <w:rPr>
                <w:rFonts w:hint="eastAsia" w:ascii="CESI宋体-GB2312" w:hAnsi="CESI宋体-GB2312" w:eastAsia="CESI宋体-GB2312" w:cs="CESI宋体-GB2312"/>
                <w:color w:val="0000FF"/>
                <w:sz w:val="24"/>
                <w:szCs w:val="24"/>
              </w:rPr>
            </w:pPr>
          </w:p>
        </w:tc>
        <w:tc>
          <w:tcPr>
            <w:tcW w:w="845" w:type="dxa"/>
            <w:tcBorders>
              <w:left w:val="single" w:color="auto" w:sz="4" w:space="0"/>
              <w:right w:val="single" w:color="auto" w:sz="4" w:space="0"/>
            </w:tcBorders>
            <w:vAlign w:val="center"/>
          </w:tcPr>
          <w:p w14:paraId="32EB7E10">
            <w:pPr>
              <w:spacing w:line="360" w:lineRule="exact"/>
              <w:jc w:val="both"/>
              <w:rPr>
                <w:rFonts w:hint="eastAsia" w:ascii="CESI宋体-GB2312" w:hAnsi="CESI宋体-GB2312" w:eastAsia="CESI宋体-GB2312" w:cs="CESI宋体-GB2312"/>
                <w:color w:val="0000FF"/>
                <w:sz w:val="24"/>
                <w:szCs w:val="24"/>
              </w:rPr>
            </w:pPr>
          </w:p>
        </w:tc>
        <w:tc>
          <w:tcPr>
            <w:tcW w:w="892" w:type="dxa"/>
            <w:tcBorders>
              <w:left w:val="single" w:color="auto" w:sz="4" w:space="0"/>
              <w:right w:val="single" w:color="auto" w:sz="4" w:space="0"/>
            </w:tcBorders>
            <w:vAlign w:val="center"/>
          </w:tcPr>
          <w:p w14:paraId="5B620FCE">
            <w:pPr>
              <w:spacing w:line="360" w:lineRule="exact"/>
              <w:jc w:val="both"/>
              <w:rPr>
                <w:rFonts w:hint="eastAsia" w:ascii="CESI宋体-GB2312" w:hAnsi="CESI宋体-GB2312" w:eastAsia="CESI宋体-GB2312" w:cs="CESI宋体-GB2312"/>
                <w:color w:val="0000FF"/>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2D1C4E5B">
            <w:pPr>
              <w:spacing w:line="360" w:lineRule="exact"/>
              <w:jc w:val="both"/>
              <w:rPr>
                <w:rFonts w:hint="eastAsia" w:ascii="CESI宋体-GB2312" w:hAnsi="CESI宋体-GB2312" w:eastAsia="CESI宋体-GB2312" w:cs="CESI宋体-GB2312"/>
                <w:color w:val="0000FF"/>
                <w:sz w:val="24"/>
                <w:szCs w:val="24"/>
              </w:rPr>
            </w:pPr>
          </w:p>
        </w:tc>
      </w:tr>
      <w:tr w14:paraId="364D7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0AB36063">
            <w:pPr>
              <w:spacing w:line="360" w:lineRule="exact"/>
              <w:jc w:val="both"/>
              <w:rPr>
                <w:rFonts w:hint="eastAsia" w:ascii="CESI宋体-GB2312" w:hAnsi="CESI宋体-GB2312" w:eastAsia="CESI宋体-GB2312" w:cs="CESI宋体-GB2312"/>
                <w:color w:val="0000FF"/>
                <w:sz w:val="24"/>
                <w:szCs w:val="24"/>
                <w:lang w:val="en-US" w:eastAsia="zh-CN"/>
              </w:rPr>
            </w:pPr>
          </w:p>
        </w:tc>
        <w:tc>
          <w:tcPr>
            <w:tcW w:w="1630" w:type="dxa"/>
            <w:tcBorders>
              <w:top w:val="single" w:color="auto" w:sz="4" w:space="0"/>
              <w:left w:val="single" w:color="auto" w:sz="4" w:space="0"/>
              <w:bottom w:val="single" w:color="auto" w:sz="4" w:space="0"/>
              <w:right w:val="single" w:color="auto" w:sz="4" w:space="0"/>
            </w:tcBorders>
            <w:vAlign w:val="center"/>
          </w:tcPr>
          <w:p w14:paraId="37AD7240">
            <w:pPr>
              <w:spacing w:line="360" w:lineRule="exact"/>
              <w:jc w:val="both"/>
              <w:rPr>
                <w:rFonts w:hint="eastAsia" w:ascii="CESI宋体-GB2312" w:hAnsi="CESI宋体-GB2312" w:eastAsia="CESI宋体-GB2312" w:cs="CESI宋体-GB2312"/>
                <w:color w:val="0000FF"/>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66A4C69C">
            <w:pPr>
              <w:spacing w:line="360" w:lineRule="exact"/>
              <w:jc w:val="both"/>
              <w:rPr>
                <w:rFonts w:hint="eastAsia" w:ascii="CESI宋体-GB2312" w:hAnsi="CESI宋体-GB2312" w:eastAsia="CESI宋体-GB2312" w:cs="CESI宋体-GB2312"/>
                <w:color w:val="0000FF"/>
                <w:sz w:val="24"/>
                <w:szCs w:val="24"/>
              </w:rPr>
            </w:pPr>
          </w:p>
        </w:tc>
        <w:tc>
          <w:tcPr>
            <w:tcW w:w="1112" w:type="dxa"/>
            <w:tcBorders>
              <w:top w:val="single" w:color="auto" w:sz="4" w:space="0"/>
              <w:left w:val="single" w:color="auto" w:sz="4" w:space="0"/>
              <w:bottom w:val="single" w:color="auto" w:sz="4" w:space="0"/>
              <w:right w:val="single" w:color="auto" w:sz="4" w:space="0"/>
            </w:tcBorders>
          </w:tcPr>
          <w:p w14:paraId="32803B8D">
            <w:pPr>
              <w:spacing w:line="360" w:lineRule="exact"/>
              <w:jc w:val="both"/>
              <w:rPr>
                <w:rFonts w:ascii="CESI宋体-GB2312" w:hAnsi="CESI宋体-GB2312" w:eastAsia="CESI宋体-GB2312" w:cs="CESI宋体-GB2312"/>
                <w:color w:val="0000FF"/>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1F813A3E">
            <w:pPr>
              <w:spacing w:line="360" w:lineRule="exact"/>
              <w:jc w:val="both"/>
              <w:rPr>
                <w:rFonts w:hint="eastAsia" w:ascii="CESI宋体-GB2312" w:hAnsi="CESI宋体-GB2312" w:eastAsia="CESI宋体-GB2312" w:cs="CESI宋体-GB2312"/>
                <w:color w:val="0000FF"/>
                <w:sz w:val="24"/>
                <w:szCs w:val="24"/>
              </w:rPr>
            </w:pPr>
          </w:p>
        </w:tc>
        <w:tc>
          <w:tcPr>
            <w:tcW w:w="845" w:type="dxa"/>
            <w:tcBorders>
              <w:left w:val="single" w:color="auto" w:sz="4" w:space="0"/>
              <w:right w:val="single" w:color="auto" w:sz="4" w:space="0"/>
            </w:tcBorders>
            <w:vAlign w:val="center"/>
          </w:tcPr>
          <w:p w14:paraId="4612597E">
            <w:pPr>
              <w:spacing w:line="360" w:lineRule="exact"/>
              <w:jc w:val="both"/>
              <w:rPr>
                <w:rFonts w:hint="eastAsia" w:ascii="CESI宋体-GB2312" w:hAnsi="CESI宋体-GB2312" w:eastAsia="CESI宋体-GB2312" w:cs="CESI宋体-GB2312"/>
                <w:color w:val="0000FF"/>
                <w:sz w:val="24"/>
                <w:szCs w:val="24"/>
              </w:rPr>
            </w:pPr>
          </w:p>
        </w:tc>
        <w:tc>
          <w:tcPr>
            <w:tcW w:w="892" w:type="dxa"/>
            <w:tcBorders>
              <w:left w:val="single" w:color="auto" w:sz="4" w:space="0"/>
              <w:right w:val="single" w:color="auto" w:sz="4" w:space="0"/>
            </w:tcBorders>
            <w:vAlign w:val="center"/>
          </w:tcPr>
          <w:p w14:paraId="1936F2EA">
            <w:pPr>
              <w:spacing w:line="360" w:lineRule="exact"/>
              <w:jc w:val="both"/>
              <w:rPr>
                <w:rFonts w:hint="eastAsia" w:ascii="CESI宋体-GB2312" w:hAnsi="CESI宋体-GB2312" w:eastAsia="CESI宋体-GB2312" w:cs="CESI宋体-GB2312"/>
                <w:color w:val="0000FF"/>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62C6CB46">
            <w:pPr>
              <w:spacing w:line="360" w:lineRule="exact"/>
              <w:jc w:val="both"/>
              <w:rPr>
                <w:rFonts w:hint="eastAsia" w:ascii="CESI宋体-GB2312" w:hAnsi="CESI宋体-GB2312" w:eastAsia="CESI宋体-GB2312" w:cs="CESI宋体-GB2312"/>
                <w:color w:val="0000FF"/>
                <w:sz w:val="24"/>
                <w:szCs w:val="24"/>
              </w:rPr>
            </w:pPr>
          </w:p>
        </w:tc>
      </w:tr>
      <w:tr w14:paraId="27D10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6295BBB8">
            <w:pPr>
              <w:spacing w:line="360" w:lineRule="exact"/>
              <w:jc w:val="both"/>
              <w:rPr>
                <w:rFonts w:hint="eastAsia" w:ascii="CESI宋体-GB2312" w:hAnsi="CESI宋体-GB2312" w:eastAsia="CESI宋体-GB2312" w:cs="CESI宋体-GB2312"/>
                <w:color w:val="0000FF"/>
                <w:sz w:val="24"/>
                <w:szCs w:val="24"/>
                <w:lang w:val="en-US" w:eastAsia="zh-CN"/>
              </w:rPr>
            </w:pPr>
          </w:p>
        </w:tc>
        <w:tc>
          <w:tcPr>
            <w:tcW w:w="1630" w:type="dxa"/>
            <w:tcBorders>
              <w:top w:val="single" w:color="auto" w:sz="4" w:space="0"/>
              <w:left w:val="single" w:color="auto" w:sz="4" w:space="0"/>
              <w:bottom w:val="single" w:color="auto" w:sz="4" w:space="0"/>
              <w:right w:val="single" w:color="auto" w:sz="4" w:space="0"/>
            </w:tcBorders>
            <w:vAlign w:val="center"/>
          </w:tcPr>
          <w:p w14:paraId="4268203A">
            <w:pPr>
              <w:spacing w:line="360" w:lineRule="exact"/>
              <w:jc w:val="both"/>
              <w:rPr>
                <w:rFonts w:hint="eastAsia" w:ascii="CESI宋体-GB2312" w:hAnsi="CESI宋体-GB2312" w:eastAsia="CESI宋体-GB2312" w:cs="CESI宋体-GB2312"/>
                <w:color w:val="0000FF"/>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0D6D679C">
            <w:pPr>
              <w:spacing w:line="360" w:lineRule="exact"/>
              <w:jc w:val="both"/>
              <w:rPr>
                <w:rFonts w:hint="eastAsia" w:ascii="CESI宋体-GB2312" w:hAnsi="CESI宋体-GB2312" w:eastAsia="CESI宋体-GB2312" w:cs="CESI宋体-GB2312"/>
                <w:color w:val="0000FF"/>
                <w:sz w:val="24"/>
                <w:szCs w:val="24"/>
              </w:rPr>
            </w:pPr>
          </w:p>
        </w:tc>
        <w:tc>
          <w:tcPr>
            <w:tcW w:w="1112" w:type="dxa"/>
            <w:tcBorders>
              <w:top w:val="single" w:color="auto" w:sz="4" w:space="0"/>
              <w:left w:val="single" w:color="auto" w:sz="4" w:space="0"/>
              <w:bottom w:val="single" w:color="auto" w:sz="4" w:space="0"/>
              <w:right w:val="single" w:color="auto" w:sz="4" w:space="0"/>
            </w:tcBorders>
          </w:tcPr>
          <w:p w14:paraId="435F62E8">
            <w:pPr>
              <w:spacing w:line="360" w:lineRule="exact"/>
              <w:jc w:val="both"/>
              <w:rPr>
                <w:rFonts w:ascii="CESI宋体-GB2312" w:hAnsi="CESI宋体-GB2312" w:eastAsia="CESI宋体-GB2312" w:cs="CESI宋体-GB2312"/>
                <w:color w:val="0000FF"/>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7CF0AA1B">
            <w:pPr>
              <w:spacing w:line="360" w:lineRule="exact"/>
              <w:jc w:val="both"/>
              <w:rPr>
                <w:rFonts w:hint="eastAsia" w:ascii="CESI宋体-GB2312" w:hAnsi="CESI宋体-GB2312" w:eastAsia="CESI宋体-GB2312" w:cs="CESI宋体-GB2312"/>
                <w:color w:val="0000FF"/>
                <w:sz w:val="24"/>
                <w:szCs w:val="24"/>
              </w:rPr>
            </w:pPr>
          </w:p>
        </w:tc>
        <w:tc>
          <w:tcPr>
            <w:tcW w:w="845" w:type="dxa"/>
            <w:tcBorders>
              <w:left w:val="single" w:color="auto" w:sz="4" w:space="0"/>
              <w:bottom w:val="single" w:color="auto" w:sz="4" w:space="0"/>
              <w:right w:val="single" w:color="auto" w:sz="4" w:space="0"/>
            </w:tcBorders>
            <w:vAlign w:val="center"/>
          </w:tcPr>
          <w:p w14:paraId="601B7D64">
            <w:pPr>
              <w:spacing w:line="360" w:lineRule="exact"/>
              <w:jc w:val="both"/>
              <w:rPr>
                <w:rFonts w:hint="eastAsia" w:ascii="CESI宋体-GB2312" w:hAnsi="CESI宋体-GB2312" w:eastAsia="CESI宋体-GB2312" w:cs="CESI宋体-GB2312"/>
                <w:color w:val="0000FF"/>
                <w:sz w:val="24"/>
                <w:szCs w:val="24"/>
              </w:rPr>
            </w:pPr>
          </w:p>
        </w:tc>
        <w:tc>
          <w:tcPr>
            <w:tcW w:w="892" w:type="dxa"/>
            <w:tcBorders>
              <w:left w:val="single" w:color="auto" w:sz="4" w:space="0"/>
              <w:bottom w:val="single" w:color="auto" w:sz="4" w:space="0"/>
              <w:right w:val="single" w:color="auto" w:sz="4" w:space="0"/>
            </w:tcBorders>
            <w:vAlign w:val="center"/>
          </w:tcPr>
          <w:p w14:paraId="6880BCF7">
            <w:pPr>
              <w:spacing w:line="360" w:lineRule="exact"/>
              <w:jc w:val="both"/>
              <w:rPr>
                <w:rFonts w:hint="eastAsia" w:ascii="CESI宋体-GB2312" w:hAnsi="CESI宋体-GB2312" w:eastAsia="CESI宋体-GB2312" w:cs="CESI宋体-GB2312"/>
                <w:color w:val="0000FF"/>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7C63C54A">
            <w:pPr>
              <w:spacing w:line="360" w:lineRule="exact"/>
              <w:jc w:val="both"/>
              <w:rPr>
                <w:rFonts w:hint="eastAsia" w:ascii="CESI宋体-GB2312" w:hAnsi="CESI宋体-GB2312" w:eastAsia="CESI宋体-GB2312" w:cs="CESI宋体-GB2312"/>
                <w:color w:val="0000FF"/>
                <w:sz w:val="24"/>
                <w:szCs w:val="24"/>
              </w:rPr>
            </w:pPr>
          </w:p>
        </w:tc>
      </w:tr>
    </w:tbl>
    <w:p w14:paraId="23C9DE7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供应商拥有者性别:</w:t>
      </w:r>
      <w:r>
        <w:rPr>
          <w:rFonts w:hint="eastAsia" w:ascii="CESI宋体-GB2312" w:hAnsi="CESI宋体-GB2312" w:eastAsia="CESI宋体-GB2312" w:cs="CESI宋体-GB2312"/>
          <w:color w:val="0000FF"/>
          <w:sz w:val="24"/>
          <w:szCs w:val="24"/>
          <w:lang w:val="en-US" w:eastAsia="zh-CN"/>
        </w:rPr>
        <w:t>XX</w:t>
      </w:r>
    </w:p>
    <w:p w14:paraId="0AF5710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供应商规模：</w:t>
      </w:r>
      <w:r>
        <w:rPr>
          <w:rFonts w:hint="eastAsia" w:ascii="CESI宋体-GB2312" w:hAnsi="CESI宋体-GB2312" w:eastAsia="CESI宋体-GB2312" w:cs="CESI宋体-GB2312"/>
          <w:color w:val="0000FF"/>
          <w:sz w:val="24"/>
          <w:szCs w:val="24"/>
          <w:lang w:val="en-US" w:eastAsia="zh-CN"/>
        </w:rPr>
        <w:t>XX</w:t>
      </w:r>
    </w:p>
    <w:p w14:paraId="70ABAB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rPr>
        <w:t>供应商所在区域：</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省</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市</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区</w:t>
      </w:r>
    </w:p>
    <w:p w14:paraId="4473233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制造商名称：</w:t>
      </w:r>
      <w:r>
        <w:rPr>
          <w:rFonts w:hint="eastAsia" w:ascii="CESI宋体-GB2312" w:hAnsi="CESI宋体-GB2312" w:eastAsia="CESI宋体-GB2312" w:cs="CESI宋体-GB2312"/>
          <w:color w:val="0000FF"/>
          <w:sz w:val="24"/>
          <w:szCs w:val="24"/>
          <w:lang w:val="en-US" w:eastAsia="zh-CN"/>
        </w:rPr>
        <w:t>XX</w:t>
      </w:r>
    </w:p>
    <w:p w14:paraId="39D3D2E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制造商规模：</w:t>
      </w:r>
      <w:r>
        <w:rPr>
          <w:rFonts w:hint="eastAsia" w:ascii="CESI宋体-GB2312" w:hAnsi="CESI宋体-GB2312" w:eastAsia="CESI宋体-GB2312" w:cs="CESI宋体-GB2312"/>
          <w:color w:val="0000FF"/>
          <w:sz w:val="24"/>
          <w:szCs w:val="24"/>
          <w:lang w:val="en-US" w:eastAsia="zh-CN"/>
        </w:rPr>
        <w:t>XX</w:t>
      </w:r>
    </w:p>
    <w:p w14:paraId="3E04B26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rPr>
        <w:t>制造商所在区域：</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省</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市</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区</w:t>
      </w:r>
    </w:p>
    <w:p w14:paraId="437E01C7">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二、合同价款</w:t>
      </w:r>
    </w:p>
    <w:p w14:paraId="6624193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1、合同总价：人民币</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rPr>
        <w:t>元整（￥</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sz w:val="24"/>
          <w:szCs w:val="24"/>
        </w:rPr>
        <w:t>）。</w:t>
      </w:r>
    </w:p>
    <w:p w14:paraId="3DACF8D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2、合同总价包括：税费、培训费、产品费、运杂费及其它相关的费用。</w:t>
      </w:r>
    </w:p>
    <w:p w14:paraId="2A34609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3、合同</w:t>
      </w:r>
      <w:r>
        <w:rPr>
          <w:rFonts w:hint="eastAsia" w:ascii="CESI宋体-GB2312" w:hAnsi="CESI宋体-GB2312" w:eastAsia="CESI宋体-GB2312" w:cs="CESI宋体-GB2312"/>
          <w:color w:val="auto"/>
          <w:sz w:val="24"/>
          <w:szCs w:val="24"/>
          <w:lang w:eastAsia="zh-CN"/>
        </w:rPr>
        <w:t>货物</w:t>
      </w:r>
      <w:r>
        <w:rPr>
          <w:rFonts w:hint="eastAsia" w:ascii="CESI宋体-GB2312" w:hAnsi="CESI宋体-GB2312" w:eastAsia="CESI宋体-GB2312" w:cs="CESI宋体-GB2312"/>
          <w:color w:val="auto"/>
          <w:sz w:val="24"/>
          <w:szCs w:val="24"/>
        </w:rPr>
        <w:t>单价一次包死，</w:t>
      </w:r>
      <w:r>
        <w:rPr>
          <w:rFonts w:hint="eastAsia" w:ascii="CESI宋体-GB2312" w:hAnsi="CESI宋体-GB2312" w:eastAsia="CESI宋体-GB2312" w:cs="CESI宋体-GB2312"/>
          <w:color w:val="auto"/>
          <w:sz w:val="24"/>
          <w:szCs w:val="24"/>
          <w:lang w:val="en-US" w:eastAsia="zh-CN"/>
        </w:rPr>
        <w:t>不受市场劳务等其它因素的影响而变化。</w:t>
      </w:r>
      <w:r>
        <w:rPr>
          <w:rFonts w:hint="eastAsia" w:ascii="CESI宋体-GB2312" w:hAnsi="CESI宋体-GB2312" w:eastAsia="CESI宋体-GB2312" w:cs="CESI宋体-GB2312"/>
          <w:color w:val="auto"/>
          <w:sz w:val="24"/>
          <w:szCs w:val="24"/>
        </w:rPr>
        <w:t>甲方有权根据实际业务需求，在本合同总价款范围内，通知乙方对各品类货物的采购数量进行增减。单次调整或累计调整后，任一品类货物的采购数量变更幅度不超过该品类原定数量的</w:t>
      </w:r>
      <w:r>
        <w:rPr>
          <w:rFonts w:hint="eastAsia" w:ascii="CESI宋体-GB2312" w:hAnsi="CESI宋体-GB2312" w:eastAsia="CESI宋体-GB2312" w:cs="CESI宋体-GB2312"/>
          <w:color w:val="auto"/>
          <w:sz w:val="24"/>
          <w:szCs w:val="24"/>
          <w:lang w:eastAsia="zh-CN"/>
        </w:rPr>
        <w:t>3</w:t>
      </w:r>
      <w:r>
        <w:rPr>
          <w:rFonts w:hint="eastAsia" w:ascii="CESI宋体-GB2312" w:hAnsi="CESI宋体-GB2312" w:eastAsia="CESI宋体-GB2312" w:cs="CESI宋体-GB2312"/>
          <w:color w:val="auto"/>
          <w:sz w:val="24"/>
          <w:szCs w:val="24"/>
          <w:lang w:val="en-US" w:eastAsia="zh-CN"/>
        </w:rPr>
        <w:t>0</w:t>
      </w:r>
      <w:r>
        <w:rPr>
          <w:rFonts w:hint="eastAsia" w:ascii="CESI宋体-GB2312" w:hAnsi="CESI宋体-GB2312" w:eastAsia="CESI宋体-GB2312" w:cs="CESI宋体-GB2312"/>
          <w:color w:val="auto"/>
          <w:sz w:val="24"/>
          <w:szCs w:val="24"/>
        </w:rPr>
        <w:t>%。最终结算总价以甲方书面确认的实际验收合格并使用的数量为准。若甲方预计采购总量将超出本合同总价款的，双方应另行签订补充协议。</w:t>
      </w:r>
    </w:p>
    <w:p w14:paraId="3E89D8DC">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三、</w:t>
      </w:r>
      <w:r>
        <w:rPr>
          <w:rFonts w:hint="eastAsia" w:ascii="CESI宋体-GB2312" w:hAnsi="CESI宋体-GB2312" w:eastAsia="CESI宋体-GB2312" w:cs="CESI宋体-GB2312"/>
          <w:b/>
          <w:sz w:val="24"/>
          <w:szCs w:val="24"/>
          <w:lang w:eastAsia="zh-CN"/>
        </w:rPr>
        <w:t>支付</w:t>
      </w:r>
      <w:r>
        <w:rPr>
          <w:rFonts w:hint="eastAsia" w:ascii="CESI宋体-GB2312" w:hAnsi="CESI宋体-GB2312" w:eastAsia="CESI宋体-GB2312" w:cs="CESI宋体-GB2312"/>
          <w:b/>
          <w:sz w:val="24"/>
          <w:szCs w:val="24"/>
        </w:rPr>
        <w:t>结算</w:t>
      </w:r>
    </w:p>
    <w:p w14:paraId="722F0ED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1、付款方式：银行转账。由</w:t>
      </w:r>
      <w:r>
        <w:rPr>
          <w:rFonts w:hint="eastAsia" w:ascii="CESI宋体-GB2312" w:hAnsi="CESI宋体-GB2312" w:eastAsia="CESI宋体-GB2312" w:cs="CESI宋体-GB2312"/>
          <w:strike w:val="0"/>
          <w:dstrike w:val="0"/>
          <w:color w:val="auto"/>
          <w:sz w:val="24"/>
          <w:szCs w:val="24"/>
          <w:lang w:val="en-US" w:eastAsia="zh-CN"/>
        </w:rPr>
        <w:t>甲方</w:t>
      </w:r>
      <w:r>
        <w:rPr>
          <w:rFonts w:hint="eastAsia" w:ascii="CESI宋体-GB2312" w:hAnsi="CESI宋体-GB2312" w:eastAsia="CESI宋体-GB2312" w:cs="CESI宋体-GB2312"/>
          <w:color w:val="auto"/>
          <w:sz w:val="24"/>
          <w:szCs w:val="24"/>
        </w:rPr>
        <w:t>负责结算，</w:t>
      </w:r>
      <w:r>
        <w:rPr>
          <w:rFonts w:hint="eastAsia" w:ascii="CESI宋体-GB2312" w:hAnsi="CESI宋体-GB2312" w:eastAsia="CESI宋体-GB2312" w:cs="CESI宋体-GB2312"/>
          <w:color w:val="auto"/>
          <w:sz w:val="24"/>
          <w:szCs w:val="24"/>
          <w:lang w:val="en-US" w:eastAsia="zh-CN"/>
        </w:rPr>
        <w:t>乙方</w:t>
      </w:r>
      <w:r>
        <w:rPr>
          <w:rFonts w:hint="eastAsia" w:ascii="CESI宋体-GB2312" w:hAnsi="CESI宋体-GB2312" w:eastAsia="CESI宋体-GB2312" w:cs="CESI宋体-GB2312"/>
          <w:color w:val="auto"/>
          <w:sz w:val="24"/>
          <w:szCs w:val="24"/>
        </w:rPr>
        <w:t>必须开具</w:t>
      </w:r>
      <w:r>
        <w:rPr>
          <w:rFonts w:hint="eastAsia" w:ascii="CESI宋体-GB2312" w:hAnsi="CESI宋体-GB2312" w:eastAsia="CESI宋体-GB2312" w:cs="CESI宋体-GB2312"/>
          <w:color w:val="auto"/>
          <w:sz w:val="24"/>
          <w:szCs w:val="24"/>
          <w:lang w:val="en-US" w:eastAsia="zh-CN"/>
        </w:rPr>
        <w:t>符合甲方要求的</w:t>
      </w:r>
      <w:r>
        <w:rPr>
          <w:rFonts w:hint="eastAsia" w:ascii="CESI宋体-GB2312" w:hAnsi="CESI宋体-GB2312" w:eastAsia="CESI宋体-GB2312" w:cs="CESI宋体-GB2312"/>
          <w:color w:val="auto"/>
          <w:sz w:val="24"/>
          <w:szCs w:val="24"/>
        </w:rPr>
        <w:t>全额发票，并附详细清单和验收单。如非</w:t>
      </w:r>
      <w:r>
        <w:rPr>
          <w:rFonts w:hint="eastAsia" w:ascii="CESI宋体-GB2312" w:hAnsi="CESI宋体-GB2312" w:eastAsia="CESI宋体-GB2312" w:cs="CESI宋体-GB2312"/>
          <w:strike w:val="0"/>
          <w:dstrike w:val="0"/>
          <w:color w:val="auto"/>
          <w:sz w:val="24"/>
          <w:szCs w:val="24"/>
          <w:lang w:val="en-US" w:eastAsia="zh-CN"/>
        </w:rPr>
        <w:t>乙方</w:t>
      </w:r>
      <w:r>
        <w:rPr>
          <w:rFonts w:hint="eastAsia" w:ascii="CESI宋体-GB2312" w:hAnsi="CESI宋体-GB2312" w:eastAsia="CESI宋体-GB2312" w:cs="CESI宋体-GB2312"/>
          <w:color w:val="auto"/>
          <w:sz w:val="24"/>
          <w:szCs w:val="24"/>
        </w:rPr>
        <w:t>开具发票，甲方有权拒绝支付。</w:t>
      </w:r>
    </w:p>
    <w:p w14:paraId="51273E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甲方开票信息：</w:t>
      </w:r>
    </w:p>
    <w:p w14:paraId="11368A1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账户名称：</w:t>
      </w:r>
      <w:r>
        <w:rPr>
          <w:rFonts w:hint="eastAsia" w:ascii="CESI宋体-GB2312" w:hAnsi="CESI宋体-GB2312" w:eastAsia="CESI宋体-GB2312" w:cs="CESI宋体-GB2312"/>
          <w:kern w:val="0"/>
          <w:sz w:val="24"/>
          <w:szCs w:val="24"/>
        </w:rPr>
        <w:t>西安市中心血站</w:t>
      </w:r>
    </w:p>
    <w:p w14:paraId="688B8A7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账号：</w:t>
      </w:r>
      <w:r>
        <w:rPr>
          <w:rFonts w:hint="eastAsia" w:ascii="CESI宋体-GB2312" w:hAnsi="CESI宋体-GB2312" w:eastAsia="CESI宋体-GB2312" w:cs="CESI宋体-GB2312"/>
          <w:sz w:val="24"/>
          <w:szCs w:val="24"/>
          <w:lang w:val="en-US" w:eastAsia="zh-CN"/>
        </w:rPr>
        <w:t>129904468910201</w:t>
      </w:r>
    </w:p>
    <w:p w14:paraId="56EAA57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开户行：</w:t>
      </w:r>
      <w:r>
        <w:rPr>
          <w:rFonts w:hint="eastAsia" w:ascii="CESI宋体-GB2312" w:hAnsi="CESI宋体-GB2312" w:eastAsia="CESI宋体-GB2312" w:cs="CESI宋体-GB2312"/>
          <w:sz w:val="24"/>
          <w:szCs w:val="24"/>
          <w:lang w:eastAsia="zh-CN"/>
        </w:rPr>
        <w:t>招商银行西影路支行</w:t>
      </w:r>
    </w:p>
    <w:p w14:paraId="7084B1E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乙方收款信息：</w:t>
      </w:r>
    </w:p>
    <w:p w14:paraId="7CC532B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账户名称：</w:t>
      </w:r>
      <w:r>
        <w:rPr>
          <w:rFonts w:hint="eastAsia" w:ascii="CESI宋体-GB2312" w:hAnsi="CESI宋体-GB2312" w:eastAsia="CESI宋体-GB2312" w:cs="CESI宋体-GB2312"/>
          <w:color w:val="0000FF"/>
          <w:sz w:val="24"/>
          <w:szCs w:val="24"/>
          <w:lang w:val="en-US" w:eastAsia="zh-CN"/>
        </w:rPr>
        <w:t>XXXXXXXXXXXXXX</w:t>
      </w:r>
    </w:p>
    <w:p w14:paraId="1D3C47F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账号：</w:t>
      </w:r>
      <w:r>
        <w:rPr>
          <w:rFonts w:hint="eastAsia" w:ascii="CESI宋体-GB2312" w:hAnsi="CESI宋体-GB2312" w:eastAsia="CESI宋体-GB2312" w:cs="CESI宋体-GB2312"/>
          <w:color w:val="0000FF"/>
          <w:sz w:val="24"/>
          <w:szCs w:val="24"/>
          <w:lang w:val="en-US" w:eastAsia="zh-CN"/>
        </w:rPr>
        <w:t>XXXXXXXXXX</w:t>
      </w:r>
    </w:p>
    <w:p w14:paraId="5FF94C4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开户行：</w:t>
      </w:r>
      <w:r>
        <w:rPr>
          <w:rFonts w:hint="eastAsia" w:ascii="CESI宋体-GB2312" w:hAnsi="CESI宋体-GB2312" w:eastAsia="CESI宋体-GB2312" w:cs="CESI宋体-GB2312"/>
          <w:color w:val="0000FF"/>
          <w:sz w:val="24"/>
          <w:szCs w:val="24"/>
          <w:lang w:val="en-US" w:eastAsia="zh-CN"/>
        </w:rPr>
        <w:t>XXXXXXXXX</w:t>
      </w:r>
    </w:p>
    <w:p w14:paraId="108D01C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结算流程：本合同项下货款由甲乙双方按照“分批供货、分批验收、分批结算”的原则共同核对确认。每批次产品经甲方按本合同第五条完成验收合格后，双方签署《批次供货验收清单》，该清单作为本期结算的唯一依据。</w:t>
      </w:r>
    </w:p>
    <w:p w14:paraId="04E3D9B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rPr>
        <w:t>发票开具要求：乙方应在《批次供货验收清单》签署后5个工作日内，向甲方开具与本期结算金额等额的、合法有效的增值税普通发票。发票的购货单位名称、纳税人识别号、货物名称、数量、金额等所有信息必须与本合同及甲方要求完全一致，税率应符合国家现行规定。乙方保证发票的真实性、合法性、有效性，不存在任何虚开、代开等违法违规情形。</w:t>
      </w:r>
    </w:p>
    <w:p w14:paraId="4B669BD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rPr>
        <w:t>付款条件与拒付权利：甲方在收到乙方提供的符合本条第2款要求的合规发票后30个工作日内，按发票金额向乙方支付货款。</w:t>
      </w:r>
    </w:p>
    <w:p w14:paraId="5573C78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5、</w:t>
      </w:r>
      <w:r>
        <w:rPr>
          <w:rFonts w:hint="eastAsia" w:ascii="CESI宋体-GB2312" w:hAnsi="CESI宋体-GB2312" w:eastAsia="CESI宋体-GB2312" w:cs="CESI宋体-GB2312"/>
          <w:color w:val="auto"/>
          <w:sz w:val="24"/>
          <w:szCs w:val="24"/>
        </w:rPr>
        <w:t>乙方未按约定开具发票、开具的发票不符合甲方要求或国家税务规定（包括但不限于发票信息错误、税率错误、无法通过税务系统验证、属于虚开发票等），甲方有权暂停支付相应款项，直至乙方重新提供合规发票。甲方因此暂停支付款项的，不承担任何逾期付款违约责任，且乙方不得以此为由主张甲方违约或拒绝履行其合同义务。</w:t>
      </w:r>
    </w:p>
    <w:p w14:paraId="7DFE79F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6、</w:t>
      </w:r>
      <w:r>
        <w:rPr>
          <w:rFonts w:hint="eastAsia" w:ascii="CESI宋体-GB2312" w:hAnsi="CESI宋体-GB2312" w:eastAsia="CESI宋体-GB2312" w:cs="CESI宋体-GB2312"/>
          <w:color w:val="auto"/>
          <w:sz w:val="24"/>
          <w:szCs w:val="24"/>
        </w:rPr>
        <w:t>发票责任：因乙方开具的发票存在问题，导致甲方无法抵扣税款、被税务机关处罚或产生其他损失的，乙方应负责重新开具并赔偿甲方全部损失。甲方有权从未付货款中直接扣除该等损失金额。</w:t>
      </w:r>
    </w:p>
    <w:p w14:paraId="1B2F399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lang w:eastAsia="zh-CN"/>
        </w:rPr>
      </w:pPr>
      <w:r>
        <w:rPr>
          <w:rFonts w:hint="eastAsia" w:ascii="CESI宋体-GB2312" w:hAnsi="CESI宋体-GB2312" w:eastAsia="CESI宋体-GB2312" w:cs="CESI宋体-GB2312"/>
          <w:b/>
          <w:sz w:val="24"/>
          <w:szCs w:val="24"/>
        </w:rPr>
        <w:t>四、交</w:t>
      </w:r>
      <w:r>
        <w:rPr>
          <w:rFonts w:hint="eastAsia" w:ascii="CESI宋体-GB2312" w:hAnsi="CESI宋体-GB2312" w:eastAsia="CESI宋体-GB2312" w:cs="CESI宋体-GB2312"/>
          <w:b/>
          <w:sz w:val="24"/>
          <w:szCs w:val="24"/>
          <w:lang w:eastAsia="zh-CN"/>
        </w:rPr>
        <w:t>付约定</w:t>
      </w:r>
    </w:p>
    <w:p w14:paraId="14C3D78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eastAsia="zh-CN"/>
        </w:rPr>
      </w:pPr>
      <w:r>
        <w:rPr>
          <w:rFonts w:hint="eastAsia" w:ascii="CESI宋体-GB2312" w:hAnsi="CESI宋体-GB2312" w:eastAsia="CESI宋体-GB2312" w:cs="CESI宋体-GB2312"/>
          <w:sz w:val="24"/>
          <w:szCs w:val="24"/>
        </w:rPr>
        <w:t>1、交</w:t>
      </w:r>
      <w:r>
        <w:rPr>
          <w:rFonts w:hint="eastAsia" w:ascii="CESI宋体-GB2312" w:hAnsi="CESI宋体-GB2312" w:eastAsia="CESI宋体-GB2312" w:cs="CESI宋体-GB2312"/>
          <w:sz w:val="24"/>
          <w:szCs w:val="24"/>
          <w:lang w:eastAsia="zh-CN"/>
        </w:rPr>
        <w:t>付时间</w:t>
      </w:r>
      <w:r>
        <w:rPr>
          <w:rFonts w:hint="eastAsia" w:ascii="CESI宋体-GB2312" w:hAnsi="CESI宋体-GB2312" w:eastAsia="CESI宋体-GB2312" w:cs="CESI宋体-GB2312"/>
          <w:sz w:val="24"/>
          <w:szCs w:val="24"/>
        </w:rPr>
        <w:t>：乙方接到甲方供货通知</w:t>
      </w:r>
      <w:r>
        <w:rPr>
          <w:rFonts w:hint="eastAsia" w:ascii="CESI宋体-GB2312" w:hAnsi="CESI宋体-GB2312" w:eastAsia="CESI宋体-GB2312" w:cs="CESI宋体-GB2312"/>
          <w:color w:val="0000FF"/>
          <w:sz w:val="24"/>
          <w:szCs w:val="24"/>
          <w:u w:val="single"/>
          <w:lang w:val="en-US" w:eastAsia="zh-CN"/>
        </w:rPr>
        <w:t>XX</w:t>
      </w:r>
      <w:r>
        <w:rPr>
          <w:rFonts w:hint="eastAsia" w:ascii="CESI宋体-GB2312" w:hAnsi="CESI宋体-GB2312" w:eastAsia="CESI宋体-GB2312" w:cs="CESI宋体-GB2312"/>
          <w:sz w:val="24"/>
          <w:szCs w:val="24"/>
        </w:rPr>
        <w:t>个日历日内交货</w:t>
      </w:r>
      <w:r>
        <w:rPr>
          <w:rFonts w:hint="eastAsia" w:ascii="CESI宋体-GB2312" w:hAnsi="CESI宋体-GB2312" w:eastAsia="CESI宋体-GB2312" w:cs="CESI宋体-GB2312"/>
          <w:sz w:val="24"/>
          <w:szCs w:val="24"/>
          <w:lang w:eastAsia="zh-CN"/>
        </w:rPr>
        <w:t>，并</w:t>
      </w:r>
      <w:r>
        <w:rPr>
          <w:rFonts w:hint="eastAsia" w:ascii="CESI宋体-GB2312" w:hAnsi="CESI宋体-GB2312" w:eastAsia="CESI宋体-GB2312" w:cs="CESI宋体-GB2312"/>
          <w:sz w:val="24"/>
          <w:szCs w:val="24"/>
        </w:rPr>
        <w:t>按照甲方需求分批供货</w:t>
      </w:r>
      <w:r>
        <w:rPr>
          <w:rFonts w:hint="eastAsia" w:ascii="CESI宋体-GB2312" w:hAnsi="CESI宋体-GB2312" w:eastAsia="CESI宋体-GB2312" w:cs="CESI宋体-GB2312"/>
          <w:sz w:val="24"/>
          <w:szCs w:val="24"/>
          <w:lang w:eastAsia="zh-CN"/>
        </w:rPr>
        <w:t>。</w:t>
      </w:r>
    </w:p>
    <w:p w14:paraId="753DD52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2、交</w:t>
      </w:r>
      <w:r>
        <w:rPr>
          <w:rFonts w:hint="eastAsia" w:ascii="CESI宋体-GB2312" w:hAnsi="CESI宋体-GB2312" w:eastAsia="CESI宋体-GB2312" w:cs="CESI宋体-GB2312"/>
          <w:sz w:val="24"/>
          <w:szCs w:val="24"/>
          <w:lang w:eastAsia="zh-CN"/>
        </w:rPr>
        <w:t>付</w:t>
      </w:r>
      <w:r>
        <w:rPr>
          <w:rFonts w:hint="eastAsia" w:ascii="CESI宋体-GB2312" w:hAnsi="CESI宋体-GB2312" w:eastAsia="CESI宋体-GB2312" w:cs="CESI宋体-GB2312"/>
          <w:sz w:val="24"/>
          <w:szCs w:val="24"/>
        </w:rPr>
        <w:t>地点：</w:t>
      </w:r>
      <w:r>
        <w:rPr>
          <w:rFonts w:hint="eastAsia" w:ascii="CESI宋体-GB2312" w:hAnsi="CESI宋体-GB2312" w:eastAsia="CESI宋体-GB2312" w:cs="CESI宋体-GB2312"/>
          <w:sz w:val="24"/>
          <w:szCs w:val="24"/>
          <w:lang w:eastAsia="zh-CN"/>
        </w:rPr>
        <w:t>甲方</w:t>
      </w:r>
      <w:r>
        <w:rPr>
          <w:rFonts w:hint="eastAsia" w:ascii="CESI宋体-GB2312" w:hAnsi="CESI宋体-GB2312" w:eastAsia="CESI宋体-GB2312" w:cs="CESI宋体-GB2312"/>
          <w:sz w:val="24"/>
          <w:szCs w:val="24"/>
        </w:rPr>
        <w:t>指定地点。</w:t>
      </w:r>
    </w:p>
    <w:p w14:paraId="17DE9B5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w:t>
      </w:r>
      <w:r>
        <w:rPr>
          <w:rFonts w:hint="eastAsia" w:ascii="CESI宋体-GB2312" w:hAnsi="CESI宋体-GB2312" w:eastAsia="CESI宋体-GB2312" w:cs="CESI宋体-GB2312"/>
          <w:color w:val="auto"/>
          <w:sz w:val="24"/>
          <w:szCs w:val="24"/>
          <w:lang w:eastAsia="zh-CN"/>
        </w:rPr>
        <w:t>交付条件：</w:t>
      </w:r>
      <w:r>
        <w:rPr>
          <w:rFonts w:hint="eastAsia" w:ascii="CESI宋体-GB2312" w:hAnsi="CESI宋体-GB2312" w:eastAsia="CESI宋体-GB2312" w:cs="CESI宋体-GB2312"/>
          <w:color w:val="auto"/>
          <w:sz w:val="24"/>
          <w:szCs w:val="24"/>
        </w:rPr>
        <w:t>产品保质期到交</w:t>
      </w:r>
      <w:r>
        <w:rPr>
          <w:rFonts w:hint="eastAsia" w:ascii="CESI宋体-GB2312" w:hAnsi="CESI宋体-GB2312" w:eastAsia="CESI宋体-GB2312" w:cs="CESI宋体-GB2312"/>
          <w:color w:val="auto"/>
          <w:sz w:val="24"/>
          <w:szCs w:val="24"/>
          <w:lang w:eastAsia="zh-CN"/>
        </w:rPr>
        <w:t>付</w:t>
      </w:r>
      <w:r>
        <w:rPr>
          <w:rFonts w:hint="eastAsia" w:ascii="CESI宋体-GB2312" w:hAnsi="CESI宋体-GB2312" w:eastAsia="CESI宋体-GB2312" w:cs="CESI宋体-GB2312"/>
          <w:color w:val="auto"/>
          <w:sz w:val="24"/>
          <w:szCs w:val="24"/>
        </w:rPr>
        <w:t>地点的有效期不低于</w:t>
      </w:r>
      <w:r>
        <w:rPr>
          <w:rFonts w:hint="eastAsia" w:ascii="CESI宋体-GB2312" w:hAnsi="CESI宋体-GB2312" w:eastAsia="CESI宋体-GB2312" w:cs="CESI宋体-GB2312"/>
          <w:color w:val="0002FF"/>
          <w:sz w:val="24"/>
          <w:szCs w:val="24"/>
          <w:u w:val="single"/>
          <w:lang w:val="en-US" w:eastAsia="zh-CN"/>
        </w:rPr>
        <w:t>XX</w:t>
      </w:r>
      <w:r>
        <w:rPr>
          <w:rFonts w:hint="eastAsia" w:ascii="CESI宋体-GB2312" w:hAnsi="CESI宋体-GB2312" w:eastAsia="CESI宋体-GB2312" w:cs="CESI宋体-GB2312"/>
          <w:color w:val="auto"/>
          <w:sz w:val="24"/>
          <w:szCs w:val="24"/>
        </w:rPr>
        <w:t>个月</w:t>
      </w:r>
      <w:r>
        <w:rPr>
          <w:rFonts w:hint="eastAsia" w:ascii="CESI宋体-GB2312" w:hAnsi="CESI宋体-GB2312" w:eastAsia="CESI宋体-GB2312" w:cs="CESI宋体-GB2312"/>
          <w:color w:val="auto"/>
          <w:sz w:val="24"/>
          <w:szCs w:val="24"/>
          <w:lang w:eastAsia="zh-CN"/>
        </w:rPr>
        <w:t>，同时</w:t>
      </w:r>
      <w:r>
        <w:rPr>
          <w:rFonts w:hint="eastAsia" w:ascii="CESI宋体-GB2312" w:hAnsi="CESI宋体-GB2312" w:eastAsia="CESI宋体-GB2312" w:cs="CESI宋体-GB2312"/>
          <w:color w:val="auto"/>
          <w:sz w:val="24"/>
          <w:szCs w:val="24"/>
        </w:rPr>
        <w:t>提供以下相关资料存档：（1）《医疗器械生产许可证》或《医疗器械经营许可证》；（2）营业执照复印件；（3）医疗器械产品注册证；（4）销售人员有效身份证明复印件；（5）出厂质量检验报告等。</w:t>
      </w:r>
      <w:r>
        <w:rPr>
          <w:rFonts w:hint="eastAsia" w:ascii="CESI宋体-GB2312" w:hAnsi="CESI宋体-GB2312" w:eastAsia="CESI宋体-GB2312" w:cs="CESI宋体-GB2312"/>
          <w:color w:val="auto"/>
          <w:sz w:val="24"/>
          <w:szCs w:val="24"/>
          <w:lang w:eastAsia="zh-CN"/>
        </w:rPr>
        <w:t>若属于药品管理的，</w:t>
      </w:r>
      <w:r>
        <w:rPr>
          <w:rFonts w:hint="eastAsia" w:ascii="CESI宋体-GB2312" w:hAnsi="CESI宋体-GB2312" w:eastAsia="CESI宋体-GB2312" w:cs="CESI宋体-GB2312"/>
          <w:color w:val="auto"/>
          <w:sz w:val="24"/>
          <w:szCs w:val="24"/>
        </w:rPr>
        <w:t>提供以下相关资料存档：（1）《药品生产许可证》和《药品经营许可证》</w:t>
      </w:r>
      <w:r>
        <w:rPr>
          <w:rFonts w:hint="eastAsia" w:ascii="CESI宋体-GB2312" w:hAnsi="CESI宋体-GB2312" w:eastAsia="CESI宋体-GB2312" w:cs="CESI宋体-GB2312"/>
          <w:color w:val="auto"/>
          <w:sz w:val="24"/>
          <w:szCs w:val="24"/>
          <w:lang w:val="en-US" w:eastAsia="zh-CN"/>
        </w:rPr>
        <w:t>复印件</w:t>
      </w:r>
      <w:r>
        <w:rPr>
          <w:rFonts w:hint="eastAsia" w:ascii="CESI宋体-GB2312" w:hAnsi="CESI宋体-GB2312" w:eastAsia="CESI宋体-GB2312" w:cs="CESI宋体-GB2312"/>
          <w:color w:val="auto"/>
          <w:sz w:val="24"/>
          <w:szCs w:val="24"/>
          <w:lang w:eastAsia="zh-CN"/>
        </w:rPr>
        <w:t>及</w:t>
      </w:r>
      <w:r>
        <w:rPr>
          <w:rFonts w:hint="eastAsia" w:ascii="CESI宋体-GB2312" w:hAnsi="CESI宋体-GB2312" w:eastAsia="CESI宋体-GB2312" w:cs="CESI宋体-GB2312"/>
          <w:color w:val="auto"/>
          <w:sz w:val="24"/>
          <w:szCs w:val="24"/>
        </w:rPr>
        <w:t>营业执照复印件；（</w:t>
      </w: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）《药品生产质量管理规范》和《药品经营质量管理规范》认证证书复印件；</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药品的批准证明文件复印件；</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rPr>
        <w:t>）销售人员有效身份证明复印件；</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5</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血源筛查体外诊断试剂的批签发文件；</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auto"/>
          <w:sz w:val="24"/>
          <w:szCs w:val="24"/>
          <w:lang w:val="en-US" w:eastAsia="zh-CN"/>
        </w:rPr>
        <w:t>6</w:t>
      </w:r>
      <w:r>
        <w:rPr>
          <w:rFonts w:hint="eastAsia" w:ascii="CESI宋体-GB2312" w:hAnsi="CESI宋体-GB2312" w:eastAsia="CESI宋体-GB2312" w:cs="CESI宋体-GB2312"/>
          <w:color w:val="auto"/>
          <w:sz w:val="24"/>
          <w:szCs w:val="24"/>
        </w:rPr>
        <w:t>）出厂质量检验报告等。</w:t>
      </w:r>
    </w:p>
    <w:p w14:paraId="3BACA4F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五、货物验收</w:t>
      </w:r>
    </w:p>
    <w:p w14:paraId="727052A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1、初步验收：按照验收依据对产品的规格、数量、包装等进行确认，对关键产品的技术指标、性能参数等进行抽检或逐项检查。若使用中发现缺陷，将视为产品验收不合格，供应商应无条件免费更换或退货。货物运送至交付地点时，乙方向甲方提供产品供货清单（注明品名、数量、生产厂家）以及产品使用过程中的所有资料，便于甲方收货和验收。初步验收合格的，甲方在产品供货清单中签字确认。</w:t>
      </w:r>
    </w:p>
    <w:p w14:paraId="028BC69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2、最终验收：</w:t>
      </w:r>
      <w:r>
        <w:rPr>
          <w:rFonts w:hint="eastAsia" w:ascii="CESI宋体-GB2312" w:hAnsi="CESI宋体-GB2312" w:eastAsia="CESI宋体-GB2312" w:cs="CESI宋体-GB2312"/>
          <w:color w:val="auto"/>
          <w:sz w:val="24"/>
          <w:szCs w:val="24"/>
        </w:rPr>
        <w:t>本合同项下全部货物供货完毕后，或甲方认为已收到的货物数量已达到可进行整体验收的程度时，甲方应在[15]个日历日内组织最终验收。乙方应予配合，必要时派员到场。最终验收的内容包括：全部货物的技术性能、运行效果、与合同及招标文件要求的符合性，以及乙方履行合同约定的安装、调试、培训等配套服务的情况。</w:t>
      </w:r>
    </w:p>
    <w:p w14:paraId="732E489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rPr>
        <w:t>最终验收合格的，由甲方出具《最终验收报告》，经双方签字盖章后生效。该报告是甲方支付剩余款项及认定乙方全面履行合同义务的核心依据。最终验收不合格的，甲方有权要求乙方在指定期限内整改，整改后仍不合格的，甲方有权按本合同第十条追究乙方违约责任。</w:t>
      </w:r>
    </w:p>
    <w:p w14:paraId="4D25FB6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3、验收依据：</w:t>
      </w:r>
      <w:r>
        <w:rPr>
          <w:rFonts w:hint="eastAsia" w:ascii="CESI宋体-GB2312" w:hAnsi="CESI宋体-GB2312" w:eastAsia="CESI宋体-GB2312" w:cs="CESI宋体-GB2312"/>
          <w:color w:val="auto"/>
          <w:sz w:val="24"/>
          <w:szCs w:val="24"/>
        </w:rPr>
        <w:t>（1）本合同正文及附件（包括但不限于《技术规格与质量要求确认书》）；（2）招标或采购文件、乙方投标或响应文件、澄清及承诺函；（3）经国家药品监督管理部门批准的医疗器械或药品注册标准（产品技术要求）；（4）国家及行业现行的强制性标准、推荐性标准及技术规范；（5）上述文件对同一事项的约定不一致的，以要求较高的为准。</w:t>
      </w:r>
    </w:p>
    <w:p w14:paraId="42589FF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4、甲方在验收中发现货物质量不符合合同要求和验收标准或有异议时，应及时通知乙方，乙方应在接到通知后三天内给予答复，并负责处理，若需送法定质检部门检验，检验费用由乙方承担。如发现货物质量严重不符合质量要求的，甲方可通知乙方停止供货，解除合同。</w:t>
      </w:r>
    </w:p>
    <w:p w14:paraId="0794B7E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5、若发现供应商有弄虚作假的，在招标阶段故意或随意夸大产品技术性能，乙方应无条件退货，并赔偿甲方相应的损失。</w:t>
      </w:r>
    </w:p>
    <w:p w14:paraId="4C7BBB9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6、乙方向甲方提交的供货清单、验收单需加盖乙方鲜章，若无则甲方有权拒绝签字确认。</w:t>
      </w:r>
    </w:p>
    <w:p w14:paraId="083806C8">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六、质量保证</w:t>
      </w:r>
    </w:p>
    <w:p w14:paraId="2DD490E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1、乙方提供产品必须是原品牌制造厂制造的最新工艺生产的最新产品。</w:t>
      </w:r>
    </w:p>
    <w:p w14:paraId="284E8BE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2、所供产品必须是经过办理正常手续的全新产品。</w:t>
      </w:r>
    </w:p>
    <w:p w14:paraId="1A00DA5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3、所供产品是经过国家法定检验、注册、准许市场销售的合法、合格产品。</w:t>
      </w:r>
    </w:p>
    <w:p w14:paraId="7B1DF19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4、产品性能稳定、具有较好的使用效果，质量保证措施完善，符合国家相关标准。</w:t>
      </w:r>
    </w:p>
    <w:p w14:paraId="798560E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sz w:val="24"/>
          <w:szCs w:val="24"/>
        </w:rPr>
        <w:t>5、因乙方产品质量缺陷导致甲方、甲方工作人员、献血者、用血者或任何第三方遭受人身损害或财产损失的，乙方应承担全部直接的、间接的赔偿责任，包括但不限于医疗费、康复费、赔偿金、诉讼费、律师费、鉴定费等。</w:t>
      </w:r>
    </w:p>
    <w:p w14:paraId="39363A6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6、对于存在质量问题或者短少的产品，</w:t>
      </w:r>
      <w:r>
        <w:rPr>
          <w:rFonts w:hint="eastAsia" w:ascii="CESI宋体-GB2312" w:hAnsi="CESI宋体-GB2312" w:eastAsia="CESI宋体-GB2312" w:cs="CESI宋体-GB2312"/>
          <w:strike w:val="0"/>
          <w:dstrike w:val="0"/>
          <w:color w:val="auto"/>
          <w:sz w:val="24"/>
          <w:szCs w:val="24"/>
          <w:lang w:val="en-US" w:eastAsia="zh-CN"/>
        </w:rPr>
        <w:t>乙方</w:t>
      </w:r>
      <w:r>
        <w:rPr>
          <w:rFonts w:hint="eastAsia" w:ascii="CESI宋体-GB2312" w:hAnsi="CESI宋体-GB2312" w:eastAsia="CESI宋体-GB2312" w:cs="CESI宋体-GB2312"/>
          <w:color w:val="auto"/>
          <w:sz w:val="24"/>
          <w:szCs w:val="24"/>
        </w:rPr>
        <w:t>应在接到</w:t>
      </w:r>
      <w:r>
        <w:rPr>
          <w:rFonts w:hint="eastAsia" w:ascii="CESI宋体-GB2312" w:hAnsi="CESI宋体-GB2312" w:eastAsia="CESI宋体-GB2312" w:cs="CESI宋体-GB2312"/>
          <w:strike w:val="0"/>
          <w:dstrike w:val="0"/>
          <w:color w:val="auto"/>
          <w:sz w:val="24"/>
          <w:szCs w:val="24"/>
          <w:lang w:val="en-US" w:eastAsia="zh-CN"/>
        </w:rPr>
        <w:t>甲方</w:t>
      </w:r>
      <w:r>
        <w:rPr>
          <w:rFonts w:hint="eastAsia" w:ascii="CESI宋体-GB2312" w:hAnsi="CESI宋体-GB2312" w:eastAsia="CESI宋体-GB2312" w:cs="CESI宋体-GB2312"/>
          <w:color w:val="auto"/>
          <w:sz w:val="24"/>
          <w:szCs w:val="24"/>
        </w:rPr>
        <w:t>的通知2个日历日内负责调换或补齐。</w:t>
      </w:r>
    </w:p>
    <w:p w14:paraId="64C55AC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7、包装要求</w:t>
      </w:r>
    </w:p>
    <w:p w14:paraId="1A939A9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7-1、除合同另有规定外，乙方提供的全部产品，均应按标准保护措施进行包装，并确保产品安全无损运抵甲方指定地点。</w:t>
      </w:r>
    </w:p>
    <w:p w14:paraId="1F0FB43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7-2、每一个包装箱内应附一份详细装箱单和质量合格证。</w:t>
      </w:r>
    </w:p>
    <w:p w14:paraId="2EEC758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8、乙方负责对</w:t>
      </w:r>
      <w:r>
        <w:rPr>
          <w:rFonts w:hint="eastAsia" w:ascii="CESI宋体-GB2312" w:hAnsi="CESI宋体-GB2312" w:eastAsia="CESI宋体-GB2312" w:cs="CESI宋体-GB2312"/>
          <w:strike w:val="0"/>
          <w:dstrike w:val="0"/>
          <w:color w:val="auto"/>
          <w:sz w:val="24"/>
          <w:szCs w:val="24"/>
          <w:lang w:val="en-US" w:eastAsia="zh-CN"/>
        </w:rPr>
        <w:t>保质期</w:t>
      </w:r>
      <w:r>
        <w:rPr>
          <w:rFonts w:hint="eastAsia" w:ascii="CESI宋体-GB2312" w:hAnsi="CESI宋体-GB2312" w:eastAsia="CESI宋体-GB2312" w:cs="CESI宋体-GB2312"/>
          <w:color w:val="auto"/>
          <w:sz w:val="24"/>
          <w:szCs w:val="24"/>
        </w:rPr>
        <w:t>小于6个月的产品进行调换。</w:t>
      </w:r>
    </w:p>
    <w:p w14:paraId="60358ACF">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七、货物运输</w:t>
      </w:r>
    </w:p>
    <w:p w14:paraId="4AA0073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val="en-US" w:eastAsia="zh-CN"/>
        </w:rPr>
      </w:pPr>
      <w:r>
        <w:rPr>
          <w:rFonts w:hint="eastAsia" w:ascii="CESI宋体-GB2312" w:hAnsi="CESI宋体-GB2312" w:eastAsia="CESI宋体-GB2312" w:cs="CESI宋体-GB2312"/>
          <w:sz w:val="24"/>
          <w:szCs w:val="24"/>
          <w:lang w:val="en-US" w:eastAsia="zh-CN"/>
        </w:rPr>
        <w:t>1、</w:t>
      </w:r>
      <w:r>
        <w:rPr>
          <w:rFonts w:hint="eastAsia" w:ascii="CESI宋体-GB2312" w:hAnsi="CESI宋体-GB2312" w:eastAsia="CESI宋体-GB2312" w:cs="CESI宋体-GB2312"/>
          <w:sz w:val="24"/>
          <w:szCs w:val="24"/>
        </w:rPr>
        <w:t>乙方负责所有货物的运输。</w:t>
      </w:r>
      <w:r>
        <w:rPr>
          <w:rFonts w:hint="eastAsia" w:ascii="CESI宋体-GB2312" w:hAnsi="CESI宋体-GB2312" w:eastAsia="CESI宋体-GB2312" w:cs="CESI宋体-GB2312"/>
          <w:sz w:val="24"/>
          <w:szCs w:val="24"/>
          <w:lang w:val="en-US" w:eastAsia="zh-CN"/>
        </w:rPr>
        <w:t>货物毁损、灭失的风险，自货物运抵甲方指定地点、经甲方完成初步验收（本合同第五条第1款）并由甲方在《产品到货签收单》上签字确认之时起，由乙方转移至甲方。在此之前（包括但不限于运输、搬运、卸货过程中）发生的任何货物毁损、灭失，均由乙方自行承担。运杂费用包含在总价内，包括货物从供货地点到甲方指定地点的运输费、保险费、搬运费等相关费用。</w:t>
      </w:r>
    </w:p>
    <w:p w14:paraId="1CAE091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lang w:val="en-US" w:eastAsia="zh-CN"/>
        </w:rPr>
        <w:t>2、所供货物在运输、搬运、安装的过程中，造成甲方财产损失或人员受伤的，乙方应承担全部赔偿责任，包括但不限于修复、重置费用及医疗费、误工费、护理费、残疾赔偿金等。货物在运抵甲方指定地点并经甲方初步验收签字前发生毁损、灭失的，乙方应无条件免费补发或更换。因乙方或其人员在上述过程中的过错对第三方造成损害的，由乙方自行处理并承担全部责任，与甲方无关。</w:t>
      </w:r>
    </w:p>
    <w:p w14:paraId="0B148C74">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八、双方的权利和义务</w:t>
      </w:r>
    </w:p>
    <w:p w14:paraId="29DA61E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（一）甲方权利和义务</w:t>
      </w:r>
    </w:p>
    <w:p w14:paraId="5A11DB5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1、甲方有权要求乙方按约定的时间交付货物。甲方可提前2个日历日变更收货的具体时间。若需变更收货时间，甲方可采用电话、微信、电子邮件等方式通知乙方。</w:t>
      </w:r>
    </w:p>
    <w:p w14:paraId="208DB50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2、甲方有权知晓乙方选用的运输方式、乙方拟定的发货时间及甲方预计的收货时间，以方便甲方安排人员收货和验收。</w:t>
      </w:r>
    </w:p>
    <w:p w14:paraId="286194B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3、甲方有权按照实际需求确定乙方供货数量，结算价格根据实际供货数量确定。</w:t>
      </w:r>
    </w:p>
    <w:p w14:paraId="21DCD82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4、甲方有权知晓乙方单位出现的可能影响合同正常履行的情形，若此种情形造成乙方履约能力受到影响，甲方可中止合同，待此种不利影响消除。如乙方涉及违约诉讼、企业经营不善等。</w:t>
      </w:r>
    </w:p>
    <w:p w14:paraId="574F7E1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5、乙方办理结算手续需按照甲方要求提供增值税发票及</w:t>
      </w:r>
      <w:r>
        <w:rPr>
          <w:rFonts w:hint="eastAsia" w:ascii="CESI宋体-GB2312" w:hAnsi="CESI宋体-GB2312" w:eastAsia="CESI宋体-GB2312" w:cs="CESI宋体-GB2312"/>
          <w:strike w:val="0"/>
          <w:dstrike w:val="0"/>
          <w:color w:val="auto"/>
          <w:sz w:val="24"/>
          <w:szCs w:val="24"/>
          <w:highlight w:val="none"/>
          <w:lang w:val="en-US" w:eastAsia="zh-CN"/>
        </w:rPr>
        <w:t>供货清</w:t>
      </w:r>
      <w:r>
        <w:rPr>
          <w:rFonts w:hint="eastAsia" w:ascii="CESI宋体-GB2312" w:hAnsi="CESI宋体-GB2312" w:eastAsia="CESI宋体-GB2312" w:cs="CESI宋体-GB2312"/>
          <w:color w:val="auto"/>
          <w:sz w:val="24"/>
          <w:szCs w:val="24"/>
        </w:rPr>
        <w:t>单、验收单等资料。</w:t>
      </w:r>
    </w:p>
    <w:p w14:paraId="1F7976A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6、合同履行期间，应遵守合同约定，未约定的部分不得违背甲方和乙方的交易习惯，有必要的应签订补充协议。</w:t>
      </w:r>
    </w:p>
    <w:p w14:paraId="26E80D3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（二）乙方权利和义务</w:t>
      </w:r>
    </w:p>
    <w:p w14:paraId="5418A0E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1、乙方应全力支持甲方组织无偿献血活动，并积极配合参与无偿献血事业的宣传、献血和志愿者活动。</w:t>
      </w:r>
    </w:p>
    <w:p w14:paraId="759A588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2、乙方应保证甲方在使用该产品或其任何一部分时免受第三方提出侵犯其专利权、商标权或工业设计权的起诉。</w:t>
      </w:r>
    </w:p>
    <w:p w14:paraId="20FF8D2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3、产品质量不符合合同规定时，乙方负责包退包换。由于上述原因导致延误交货时间的，每延误一日，乙方应按逾期交货部分产品价款总值的日万分之五向甲方偿付违约金。</w:t>
      </w:r>
    </w:p>
    <w:p w14:paraId="3593DE1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4.除不可抗力因素外，如果乙方不能按照合同规定的时间交货，应及时以书面形式将延迟的事实、可能延迟的时间和原因通知甲方。甲方收到乙方通知后，将尽快作出评价，决定是否同意延长交货期及收取误期赔偿费。甲方在不影响合同项下的其它补救措施情况下，可从合同未付款中扣除误期违约金。违约金按合同条款的规定计算，如按上述办法计算的违约金仍不足以补偿因乙方违约造成的损失，甲方有权进一步向乙方提出索赔。</w:t>
      </w:r>
    </w:p>
    <w:p w14:paraId="39F176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5、在履行合同过程中，如果乙方遇到可能妨碍按时交货和提供服务的情况，应及时以书面形式将拖延的事实，可能拖延的期限和理由通知甲方。甲方在收到乙方通知后，应尽快对情况进行评价，酌情延长交货时间或对乙方加收误期赔偿金。每延误一日的违约金按迟交货物交货价或未提供服务的服务费用的日万分之五计收，直至交货或提供服务为止。误期赔偿费的最高限额为合同价格的10%。一旦达到误期赔偿费的最高限额或发生误期供货≧3次或合同规定的交货日期后10天内仍未能交货，甲方可终止合同。乙方除退还已收取的货款外，还应向采购人偿付政府采购合同总金额5%的违约金。</w:t>
      </w:r>
    </w:p>
    <w:p w14:paraId="1EE3BCD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6、如乙方未能按照招标参数要求提供甲方所需货物，且七个日历日内无法整改，甲方可终止合同。</w:t>
      </w:r>
    </w:p>
    <w:p w14:paraId="42EABC0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7、如遇不可抗拒因素，甲方可终止合同。</w:t>
      </w:r>
    </w:p>
    <w:p w14:paraId="374C0CFF">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九、技术及售后服务</w:t>
      </w:r>
    </w:p>
    <w:p w14:paraId="726847E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1、技术服务承诺：乙方免费提供必要的技术支持，包括现场指导、集中授课、专项操作等。</w:t>
      </w:r>
    </w:p>
    <w:p w14:paraId="0E0C2F2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2、售后服务承诺：甲方发现有质量或可能影响质量问题时，乙方接到通知后4小时内到达现场解决问题。</w:t>
      </w:r>
    </w:p>
    <w:p w14:paraId="4AFB7D0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w:t>
      </w:r>
      <w:r>
        <w:rPr>
          <w:rFonts w:hint="eastAsia" w:ascii="CESI宋体-GB2312" w:hAnsi="CESI宋体-GB2312" w:eastAsia="CESI宋体-GB2312" w:cs="CESI宋体-GB2312"/>
          <w:color w:val="auto"/>
          <w:sz w:val="24"/>
          <w:szCs w:val="24"/>
          <w:lang w:eastAsia="zh-CN"/>
        </w:rPr>
        <w:t>赔付</w:t>
      </w:r>
      <w:r>
        <w:rPr>
          <w:rFonts w:hint="eastAsia" w:ascii="CESI宋体-GB2312" w:hAnsi="CESI宋体-GB2312" w:eastAsia="CESI宋体-GB2312" w:cs="CESI宋体-GB2312"/>
          <w:color w:val="auto"/>
          <w:sz w:val="24"/>
          <w:szCs w:val="24"/>
        </w:rPr>
        <w:t>承诺：</w:t>
      </w:r>
      <w:r>
        <w:rPr>
          <w:rFonts w:hint="eastAsia" w:ascii="CESI宋体-GB2312" w:hAnsi="CESI宋体-GB2312" w:eastAsia="CESI宋体-GB2312" w:cs="CESI宋体-GB2312"/>
          <w:color w:val="auto"/>
          <w:sz w:val="24"/>
          <w:szCs w:val="24"/>
          <w:lang w:eastAsia="zh-CN"/>
        </w:rPr>
        <w:t>由于</w:t>
      </w:r>
      <w:r>
        <w:rPr>
          <w:rFonts w:hint="eastAsia" w:ascii="CESI宋体-GB2312" w:hAnsi="CESI宋体-GB2312" w:eastAsia="CESI宋体-GB2312" w:cs="CESI宋体-GB2312"/>
          <w:color w:val="auto"/>
          <w:sz w:val="24"/>
          <w:szCs w:val="24"/>
        </w:rPr>
        <w:t>机器原因或耗材质量问题导致的耗材报废，按照以下</w:t>
      </w:r>
      <w:r>
        <w:rPr>
          <w:rFonts w:hint="eastAsia" w:ascii="CESI宋体-GB2312" w:hAnsi="CESI宋体-GB2312" w:eastAsia="CESI宋体-GB2312" w:cs="CESI宋体-GB2312"/>
          <w:color w:val="auto"/>
          <w:sz w:val="24"/>
          <w:szCs w:val="24"/>
          <w:lang w:eastAsia="zh-CN"/>
        </w:rPr>
        <w:t>不同情况</w:t>
      </w:r>
      <w:r>
        <w:rPr>
          <w:rFonts w:hint="eastAsia" w:ascii="CESI宋体-GB2312" w:hAnsi="CESI宋体-GB2312" w:eastAsia="CESI宋体-GB2312" w:cs="CESI宋体-GB2312"/>
          <w:color w:val="auto"/>
          <w:sz w:val="24"/>
          <w:szCs w:val="24"/>
        </w:rPr>
        <w:t>进行耗材赔付：</w:t>
      </w:r>
      <w:r>
        <w:rPr>
          <w:rFonts w:hint="eastAsia" w:ascii="CESI宋体-GB2312" w:hAnsi="CESI宋体-GB2312" w:eastAsia="CESI宋体-GB2312" w:cs="CESI宋体-GB2312"/>
          <w:color w:val="auto"/>
          <w:sz w:val="24"/>
          <w:szCs w:val="24"/>
          <w:lang w:val="en-US" w:eastAsia="zh-CN"/>
        </w:rPr>
        <w:t>（1）</w:t>
      </w:r>
      <w:r>
        <w:rPr>
          <w:rFonts w:hint="eastAsia" w:ascii="CESI宋体-GB2312" w:hAnsi="CESI宋体-GB2312" w:eastAsia="CESI宋体-GB2312" w:cs="CESI宋体-GB2312"/>
          <w:color w:val="auto"/>
          <w:sz w:val="24"/>
          <w:szCs w:val="24"/>
        </w:rPr>
        <w:t>如未连接献血者或病人，则按1:1赔付；</w:t>
      </w: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如已连接献血者或病人，则按1:2赔付；</w:t>
      </w: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rPr>
        <w:t>如已连接献血者或病人，同时导致采集产品报废，则按1:3赔付。</w:t>
      </w:r>
    </w:p>
    <w:p w14:paraId="4CD58A6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rPr>
        <w:t>每个耗材报废后如实填写耗材报废登记表或通过网络上报耗材报废原因。每季度末由采集部门和厂家进行赔付数量核对及耗材赔付登记表的收集，并根据报废情况填写耗材报废单，统计后上报总务科，由总务科督促厂家进行赔付。</w:t>
      </w:r>
    </w:p>
    <w:p w14:paraId="20301DE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十、违约责任</w:t>
      </w:r>
    </w:p>
    <w:p w14:paraId="0F4D4E6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1.乙方逾期交货的，每逾期一日，应按该批次迟交货物价款总额的万分之五向甲方支付违约金。逾期超过10日或累计逾期3次的，甲方有权单方解除合同，并要求乙方支付合同暂定总价款20%的违约金。</w:t>
      </w:r>
    </w:p>
    <w:p w14:paraId="28DF0E3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2.乙方交付的货物经甲方验收不合格或存在质量问题的，应按照第六条第6款在2日内更换或补足。若更换后仍不合格，甲方有权解除合同，并要求乙方支付合同暂定总价款20%的违约金。</w:t>
      </w:r>
    </w:p>
    <w:p w14:paraId="63AE057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3.第九条第3款约定的耗材赔付承诺，属于乙方应承担的特别赔偿责任，不影响甲方依据本条追究乙方的违约责任。</w:t>
      </w:r>
    </w:p>
    <w:p w14:paraId="50E4972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4.根本违约是指乙方违反本合同约定，导致合同目的无法实现的行为，包括但不限于：在投标或响应阶段提供虚假材料、弄虚作假，或故意夸大产品技术性能，且该夸大足以影响甲方采购决策的；无法按照招标参数或合同约定的技术规格提供货物，且经甲方给予7个工作日的整改期限后仍无法整改的；交付的货物存在以次充好、假冒伪劣、侵犯他人知识产权等严重违法情形的；违反保密义务，泄露甲方业务数据、献血者信息或其他敏感信息的；其他性质严重、影响恶劣的行为。</w:t>
      </w:r>
    </w:p>
    <w:p w14:paraId="09D8E6C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若乙方构成根本违约的，甲方有权立即解除本合同，不论货物是否已交付或已使用；要求乙方在10个工作日内自行承担费用召回全部已交付货物，并全额退还甲方已支付的全部款项；要求乙方支付合同总金额20%的违约金；将乙方列入甲方供应商黑名单，并在1至3年内拒绝其参与甲方任何采购项目。</w:t>
      </w:r>
    </w:p>
    <w:p w14:paraId="0381366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sz w:val="24"/>
          <w:szCs w:val="24"/>
        </w:rPr>
        <w:t>5.合同一方违约导致另一方采取法律途径维护合法权益的，违约方应承担守约方为维护权利而支出的案件受理费、保全费、保全保险费、律师费、交通费等全部诉讼费用。</w:t>
      </w:r>
    </w:p>
    <w:p w14:paraId="23E7F67A">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十一、争议的解决</w:t>
      </w:r>
    </w:p>
    <w:p w14:paraId="48D714D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1、甲乙双方所有争议应先采取友好协商的解决方式。</w:t>
      </w:r>
    </w:p>
    <w:p w14:paraId="4BB73DF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2、协商未达成一致意见的，</w:t>
      </w:r>
      <w:r>
        <w:rPr>
          <w:rFonts w:hint="eastAsia" w:ascii="CESI宋体-GB2312" w:hAnsi="CESI宋体-GB2312" w:eastAsia="CESI宋体-GB2312" w:cs="CESI宋体-GB2312"/>
          <w:color w:val="auto"/>
          <w:sz w:val="24"/>
          <w:szCs w:val="24"/>
          <w:lang w:val="en-US" w:eastAsia="zh-CN"/>
        </w:rPr>
        <w:t>任何一方可以向甲方所在地西安市雁塔区人民法院提起诉讼</w:t>
      </w:r>
      <w:r>
        <w:rPr>
          <w:rFonts w:hint="eastAsia" w:ascii="CESI宋体-GB2312" w:hAnsi="CESI宋体-GB2312" w:eastAsia="CESI宋体-GB2312" w:cs="CESI宋体-GB2312"/>
          <w:color w:val="auto"/>
          <w:sz w:val="24"/>
          <w:szCs w:val="24"/>
        </w:rPr>
        <w:t>。</w:t>
      </w:r>
    </w:p>
    <w:p w14:paraId="04E674A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本合同载明的联系地址等信息为本合同的有效联系方式；双方确认该联系方式真实有效，并且适用于双方往来联系、书面文件送达以及争议解决时法律文书送达，相对方不接受、拒收，则以函件退回之日为送达日期。任何一方变更对接人及联系方式的，均应在变更前5日内以书面方式通知对方。变更一方未发出变更通知的，或另一方在实际收到变更通知前已发出通知的，如另一方系按照原联系方式发出通知的，视为已履行通知义务，由此造成的损失由变更一方承担。</w:t>
      </w:r>
    </w:p>
    <w:p w14:paraId="114EEABF">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十二、合同生效</w:t>
      </w:r>
    </w:p>
    <w:p w14:paraId="4221418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1、本合同一式</w:t>
      </w:r>
      <w:r>
        <w:rPr>
          <w:rFonts w:hint="eastAsia" w:ascii="CESI宋体-GB2312" w:hAnsi="CESI宋体-GB2312" w:eastAsia="CESI宋体-GB2312" w:cs="CESI宋体-GB2312"/>
          <w:color w:val="0000FF"/>
          <w:sz w:val="24"/>
          <w:szCs w:val="24"/>
        </w:rPr>
        <w:t>陆</w:t>
      </w:r>
      <w:r>
        <w:rPr>
          <w:rFonts w:hint="eastAsia" w:ascii="CESI宋体-GB2312" w:hAnsi="CESI宋体-GB2312" w:eastAsia="CESI宋体-GB2312" w:cs="CESI宋体-GB2312"/>
          <w:sz w:val="24"/>
          <w:szCs w:val="24"/>
        </w:rPr>
        <w:t>份，甲方执</w:t>
      </w:r>
      <w:r>
        <w:rPr>
          <w:rFonts w:hint="eastAsia" w:ascii="CESI宋体-GB2312" w:hAnsi="CESI宋体-GB2312" w:eastAsia="CESI宋体-GB2312" w:cs="CESI宋体-GB2312"/>
          <w:color w:val="0000FF"/>
          <w:sz w:val="24"/>
          <w:szCs w:val="24"/>
        </w:rPr>
        <w:t>肆</w:t>
      </w:r>
      <w:r>
        <w:rPr>
          <w:rFonts w:hint="eastAsia" w:ascii="CESI宋体-GB2312" w:hAnsi="CESI宋体-GB2312" w:eastAsia="CESI宋体-GB2312" w:cs="CESI宋体-GB2312"/>
          <w:sz w:val="24"/>
          <w:szCs w:val="24"/>
        </w:rPr>
        <w:t>份，乙方执</w:t>
      </w:r>
      <w:r>
        <w:rPr>
          <w:rFonts w:hint="eastAsia" w:ascii="CESI宋体-GB2312" w:hAnsi="CESI宋体-GB2312" w:eastAsia="CESI宋体-GB2312" w:cs="CESI宋体-GB2312"/>
          <w:color w:val="0000FF"/>
          <w:sz w:val="24"/>
          <w:szCs w:val="24"/>
        </w:rPr>
        <w:t>贰</w:t>
      </w:r>
      <w:r>
        <w:rPr>
          <w:rFonts w:hint="eastAsia" w:ascii="CESI宋体-GB2312" w:hAnsi="CESI宋体-GB2312" w:eastAsia="CESI宋体-GB2312" w:cs="CESI宋体-GB2312"/>
          <w:sz w:val="24"/>
          <w:szCs w:val="24"/>
        </w:rPr>
        <w:t>份，具有同等法律效力。本合同经双方法定代表人或授权代表签字并加盖单位公章（或合同专用章）后生效；</w:t>
      </w:r>
    </w:p>
    <w:p w14:paraId="1791601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2.合同履行期限自</w:t>
      </w:r>
      <w:r>
        <w:rPr>
          <w:rFonts w:hint="eastAsia" w:ascii="CESI宋体-GB2312" w:hAnsi="CESI宋体-GB2312" w:eastAsia="CESI宋体-GB2312" w:cs="CESI宋体-GB2312"/>
          <w:color w:val="0000FF"/>
          <w:sz w:val="24"/>
          <w:szCs w:val="24"/>
        </w:rPr>
        <w:t>2026</w:t>
      </w:r>
      <w:r>
        <w:rPr>
          <w:rFonts w:hint="eastAsia" w:ascii="CESI宋体-GB2312" w:hAnsi="CESI宋体-GB2312" w:eastAsia="CESI宋体-GB2312" w:cs="CESI宋体-GB2312"/>
          <w:sz w:val="24"/>
          <w:szCs w:val="24"/>
        </w:rPr>
        <w:t>年</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月</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日起至</w:t>
      </w:r>
      <w:r>
        <w:rPr>
          <w:rFonts w:hint="eastAsia" w:ascii="CESI宋体-GB2312" w:hAnsi="CESI宋体-GB2312" w:eastAsia="CESI宋体-GB2312" w:cs="CESI宋体-GB2312"/>
          <w:color w:val="0000FF"/>
          <w:sz w:val="24"/>
          <w:szCs w:val="24"/>
        </w:rPr>
        <w:t>2027</w:t>
      </w:r>
      <w:r>
        <w:rPr>
          <w:rFonts w:hint="eastAsia" w:ascii="CESI宋体-GB2312" w:hAnsi="CESI宋体-GB2312" w:eastAsia="CESI宋体-GB2312" w:cs="CESI宋体-GB2312"/>
          <w:sz w:val="24"/>
          <w:szCs w:val="24"/>
        </w:rPr>
        <w:t>年</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月</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日止。履行期限届满时，若双方仍有尚未履行完毕的义务（包括但不限于供货、付款、质量保证、售后服务、耗材赔付等），相关条款的效力持续至该等义务完全履行完毕之日止；</w:t>
      </w:r>
    </w:p>
    <w:p w14:paraId="386464B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sz w:val="24"/>
          <w:szCs w:val="24"/>
        </w:rPr>
        <w:t>3.合同提前终止的，乙方的质量保证、售后服务、耗材赔付义务以及争议解决条款继续有效，直至相关义务履行完毕。</w:t>
      </w:r>
    </w:p>
    <w:p w14:paraId="1582386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十三、其他事项</w:t>
      </w:r>
    </w:p>
    <w:p w14:paraId="13994F55">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一）中标通知书、中标方的投标文件及澄清或承诺、招标文件等均为合同的有效组成部分，具有同等法律效力。上述文件如有冲突，以排列在前的优先。合同未尽事宜，由甲、乙双方协商确认后，作为合同补充，与原合同具有同等法律效力。</w:t>
      </w:r>
    </w:p>
    <w:p w14:paraId="5B7E32FE">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（二）合同一经签订，不得擅自变更、中止或终止合同。对确需变更、调整或中止、终止合同的，应按规定履行相应的手续。</w:t>
      </w:r>
    </w:p>
    <w:p w14:paraId="179A693D">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（三）本合同按照中华人民共和国的现行法律进行解释。</w:t>
      </w:r>
    </w:p>
    <w:p w14:paraId="4D6A82C0">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（四）采购合同条款和招标文件、采购文件、投标文件的内容不一致的，以采购合同内容为准。</w:t>
      </w:r>
    </w:p>
    <w:p w14:paraId="140ABB0F">
      <w:pPr>
        <w:spacing w:line="360" w:lineRule="exact"/>
        <w:ind w:firstLine="480" w:firstLineChars="200"/>
        <w:jc w:val="both"/>
        <w:rPr>
          <w:rFonts w:hint="eastAsia" w:ascii="CESI宋体-GB2312" w:hAnsi="CESI宋体-GB2312" w:eastAsia="CESI宋体-GB2312" w:cs="CESI宋体-GB2312"/>
          <w:sz w:val="24"/>
          <w:szCs w:val="24"/>
          <w:lang w:eastAsia="zh-CN"/>
        </w:rPr>
      </w:pPr>
      <w:r>
        <w:rPr>
          <w:rFonts w:hint="eastAsia" w:ascii="CESI宋体-GB2312" w:hAnsi="CESI宋体-GB2312" w:eastAsia="CESI宋体-GB2312" w:cs="CESI宋体-GB2312"/>
          <w:sz w:val="24"/>
          <w:szCs w:val="24"/>
          <w:lang w:eastAsia="zh-CN"/>
        </w:rPr>
        <w:t>（</w:t>
      </w:r>
      <w:r>
        <w:rPr>
          <w:rFonts w:hint="eastAsia" w:ascii="CESI宋体-GB2312" w:hAnsi="CESI宋体-GB2312" w:eastAsia="CESI宋体-GB2312" w:cs="CESI宋体-GB2312"/>
          <w:sz w:val="24"/>
          <w:szCs w:val="24"/>
          <w:lang w:val="en-US" w:eastAsia="zh-CN"/>
        </w:rPr>
        <w:t>以下无正文</w:t>
      </w:r>
      <w:r>
        <w:rPr>
          <w:rFonts w:hint="eastAsia" w:ascii="CESI宋体-GB2312" w:hAnsi="CESI宋体-GB2312" w:eastAsia="CESI宋体-GB2312" w:cs="CESI宋体-GB2312"/>
          <w:sz w:val="24"/>
          <w:szCs w:val="24"/>
          <w:lang w:eastAsia="zh-CN"/>
        </w:rPr>
        <w:t>）</w:t>
      </w:r>
    </w:p>
    <w:bookmarkEnd w:id="0"/>
    <w:tbl>
      <w:tblPr>
        <w:tblStyle w:val="12"/>
        <w:tblW w:w="9087"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3"/>
        <w:gridCol w:w="4544"/>
      </w:tblGrid>
      <w:tr w14:paraId="3B880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4543" w:type="dxa"/>
            <w:tcBorders>
              <w:top w:val="single" w:color="auto" w:sz="4" w:space="0"/>
              <w:left w:val="single" w:color="auto" w:sz="4" w:space="0"/>
              <w:bottom w:val="single" w:color="auto" w:sz="4" w:space="0"/>
              <w:right w:val="single" w:color="auto" w:sz="4" w:space="0"/>
            </w:tcBorders>
            <w:vAlign w:val="center"/>
          </w:tcPr>
          <w:p w14:paraId="485D2B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甲  方</w:t>
            </w:r>
          </w:p>
        </w:tc>
        <w:tc>
          <w:tcPr>
            <w:tcW w:w="4544" w:type="dxa"/>
            <w:tcBorders>
              <w:top w:val="single" w:color="auto" w:sz="4" w:space="0"/>
              <w:left w:val="single" w:color="auto" w:sz="4" w:space="0"/>
              <w:bottom w:val="single" w:color="auto" w:sz="4" w:space="0"/>
              <w:right w:val="single" w:color="auto" w:sz="4" w:space="0"/>
            </w:tcBorders>
            <w:vAlign w:val="center"/>
          </w:tcPr>
          <w:p w14:paraId="4AEF006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乙  方</w:t>
            </w:r>
          </w:p>
        </w:tc>
      </w:tr>
      <w:tr w14:paraId="3B09F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trPr>
        <w:tc>
          <w:tcPr>
            <w:tcW w:w="4543" w:type="dxa"/>
            <w:tcBorders>
              <w:top w:val="single" w:color="auto" w:sz="4" w:space="0"/>
              <w:left w:val="single" w:color="auto" w:sz="4" w:space="0"/>
              <w:bottom w:val="single" w:color="auto" w:sz="4" w:space="0"/>
              <w:right w:val="single" w:color="auto" w:sz="4" w:space="0"/>
            </w:tcBorders>
            <w:vAlign w:val="center"/>
          </w:tcPr>
          <w:p w14:paraId="1226F67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采购人名称（盖章）</w:t>
            </w:r>
          </w:p>
          <w:p w14:paraId="21DBC71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kern w:val="0"/>
              </w:rPr>
              <w:t>西安市中心血站</w:t>
            </w:r>
          </w:p>
        </w:tc>
        <w:tc>
          <w:tcPr>
            <w:tcW w:w="4544" w:type="dxa"/>
            <w:tcBorders>
              <w:top w:val="single" w:color="auto" w:sz="4" w:space="0"/>
              <w:left w:val="single" w:color="auto" w:sz="4" w:space="0"/>
              <w:bottom w:val="single" w:color="auto" w:sz="4" w:space="0"/>
              <w:right w:val="single" w:color="auto" w:sz="4" w:space="0"/>
            </w:tcBorders>
            <w:vAlign w:val="center"/>
          </w:tcPr>
          <w:p w14:paraId="5F80E42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供应商全称（盖章）</w:t>
            </w:r>
          </w:p>
          <w:p w14:paraId="3AF44F0D">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p>
        </w:tc>
      </w:tr>
      <w:tr w14:paraId="76265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exact"/>
        </w:trPr>
        <w:tc>
          <w:tcPr>
            <w:tcW w:w="4543" w:type="dxa"/>
            <w:tcBorders>
              <w:top w:val="single" w:color="auto" w:sz="4" w:space="0"/>
              <w:left w:val="single" w:color="auto" w:sz="4" w:space="0"/>
              <w:bottom w:val="single" w:color="auto" w:sz="4" w:space="0"/>
              <w:right w:val="single" w:color="auto" w:sz="4" w:space="0"/>
            </w:tcBorders>
            <w:vAlign w:val="center"/>
          </w:tcPr>
          <w:p w14:paraId="53CF2E6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rPr>
            </w:pPr>
            <w:r>
              <w:rPr>
                <w:rFonts w:hint="eastAsia" w:ascii="CESI宋体-GB2312" w:hAnsi="CESI宋体-GB2312" w:eastAsia="CESI宋体-GB2312" w:cs="CESI宋体-GB2312"/>
              </w:rPr>
              <w:t>法定代表人</w:t>
            </w:r>
          </w:p>
          <w:p w14:paraId="693B9F42">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lang w:val="en-US" w:eastAsia="zh-CN"/>
              </w:rPr>
            </w:pPr>
            <w:r>
              <w:rPr>
                <w:rFonts w:hint="eastAsia" w:ascii="CESI宋体-GB2312" w:hAnsi="CESI宋体-GB2312" w:eastAsia="CESI宋体-GB2312" w:cs="CESI宋体-GB2312"/>
                <w:lang w:eastAsia="zh-CN"/>
              </w:rPr>
              <w:t>或</w:t>
            </w:r>
            <w:r>
              <w:rPr>
                <w:rFonts w:hint="eastAsia" w:ascii="CESI宋体-GB2312" w:hAnsi="CESI宋体-GB2312" w:eastAsia="CESI宋体-GB2312" w:cs="CESI宋体-GB2312"/>
              </w:rPr>
              <w:t xml:space="preserve">授权代表： </w:t>
            </w:r>
          </w:p>
        </w:tc>
        <w:tc>
          <w:tcPr>
            <w:tcW w:w="4544" w:type="dxa"/>
            <w:tcBorders>
              <w:top w:val="single" w:color="auto" w:sz="4" w:space="0"/>
              <w:left w:val="single" w:color="auto" w:sz="4" w:space="0"/>
              <w:bottom w:val="single" w:color="auto" w:sz="4" w:space="0"/>
              <w:right w:val="single" w:color="auto" w:sz="4" w:space="0"/>
            </w:tcBorders>
            <w:vAlign w:val="center"/>
          </w:tcPr>
          <w:p w14:paraId="35327FC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rPr>
            </w:pPr>
            <w:r>
              <w:rPr>
                <w:rFonts w:hint="eastAsia" w:ascii="CESI宋体-GB2312" w:hAnsi="CESI宋体-GB2312" w:eastAsia="CESI宋体-GB2312" w:cs="CESI宋体-GB2312"/>
              </w:rPr>
              <w:t>法定代表人</w:t>
            </w:r>
          </w:p>
          <w:p w14:paraId="7A84C971">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kern w:val="2"/>
                <w:sz w:val="21"/>
                <w:szCs w:val="22"/>
                <w:lang w:val="en-US" w:eastAsia="zh-CN" w:bidi="ar-SA"/>
              </w:rPr>
            </w:pPr>
            <w:r>
              <w:rPr>
                <w:rFonts w:hint="eastAsia" w:ascii="CESI宋体-GB2312" w:hAnsi="CESI宋体-GB2312" w:eastAsia="CESI宋体-GB2312" w:cs="CESI宋体-GB2312"/>
                <w:lang w:eastAsia="zh-CN"/>
              </w:rPr>
              <w:t>或</w:t>
            </w:r>
            <w:r>
              <w:rPr>
                <w:rFonts w:hint="eastAsia" w:ascii="CESI宋体-GB2312" w:hAnsi="CESI宋体-GB2312" w:eastAsia="CESI宋体-GB2312" w:cs="CESI宋体-GB2312"/>
              </w:rPr>
              <w:t>授权代表：</w:t>
            </w:r>
          </w:p>
        </w:tc>
      </w:tr>
      <w:tr w14:paraId="11CF7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trPr>
        <w:tc>
          <w:tcPr>
            <w:tcW w:w="9087" w:type="dxa"/>
            <w:gridSpan w:val="2"/>
            <w:tcBorders>
              <w:top w:val="single" w:color="auto" w:sz="4" w:space="0"/>
              <w:left w:val="single" w:color="auto" w:sz="4" w:space="0"/>
              <w:bottom w:val="single" w:color="auto" w:sz="4" w:space="0"/>
              <w:right w:val="single" w:color="auto" w:sz="4" w:space="0"/>
            </w:tcBorders>
            <w:vAlign w:val="center"/>
          </w:tcPr>
          <w:p w14:paraId="35B042AE">
            <w:pPr>
              <w:keepNext w:val="0"/>
              <w:keepLines w:val="0"/>
              <w:pageBreakBefore w:val="0"/>
              <w:widowControl w:val="0"/>
              <w:kinsoku/>
              <w:wordWrap/>
              <w:overflowPunct/>
              <w:topLinePunct w:val="0"/>
              <w:autoSpaceDE/>
              <w:autoSpaceDN/>
              <w:adjustRightInd/>
              <w:snapToGrid/>
              <w:spacing w:line="560" w:lineRule="exact"/>
              <w:jc w:val="center"/>
              <w:rPr>
                <w:rFonts w:ascii="CESI宋体-GB2312" w:hAnsi="CESI宋体-GB2312" w:eastAsia="CESI宋体-GB2312" w:cs="CESI宋体-GB2312"/>
                <w:lang w:eastAsia="zh-CN"/>
              </w:rPr>
            </w:pPr>
            <w:r>
              <w:rPr>
                <w:rFonts w:ascii="CESI宋体-GB2312" w:hAnsi="CESI宋体-GB2312" w:eastAsia="CESI宋体-GB2312" w:cs="CESI宋体-GB2312"/>
                <w:lang w:eastAsia="zh-CN"/>
              </w:rPr>
              <w:t>签订日期：</w:t>
            </w:r>
            <w:r>
              <w:rPr>
                <w:rFonts w:hint="eastAsia" w:ascii="CESI宋体-GB2312" w:hAnsi="CESI宋体-GB2312" w:eastAsia="CESI宋体-GB2312" w:cs="CESI宋体-GB2312"/>
                <w:color w:val="0000FF"/>
                <w:lang w:val="en-US" w:eastAsia="zh-CN"/>
              </w:rPr>
              <w:t>2026</w:t>
            </w:r>
            <w:r>
              <w:rPr>
                <w:rFonts w:ascii="CESI宋体-GB2312" w:hAnsi="CESI宋体-GB2312" w:eastAsia="CESI宋体-GB2312" w:cs="CESI宋体-GB2312"/>
                <w:lang w:eastAsia="zh-CN"/>
              </w:rPr>
              <w:t>年   月   日</w:t>
            </w:r>
          </w:p>
        </w:tc>
      </w:tr>
    </w:tbl>
    <w:p w14:paraId="73FE8C5A">
      <w:pPr>
        <w:spacing w:line="560" w:lineRule="exact"/>
      </w:pPr>
    </w:p>
    <w:sectPr>
      <w:footerReference r:id="rId3" w:type="default"/>
      <w:type w:val="continuous"/>
      <w:pgSz w:w="11906" w:h="16838"/>
      <w:pgMar w:top="1417" w:right="1417" w:bottom="1417" w:left="1417" w:header="851" w:footer="992"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4B9E9A5A-0468-41FA-95A5-77A4CA371D31}"/>
  </w:font>
  <w:font w:name="文泉驿微米黑">
    <w:altName w:val="黑体"/>
    <w:panose1 w:val="020B0606030804020204"/>
    <w:charset w:val="86"/>
    <w:family w:val="auto"/>
    <w:pitch w:val="default"/>
    <w:sig w:usb0="00000000" w:usb1="00000000" w:usb2="00800036" w:usb3="00000000" w:csb0="603E019F" w:csb1="DFD70000"/>
  </w:font>
  <w:font w:name="楷体_GB2312">
    <w:altName w:val="楷体"/>
    <w:panose1 w:val="02010609030101010101"/>
    <w:charset w:val="86"/>
    <w:family w:val="modern"/>
    <w:pitch w:val="default"/>
    <w:sig w:usb0="00000000" w:usb1="00000000" w:usb2="00000000" w:usb3="00000000" w:csb0="00040000" w:csb1="00000000"/>
  </w:font>
  <w:font w:name="方正楷体_GBK">
    <w:altName w:val="微软雅黑"/>
    <w:panose1 w:val="02000000000000000000"/>
    <w:charset w:val="86"/>
    <w:family w:val="auto"/>
    <w:pitch w:val="default"/>
    <w:sig w:usb0="00000000" w:usb1="00000000" w:usb2="00000000" w:usb3="00000000" w:csb0="00040000" w:csb1="00000000"/>
  </w:font>
  <w:font w:name="CESI宋体-GB2312">
    <w:altName w:val="宋体"/>
    <w:panose1 w:val="02000500000000000000"/>
    <w:charset w:val="86"/>
    <w:family w:val="script"/>
    <w:pitch w:val="default"/>
    <w:sig w:usb0="00000000" w:usb1="00000000" w:usb2="00000010" w:usb3="00000000" w:csb0="0004000F" w:csb1="00000000"/>
    <w:embedRegular r:id="rId2" w:fontKey="{0DB73D52-DECD-4FD5-B8DE-367D4CCB45EB}"/>
  </w:font>
  <w:font w:name="方正小标宋简体">
    <w:panose1 w:val="02000000000000000000"/>
    <w:charset w:val="86"/>
    <w:family w:val="auto"/>
    <w:pitch w:val="default"/>
    <w:sig w:usb0="00000001" w:usb1="08000000" w:usb2="00000000" w:usb3="00000000" w:csb0="00040000" w:csb1="00000000"/>
    <w:embedRegular r:id="rId3" w:fontKey="{F3C48894-A31E-49B9-AD97-58042D08FB12}"/>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7D92F">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888365" cy="173990"/>
              <wp:effectExtent l="0" t="0" r="0" b="0"/>
              <wp:wrapNone/>
              <wp:docPr id="4097" name="_x0000_s4097"/>
              <wp:cNvGraphicFramePr/>
              <a:graphic xmlns:a="http://schemas.openxmlformats.org/drawingml/2006/main">
                <a:graphicData uri="http://schemas.microsoft.com/office/word/2010/wordprocessingShape">
                  <wps:wsp>
                    <wps:cNvSpPr/>
                    <wps:spPr>
                      <a:xfrm>
                        <a:off x="0" y="0"/>
                        <a:ext cx="888391" cy="174184"/>
                      </a:xfrm>
                      <a:prstGeom prst="rect">
                        <a:avLst/>
                      </a:prstGeom>
                      <a:noFill/>
                      <a:ln w="9525" cap="flat" cmpd="sng">
                        <a:noFill/>
                        <a:prstDash val="solid"/>
                        <a:miter/>
                      </a:ln>
                    </wps:spPr>
                    <wps:txbx>
                      <w:txbxContent>
                        <w:p w14:paraId="345F006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vert="horz" wrap="none" lIns="0" tIns="0" rIns="0" bIns="0" anchor="t" anchorCtr="0" upright="1">
                      <a:spAutoFit/>
                    </wps:bodyPr>
                  </wps:wsp>
                </a:graphicData>
              </a:graphic>
            </wp:anchor>
          </w:drawing>
        </mc:Choice>
        <mc:Fallback>
          <w:pict>
            <v:rect id="_x0000_s4097" o:spid="_x0000_s1026" o:spt="1" style="position:absolute;left:0pt;margin-top:0pt;height:13.7pt;width:69.95pt;mso-position-horizontal:center;mso-position-horizontal-relative:margin;mso-wrap-style:none;z-index:251659264;mso-width-relative:page;mso-height-relative:page;" filled="f" stroked="f" coordsize="21600,21600" o:gfxdata="UEsDBAoAAAAAAIdO4kAAAAAAAAAAAAAAAAAEAAAAZHJzL1BLAwQUAAAACACHTuJAIqG6R9MAAAAE&#10;AQAADwAAAGRycy9kb3ducmV2LnhtbE2PzU7DMBCE70i8g7VI3KjdgKANcXpAqgSIS1MewI03P8Le&#10;jWy3KW+PywUuK41mNPNttTl7J04Y4sikYblQIJBatiP1Gj7327sViJgMWeOYUMM3RtjU11eVKS3P&#10;tMNTk3qRSyiWRsOQ0lRKGdsBvYkLnpCy13HwJmUZemmDmXO5d7JQ6lF6M1JeGMyELwO2X83Ra5D7&#10;ZjuvGhcUvxfdh3t73XXIWt/eLNUziITn9BeGC35GhzozHfhINgqnIT+Sfu/Fu1+vQRw0FE8PIOtK&#10;/oevfwBQSwMEFAAAAAgAh07iQKhkHp76AQAA+AMAAA4AAABkcnMvZTJvRG9jLnhtbK1Ty27bMBC8&#10;F+g/ELzXkhynkQXLQVAjRYGiDZD2HNAUJRHgC1zakvv1XVKyHaSXHKqDNCRXw53hcHM/akWOwoO0&#10;pqbFIqdEGG4babqa/v71+KmkBAIzDVPWiJqeBND77ccPm8FVYml7qxrhCZIYqAZX0z4EV2UZ8F5o&#10;BgvrhMHF1nrNAg59lzWeDciuVbbM88/ZYH3jvOUCAGd30yKdGf17CG3bSi52lh+0MGFi9UKxgJKg&#10;lw7oNnXbtoKHn20LIhBVU1Qa0hs3QbyP72y7YVXnmesln1tg72nhjSbNpMFNL1Q7Fhg5ePkPlZbc&#10;W7BtWHCrs0lIcgRVFPkbb5575kTSglaDu5gO/4+W/zg+eSKbmq7y9R0lhmk885cxx+cF0hxaNDio&#10;sPLZPfl5BAij3rH1On5RCRmTraeLrWIMhONkWZY364ISjkvF3aooV9H27Pqz8xC+CqtJBDX1eGrJ&#10;THb8DmEqPZfEvYx9lErhPKuUIUNN17fLW6RnmMYWU4BQO1QEpks0r+ojzY5BT44MAwFWyWaKgJZB&#10;RG3YlTL4iYonjRGFcT/iYoR725zQMbxA2Glv/R9KBoxPTQ3eFkrUN4OnE5N2Bv4M9mfADMcfa4qN&#10;TvBLmBJ5cF52PfIWqW9wD4eAWpMF173n7jAQqd05vDFxr8ep6npht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qG6R9MAAAAEAQAADwAAAAAAAAABACAAAAAiAAAAZHJzL2Rvd25yZXYueG1sUEsB&#10;AhQAFAAAAAgAh07iQKhkHp76AQAA+AMAAA4AAAAAAAAAAQAgAAAAIgEAAGRycy9lMm9Eb2MueG1s&#10;UEsFBgAAAAAGAAYAWQEAAI4FAAAAAA==&#10;">
              <v:fill on="f" focussize="0,0"/>
              <v:stroke on="f" joinstyle="miter"/>
              <v:imagedata o:title=""/>
              <o:lock v:ext="edit" aspectratio="f"/>
              <v:textbox inset="0mm,0mm,0mm,0mm" style="mso-fit-shape-to-text:t;">
                <w:txbxContent>
                  <w:p w14:paraId="345F006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rect>
          </w:pict>
        </mc:Fallback>
      </mc:AlternateContent>
    </w:r>
  </w:p>
  <w:p w14:paraId="69D46FC3">
    <w:pPr>
      <w:pStyle w:val="9"/>
      <w:jc w:val="right"/>
      <w:rPr>
        <w:rFonts w:ascii="宋体" w:hAnsi="宋体" w:cs="宋体"/>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43"/>
  <w:drawingGridVerticalSpacing w:val="382"/>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wMWJhNjllNWYxNjdlM2U1NGI4NmRmNjAwM2ZkNmMifQ=="/>
  </w:docVars>
  <w:rsids>
    <w:rsidRoot w:val="00000000"/>
    <w:rsid w:val="09F618EC"/>
    <w:rsid w:val="1FE54D54"/>
    <w:rsid w:val="2AEEF20E"/>
    <w:rsid w:val="3D7E7CED"/>
    <w:rsid w:val="5C7F00B4"/>
    <w:rsid w:val="5FF3C843"/>
    <w:rsid w:val="67F9BC33"/>
    <w:rsid w:val="6CFE4096"/>
    <w:rsid w:val="73FB6D1A"/>
    <w:rsid w:val="7BBFBEEF"/>
    <w:rsid w:val="7FF67E04"/>
    <w:rsid w:val="9BF36AAA"/>
    <w:rsid w:val="9EF6815D"/>
    <w:rsid w:val="BAC9BEDF"/>
    <w:rsid w:val="BD56C8DF"/>
    <w:rsid w:val="D6DF8D4D"/>
    <w:rsid w:val="DAEF0C86"/>
    <w:rsid w:val="E11DA8B5"/>
    <w:rsid w:val="EC4E4BCB"/>
    <w:rsid w:val="EDBF709B"/>
    <w:rsid w:val="EFF4A19A"/>
    <w:rsid w:val="EFFBC25E"/>
    <w:rsid w:val="F3FD23AD"/>
    <w:rsid w:val="F5FF627A"/>
    <w:rsid w:val="F75ECE33"/>
    <w:rsid w:val="F84F7AE7"/>
    <w:rsid w:val="FEE77A9D"/>
    <w:rsid w:val="FEF82F7B"/>
    <w:rsid w:val="FF3F09DF"/>
    <w:rsid w:val="FF7D79FF"/>
    <w:rsid w:val="FFF95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center"/>
    </w:pPr>
    <w:rPr>
      <w:rFonts w:ascii="Calibri" w:hAnsi="Calibri" w:eastAsia="宋体" w:cs="Times New Roman"/>
      <w:kern w:val="2"/>
      <w:sz w:val="21"/>
      <w:szCs w:val="22"/>
      <w:lang w:val="en-US" w:eastAsia="zh-CN" w:bidi="ar-SA"/>
    </w:rPr>
  </w:style>
  <w:style w:type="paragraph" w:styleId="2">
    <w:name w:val="heading 1"/>
    <w:basedOn w:val="1"/>
    <w:next w:val="1"/>
    <w:link w:val="1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
    <w:qFormat/>
    <w:uiPriority w:val="0"/>
    <w:pPr>
      <w:keepNext/>
      <w:keepLines/>
      <w:spacing w:before="260" w:after="260" w:line="415" w:lineRule="auto"/>
      <w:outlineLvl w:val="1"/>
    </w:pPr>
    <w:rPr>
      <w:rFonts w:ascii="文泉驿微米黑" w:hAnsi="文泉驿微米黑" w:eastAsia="黑体"/>
      <w:b/>
      <w:bCs/>
      <w:sz w:val="32"/>
      <w:szCs w:val="32"/>
    </w:rPr>
  </w:style>
  <w:style w:type="paragraph" w:styleId="4">
    <w:name w:val="heading 3"/>
    <w:basedOn w:val="1"/>
    <w:next w:val="1"/>
    <w:link w:val="16"/>
    <w:qFormat/>
    <w:uiPriority w:val="0"/>
    <w:pPr>
      <w:keepNext/>
      <w:keepLines/>
      <w:spacing w:before="260" w:after="260" w:line="415" w:lineRule="auto"/>
      <w:outlineLvl w:val="2"/>
    </w:pPr>
    <w:rPr>
      <w:b/>
      <w:bCs/>
      <w:sz w:val="32"/>
      <w:szCs w:val="32"/>
    </w:rPr>
  </w:style>
  <w:style w:type="paragraph" w:styleId="5">
    <w:name w:val="heading 4"/>
    <w:basedOn w:val="1"/>
    <w:next w:val="1"/>
    <w:link w:val="17"/>
    <w:autoRedefine/>
    <w:qFormat/>
    <w:uiPriority w:val="0"/>
    <w:pPr>
      <w:keepNext/>
      <w:spacing w:line="600" w:lineRule="exact"/>
      <w:jc w:val="center"/>
      <w:outlineLvl w:val="3"/>
    </w:pPr>
    <w:rPr>
      <w:rFonts w:ascii="楷体_GB2312" w:eastAsia="楷体_GB2312"/>
      <w:sz w:val="32"/>
    </w:rPr>
  </w:style>
  <w:style w:type="character" w:default="1" w:styleId="13">
    <w:name w:val="Default Paragraph Font"/>
    <w:autoRedefine/>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6">
    <w:name w:val="annotation text"/>
    <w:basedOn w:val="1"/>
    <w:autoRedefine/>
    <w:qFormat/>
    <w:uiPriority w:val="0"/>
    <w:pPr>
      <w:jc w:val="left"/>
    </w:pPr>
  </w:style>
  <w:style w:type="paragraph" w:styleId="7">
    <w:name w:val="Body Text"/>
    <w:basedOn w:val="1"/>
    <w:next w:val="1"/>
    <w:autoRedefine/>
    <w:qFormat/>
    <w:uiPriority w:val="0"/>
    <w:pPr>
      <w:spacing w:after="120"/>
    </w:pPr>
    <w:rPr>
      <w:rFonts w:ascii="Times New Roman" w:hAnsi="Times New Roman"/>
    </w:rPr>
  </w:style>
  <w:style w:type="paragraph" w:styleId="8">
    <w:name w:val="Balloon Text"/>
    <w:basedOn w:val="1"/>
    <w:autoRedefine/>
    <w:qFormat/>
    <w:uiPriority w:val="0"/>
    <w:rPr>
      <w:sz w:val="18"/>
      <w:szCs w:val="18"/>
    </w:rPr>
  </w:style>
  <w:style w:type="paragraph" w:styleId="9">
    <w:name w:val="footer"/>
    <w:basedOn w:val="1"/>
    <w:autoRedefine/>
    <w:qFormat/>
    <w:uiPriority w:val="0"/>
    <w:pPr>
      <w:tabs>
        <w:tab w:val="center" w:pos="4153"/>
        <w:tab w:val="right" w:pos="8306"/>
      </w:tabs>
      <w:snapToGrid w:val="0"/>
      <w:jc w:val="left"/>
    </w:pPr>
    <w:rPr>
      <w:rFonts w:eastAsia="Times New Roman"/>
      <w:sz w:val="18"/>
      <w:szCs w:val="18"/>
    </w:rPr>
  </w:style>
  <w:style w:type="paragraph" w:styleId="10">
    <w:name w:val="header"/>
    <w:basedOn w:val="1"/>
    <w:autoRedefine/>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4">
    <w:name w:val="heading 1 Char"/>
    <w:basedOn w:val="13"/>
    <w:link w:val="2"/>
    <w:qFormat/>
    <w:uiPriority w:val="0"/>
    <w:rPr>
      <w:rFonts w:ascii="Calibri" w:hAnsi="Calibri" w:eastAsia="宋体" w:cs="Times New Roman"/>
      <w:b/>
      <w:bCs/>
      <w:kern w:val="44"/>
      <w:sz w:val="44"/>
      <w:szCs w:val="44"/>
      <w:lang w:val="en-US" w:eastAsia="zh-CN" w:bidi="ar-SA"/>
    </w:rPr>
  </w:style>
  <w:style w:type="character" w:customStyle="1" w:styleId="15">
    <w:name w:val="heading 2 Char"/>
    <w:basedOn w:val="13"/>
    <w:link w:val="3"/>
    <w:qFormat/>
    <w:uiPriority w:val="0"/>
    <w:rPr>
      <w:rFonts w:ascii="文泉驿微米黑" w:hAnsi="文泉驿微米黑" w:eastAsia="黑体" w:cs="Times New Roman"/>
      <w:b/>
      <w:bCs/>
      <w:kern w:val="2"/>
      <w:sz w:val="32"/>
      <w:szCs w:val="32"/>
      <w:lang w:val="en-US" w:eastAsia="zh-CN" w:bidi="ar-SA"/>
    </w:rPr>
  </w:style>
  <w:style w:type="character" w:customStyle="1" w:styleId="16">
    <w:name w:val="heading 3 Char"/>
    <w:basedOn w:val="13"/>
    <w:link w:val="4"/>
    <w:qFormat/>
    <w:uiPriority w:val="0"/>
    <w:rPr>
      <w:rFonts w:ascii="Calibri" w:hAnsi="Calibri" w:eastAsia="宋体" w:cs="Times New Roman"/>
      <w:b/>
      <w:bCs/>
      <w:kern w:val="2"/>
      <w:sz w:val="32"/>
      <w:szCs w:val="32"/>
      <w:lang w:val="en-US" w:eastAsia="zh-CN" w:bidi="ar-SA"/>
    </w:rPr>
  </w:style>
  <w:style w:type="character" w:customStyle="1" w:styleId="17">
    <w:name w:val="heading 4 Char"/>
    <w:basedOn w:val="13"/>
    <w:link w:val="5"/>
    <w:autoRedefine/>
    <w:qFormat/>
    <w:uiPriority w:val="0"/>
    <w:rPr>
      <w:rFonts w:ascii="楷体_GB2312" w:hAnsi="Calibri" w:eastAsia="楷体_GB2312" w:cs="Times New Roman"/>
      <w:kern w:val="2"/>
      <w:sz w:val="32"/>
      <w:szCs w:val="22"/>
      <w:lang w:val="en-US" w:eastAsia="zh-CN" w:bidi="ar-SA"/>
    </w:rPr>
  </w:style>
  <w:style w:type="paragraph" w:customStyle="1" w:styleId="18">
    <w:name w:val="无间隔"/>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
        <a:ea typeface=""/>
        <a:cs typeface=""/>
      </a:majorFont>
      <a:minorFont>
        <a:latin typeface=""/>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1"/>
        </a:gradFill>
      </a:fillStyleLst>
      <a:lnStyleLst>
        <a:ln w="9525" cap="flat" cmpd="sng">
          <a:solidFill>
            <a:schemeClr val="phClr">
              <a:shade val="95000"/>
              <a:satMod val="105000"/>
            </a:schemeClr>
          </a:solidFill>
          <a:prstDash val="solid"/>
          <a:round/>
        </a:ln>
        <a:ln w="25400" cap="flat" cmpd="sng">
          <a:solidFill>
            <a:schemeClr val="phClr"/>
          </a:solidFill>
          <a:prstDash val="solid"/>
          <a:round/>
        </a:ln>
        <a:ln w="38100" cap="flat" cmpd="sng">
          <a:solidFill>
            <a:schemeClr val="phClr"/>
          </a:solidFill>
          <a:prstDash val="solid"/>
          <a:round/>
        </a:ln>
      </a:lnStyleLst>
      <a:effectStyleLst>
        <a:effectStyle>
          <a:effectLst>
            <a:outerShdw blurRad="40000" dist="20000" dir="5400000" rotWithShape="0">
              <a:srgbClr val="000000">
                <a:alpha val="37647"/>
              </a:srgbClr>
            </a:outerShdw>
          </a:effectLst>
        </a:effectStyle>
        <a:effectStyle>
          <a:effectLst>
            <a:outerShdw blurRad="40000" dist="23000" dir="5400000" rotWithShape="0">
              <a:srgbClr val="000000">
                <a:alpha val="34509"/>
              </a:srgbClr>
            </a:outerShdw>
          </a:effectLst>
        </a:effectStyle>
        <a:effectStyle>
          <a:effectLst>
            <a:outerShdw blurRad="40000" dist="23000" dir="5400000" rotWithShape="0">
              <a:srgbClr val="000000">
                <a:alpha val="34509"/>
              </a:srgbClr>
            </a:outerShdw>
          </a:effectLst>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100000" t="100000"/>
          </a:path>
          <a:tileRect r="-100000" b="-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customData xmlns="http://www.yozosoft.com.cn/officeDocument/2016/customData">
  <customProps xmlns="http://www.yozosoft.com.cn/officeDocument/2016/customData">
    <docPr xmlns="http://www.yozosoft.com.cn/officeDocument/2016/customData" revisions="3 0 5 0 0 0 1 0 0 0 3000 0 1 1 1 1"/>
    <sectPr xmlns="http://www.yozosoft.com.cn/officeDocument/2016/customData"/>
  </customProps>
</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1042D1-FFCC-4247-BFA0-956C00935E34}">
  <ds:schemaRefs/>
</ds:datastoreItem>
</file>

<file path=docProps/app.xml><?xml version="1.0" encoding="utf-8"?>
<Properties xmlns="http://schemas.openxmlformats.org/officeDocument/2006/extended-properties" xmlns:vt="http://schemas.openxmlformats.org/officeDocument/2006/docPropsVTypes">
  <Template>Normal.eit</Template>
  <Company>China</Company>
  <Pages>7</Pages>
  <Words>5996</Words>
  <Characters>6237</Characters>
  <Lines>0</Lines>
  <Paragraphs>75</Paragraphs>
  <TotalTime>5</TotalTime>
  <ScaleCrop>false</ScaleCrop>
  <LinksUpToDate>false</LinksUpToDate>
  <CharactersWithSpaces>6261</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2018-10-16T00:41:00Z</dcterms:created>
  <dc:creator>鲁刚</dc:creator>
  <cp:lastModifiedBy>趁早</cp:lastModifiedBy>
  <dcterms:modified xsi:type="dcterms:W3CDTF">2026-05-14T03:16:33Z</dcterms:modified>
  <dc:title>供 货 合 同</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8B09AAB9AC6B41A8A60595BD0C3BCDB1_13</vt:lpwstr>
  </property>
  <property fmtid="{D5CDD505-2E9C-101B-9397-08002B2CF9AE}" pid="4" name="KSOTemplateDocerSaveRecord">
    <vt:lpwstr>eyJoZGlkIjoiNzgwNjczN2Q1OTVkMWNkMTQxODAzYzYyZWYzMjAxZjgiLCJ1c2VySWQiOiIyNDE1Nzk0OTUifQ==</vt:lpwstr>
  </property>
</Properties>
</file>