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版本号：CZCYX(2026)KT-120260810001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教室空调及线路改造项目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CZCYX(2026)KT-1</w:t>
      </w:r>
      <w:r>
        <w:br/>
      </w:r>
      <w:r>
        <w:br/>
      </w:r>
      <w:r>
        <w:br/>
      </w:r>
    </w:p>
    <w:p>
      <w:pPr>
        <w:pStyle w:val="null3"/>
        <w:jc w:val="center"/>
        <w:outlineLvl w:val="2"/>
      </w:pPr>
      <w:r>
        <w:rPr>
          <w:rFonts w:ascii="仿宋_GB2312" w:hAnsi="仿宋_GB2312" w:cs="仿宋_GB2312" w:eastAsia="仿宋_GB2312"/>
          <w:sz w:val="28"/>
          <w:b/>
        </w:rPr>
        <w:t>澄城县城关第一小学</w:t>
      </w:r>
    </w:p>
    <w:p>
      <w:pPr>
        <w:pStyle w:val="null3"/>
        <w:jc w:val="center"/>
        <w:outlineLvl w:val="2"/>
      </w:pPr>
      <w:r>
        <w:rPr>
          <w:rFonts w:ascii="仿宋_GB2312" w:hAnsi="仿宋_GB2312" w:cs="仿宋_GB2312" w:eastAsia="仿宋_GB2312"/>
          <w:sz w:val="28"/>
          <w:b/>
        </w:rPr>
        <w:t>澄城县政府采购中心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澄城县政府采购中心</w:t>
      </w:r>
      <w:r>
        <w:rPr>
          <w:rFonts w:ascii="仿宋_GB2312" w:hAnsi="仿宋_GB2312" w:cs="仿宋_GB2312" w:eastAsia="仿宋_GB2312"/>
        </w:rPr>
        <w:t>（以下简称“代理机构”）受</w:t>
      </w:r>
      <w:r>
        <w:rPr>
          <w:rFonts w:ascii="仿宋_GB2312" w:hAnsi="仿宋_GB2312" w:cs="仿宋_GB2312" w:eastAsia="仿宋_GB2312"/>
        </w:rPr>
        <w:t>澄城县城关第一小学</w:t>
      </w:r>
      <w:r>
        <w:rPr>
          <w:rFonts w:ascii="仿宋_GB2312" w:hAnsi="仿宋_GB2312" w:cs="仿宋_GB2312" w:eastAsia="仿宋_GB2312"/>
        </w:rPr>
        <w:t>委托，拟对</w:t>
      </w:r>
      <w:r>
        <w:rPr>
          <w:rFonts w:ascii="仿宋_GB2312" w:hAnsi="仿宋_GB2312" w:cs="仿宋_GB2312" w:eastAsia="仿宋_GB2312"/>
        </w:rPr>
        <w:t>教室空调及线路改造项目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CZCYX(2026)KT-1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教室空调及线路改造项目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本校教室加装冷暖空调并同步改造适配供电线路，可稳定调节教室室内温度，打造恒温舒适、温度适宜的教学活动空间，规避高温带来的各类健康与学习负面影响，保障日常教学活动稳定有序开展，切实提升整体教学质量，全方位保护在校师生身体健康。</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委托书：法定代表人授权委托书（附法定代表人、被授权人身份证复印件并加盖投标人公章），（法定代表人参加投标只须提供法定代表人身份证明及身份证复印件并加盖投标人公章）；（注：被授权人须为本单位在职员工并提供投标截止日前三个月内任意一个月的社会保障资金凭证并加盖投标人公章）</w:t>
      </w:r>
    </w:p>
    <w:p>
      <w:pPr>
        <w:pStyle w:val="null3"/>
      </w:pPr>
      <w:r>
        <w:rPr>
          <w:rFonts w:ascii="仿宋_GB2312" w:hAnsi="仿宋_GB2312" w:cs="仿宋_GB2312" w:eastAsia="仿宋_GB2312"/>
        </w:rPr>
        <w:t>2、信用记录：供应商不得为“中国执行信息公开 网”（http://zxgk.court.gov.cn/）中列入失信 被执行人和“信用中国网站”（www.creditchina. gov.cn）重大税收违法案件当事人名单的供应商 ，不得为中国政府采购网（www.ccgp.gov.cn ）政府采购严重违法失信行为记录名单中被财政 部门禁止参加政府采购活动的供应商；（提供查询结果网页截图，并加盖投标人公章）</w:t>
      </w:r>
    </w:p>
    <w:p>
      <w:pPr>
        <w:pStyle w:val="null3"/>
      </w:pPr>
      <w:r>
        <w:rPr>
          <w:rFonts w:ascii="仿宋_GB2312" w:hAnsi="仿宋_GB2312" w:cs="仿宋_GB2312" w:eastAsia="仿宋_GB2312"/>
        </w:rPr>
        <w:t>3、联合体：本项目不接受联合体投标。（提供非联合体声明, 格式自拟加盖投标人公章）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澄城县城关第一小学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澄城县宝塔路20号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15332236951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澄城县政府采购中心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澄城县古徵街北段财政局大楼四楼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蒋女士、权女士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0913-6868979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澄城县财政局采购管理股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雷女士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澄城县城关第一小学</w:t>
      </w:r>
      <w:r>
        <w:rPr>
          <w:rFonts w:ascii="仿宋_GB2312" w:hAnsi="仿宋_GB2312" w:cs="仿宋_GB2312" w:eastAsia="仿宋_GB2312"/>
        </w:rPr>
        <w:t>和</w:t>
      </w:r>
      <w:r>
        <w:rPr>
          <w:rFonts w:ascii="仿宋_GB2312" w:hAnsi="仿宋_GB2312" w:cs="仿宋_GB2312" w:eastAsia="仿宋_GB2312"/>
        </w:rPr>
        <w:t>澄城县政府采购中心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澄城县城关第一小学</w:t>
      </w:r>
      <w:r>
        <w:rPr>
          <w:rFonts w:ascii="仿宋_GB2312" w:hAnsi="仿宋_GB2312" w:cs="仿宋_GB2312" w:eastAsia="仿宋_GB2312"/>
        </w:rPr>
        <w:t>负责解释。除上述招标文件内容，其他内容由</w:t>
      </w:r>
      <w:r>
        <w:rPr>
          <w:rFonts w:ascii="仿宋_GB2312" w:hAnsi="仿宋_GB2312" w:cs="仿宋_GB2312" w:eastAsia="仿宋_GB2312"/>
        </w:rPr>
        <w:t>澄城县政府采购中心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澄城县城关第一小学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澄城县政府采购中心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澄城县城关第一小学</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澄城县城关第一小学</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澄城县城关第一小学</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联系人：雷女士</w:t>
      </w:r>
    </w:p>
    <w:p>
      <w:pPr>
        <w:pStyle w:val="null3"/>
      </w:pPr>
      <w:r>
        <w:rPr>
          <w:rFonts w:ascii="仿宋_GB2312" w:hAnsi="仿宋_GB2312" w:cs="仿宋_GB2312" w:eastAsia="仿宋_GB2312"/>
        </w:rPr>
        <w:t>联系电话：0913-6868369</w:t>
      </w:r>
    </w:p>
    <w:p>
      <w:pPr>
        <w:pStyle w:val="null3"/>
      </w:pPr>
      <w:r>
        <w:rPr>
          <w:rFonts w:ascii="仿宋_GB2312" w:hAnsi="仿宋_GB2312" w:cs="仿宋_GB2312" w:eastAsia="仿宋_GB2312"/>
        </w:rPr>
        <w:t>地址：澄城县宝塔路20号</w:t>
      </w:r>
    </w:p>
    <w:p>
      <w:pPr>
        <w:pStyle w:val="null3"/>
      </w:pPr>
      <w:r>
        <w:rPr>
          <w:rFonts w:ascii="仿宋_GB2312" w:hAnsi="仿宋_GB2312" w:cs="仿宋_GB2312" w:eastAsia="仿宋_GB2312"/>
        </w:rPr>
        <w:t>邮编：715200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本校教室加装冷暖空调并同步改造适配供电线路，可稳定调节教室室内温度，打造恒温舒适、温度适宜的教学活动空间，规避高温带来的各类健康与学习负面影响，保障日常教学活动稳定有序开展，切实提升整体教学质量，全方位保护在校师生身体健康。</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430,000.00</w:t>
      </w:r>
    </w:p>
    <w:p>
      <w:pPr>
        <w:pStyle w:val="null3"/>
      </w:pPr>
      <w:r>
        <w:rPr>
          <w:rFonts w:ascii="仿宋_GB2312" w:hAnsi="仿宋_GB2312" w:cs="仿宋_GB2312" w:eastAsia="仿宋_GB2312"/>
        </w:rPr>
        <w:t>采购包最高限价（元）: 430,000.00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教室空调及线路改造项目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标的名称：教室空调及线路改造项目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63"/>
              <w:gridCol w:w="407"/>
              <w:gridCol w:w="1420"/>
              <w:gridCol w:w="226"/>
              <w:gridCol w:w="230"/>
            </w:tblGrid>
            <w:tr>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序号</w:t>
                  </w: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物资名称</w:t>
                  </w:r>
                </w:p>
              </w:tc>
              <w:tc>
                <w:tcPr>
                  <w:tcW w:type="dxa" w:w="1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规格型号</w:t>
                  </w:r>
                  <w:r>
                    <w:rPr>
                      <w:rFonts w:ascii="仿宋_GB2312" w:hAnsi="仿宋_GB2312" w:cs="仿宋_GB2312" w:eastAsia="仿宋_GB2312"/>
                      <w:sz w:val="28"/>
                      <w:color w:val="000000"/>
                    </w:rPr>
                    <w:t>/技术要求</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单位</w:t>
                  </w:r>
                </w:p>
              </w:tc>
              <w:tc>
                <w:tcPr>
                  <w:tcW w:type="dxa" w:w="2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数量</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空调</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1.机型：柜机</w:t>
                  </w:r>
                </w:p>
                <w:p>
                  <w:pPr>
                    <w:pStyle w:val="null3"/>
                    <w:jc w:val="left"/>
                  </w:pPr>
                  <w:r>
                    <w:rPr>
                      <w:rFonts w:ascii="仿宋_GB2312" w:hAnsi="仿宋_GB2312" w:cs="仿宋_GB2312" w:eastAsia="仿宋_GB2312"/>
                      <w:sz w:val="28"/>
                      <w:color w:val="000000"/>
                    </w:rPr>
                    <w:t>2.匹数：3P</w:t>
                  </w:r>
                </w:p>
                <w:p>
                  <w:pPr>
                    <w:pStyle w:val="null3"/>
                    <w:jc w:val="left"/>
                  </w:pPr>
                  <w:r>
                    <w:rPr>
                      <w:rFonts w:ascii="仿宋_GB2312" w:hAnsi="仿宋_GB2312" w:cs="仿宋_GB2312" w:eastAsia="仿宋_GB2312"/>
                      <w:sz w:val="28"/>
                      <w:color w:val="000000"/>
                    </w:rPr>
                    <w:t>3.类型：变频柜式空调</w:t>
                  </w:r>
                </w:p>
                <w:p>
                  <w:pPr>
                    <w:pStyle w:val="null3"/>
                    <w:jc w:val="left"/>
                  </w:pPr>
                  <w:r>
                    <w:rPr>
                      <w:rFonts w:ascii="仿宋_GB2312" w:hAnsi="仿宋_GB2312" w:cs="仿宋_GB2312" w:eastAsia="仿宋_GB2312"/>
                      <w:sz w:val="28"/>
                      <w:color w:val="000000"/>
                    </w:rPr>
                    <w:t>4.能效等级：</w:t>
                  </w:r>
                  <w:r>
                    <w:rPr>
                      <w:rFonts w:ascii="仿宋_GB2312" w:hAnsi="仿宋_GB2312" w:cs="仿宋_GB2312" w:eastAsia="仿宋_GB2312"/>
                      <w:sz w:val="28"/>
                      <w:color w:val="000000"/>
                    </w:rPr>
                    <w:t>3级能效</w:t>
                  </w:r>
                </w:p>
                <w:p>
                  <w:pPr>
                    <w:pStyle w:val="null3"/>
                    <w:jc w:val="left"/>
                  </w:pPr>
                  <w:r>
                    <w:rPr>
                      <w:rFonts w:ascii="仿宋_GB2312" w:hAnsi="仿宋_GB2312" w:cs="仿宋_GB2312" w:eastAsia="仿宋_GB2312"/>
                      <w:sz w:val="28"/>
                      <w:color w:val="000000"/>
                    </w:rPr>
                    <w:t xml:space="preserve">4.电源： </w:t>
                  </w:r>
                  <w:r>
                    <w:rPr>
                      <w:rFonts w:ascii="仿宋_GB2312" w:hAnsi="仿宋_GB2312" w:cs="仿宋_GB2312" w:eastAsia="仿宋_GB2312"/>
                      <w:sz w:val="28"/>
                      <w:color w:val="000000"/>
                    </w:rPr>
                    <w:t>220V / 50Hz</w:t>
                  </w:r>
                </w:p>
                <w:p>
                  <w:pPr>
                    <w:pStyle w:val="null3"/>
                    <w:jc w:val="left"/>
                  </w:pPr>
                  <w:r>
                    <w:rPr>
                      <w:rFonts w:ascii="仿宋_GB2312" w:hAnsi="仿宋_GB2312" w:cs="仿宋_GB2312" w:eastAsia="仿宋_GB2312"/>
                      <w:sz w:val="28"/>
                      <w:color w:val="000000"/>
                    </w:rPr>
                    <w:t>5.制冷量 ≥</w:t>
                  </w:r>
                  <w:r>
                    <w:rPr>
                      <w:rFonts w:ascii="仿宋_GB2312" w:hAnsi="仿宋_GB2312" w:cs="仿宋_GB2312" w:eastAsia="仿宋_GB2312"/>
                      <w:sz w:val="28"/>
                      <w:color w:val="000000"/>
                    </w:rPr>
                    <w:t>7200 制热量 ≥</w:t>
                  </w:r>
                  <w:r>
                    <w:rPr>
                      <w:rFonts w:ascii="仿宋_GB2312" w:hAnsi="仿宋_GB2312" w:cs="仿宋_GB2312" w:eastAsia="仿宋_GB2312"/>
                      <w:sz w:val="28"/>
                      <w:color w:val="000000"/>
                    </w:rPr>
                    <w:t>8700W（不含电辅热）</w:t>
                  </w:r>
                </w:p>
                <w:p>
                  <w:pPr>
                    <w:pStyle w:val="null3"/>
                    <w:jc w:val="left"/>
                  </w:pPr>
                  <w:r>
                    <w:rPr>
                      <w:rFonts w:ascii="仿宋_GB2312" w:hAnsi="仿宋_GB2312" w:cs="仿宋_GB2312" w:eastAsia="仿宋_GB2312"/>
                      <w:sz w:val="28"/>
                      <w:color w:val="000000"/>
                    </w:rPr>
                    <w:t>6.制冷功率 ≤</w:t>
                  </w:r>
                  <w:r>
                    <w:rPr>
                      <w:rFonts w:ascii="仿宋_GB2312" w:hAnsi="仿宋_GB2312" w:cs="仿宋_GB2312" w:eastAsia="仿宋_GB2312"/>
                      <w:sz w:val="28"/>
                      <w:color w:val="000000"/>
                    </w:rPr>
                    <w:t>2600W</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制热功率</w:t>
                  </w:r>
                  <w:r>
                    <w:rPr>
                      <w:rFonts w:ascii="仿宋_GB2312" w:hAnsi="仿宋_GB2312" w:cs="仿宋_GB2312" w:eastAsia="仿宋_GB2312"/>
                      <w:sz w:val="28"/>
                      <w:color w:val="000000"/>
                    </w:rPr>
                    <w:t>≤</w:t>
                  </w:r>
                  <w:r>
                    <w:rPr>
                      <w:rFonts w:ascii="仿宋_GB2312" w:hAnsi="仿宋_GB2312" w:cs="仿宋_GB2312" w:eastAsia="仿宋_GB2312"/>
                      <w:sz w:val="28"/>
                      <w:color w:val="000000"/>
                    </w:rPr>
                    <w:t>3100W</w:t>
                  </w:r>
                </w:p>
                <w:p>
                  <w:pPr>
                    <w:pStyle w:val="null3"/>
                    <w:jc w:val="left"/>
                  </w:pPr>
                  <w:r>
                    <w:rPr>
                      <w:rFonts w:ascii="仿宋_GB2312" w:hAnsi="仿宋_GB2312" w:cs="仿宋_GB2312" w:eastAsia="仿宋_GB2312"/>
                      <w:sz w:val="28"/>
                      <w:color w:val="000000"/>
                    </w:rPr>
                    <w:t>7.全年能源消耗率（APF） ≥3.</w:t>
                  </w:r>
                  <w:r>
                    <w:rPr>
                      <w:rFonts w:ascii="仿宋_GB2312" w:hAnsi="仿宋_GB2312" w:cs="仿宋_GB2312" w:eastAsia="仿宋_GB2312"/>
                      <w:sz w:val="28"/>
                      <w:color w:val="000000"/>
                    </w:rPr>
                    <w:t>47</w:t>
                  </w:r>
                </w:p>
                <w:p>
                  <w:pPr>
                    <w:pStyle w:val="null3"/>
                    <w:jc w:val="left"/>
                  </w:pPr>
                  <w:r>
                    <w:rPr>
                      <w:rFonts w:ascii="仿宋_GB2312" w:hAnsi="仿宋_GB2312" w:cs="仿宋_GB2312" w:eastAsia="仿宋_GB2312"/>
                      <w:sz w:val="28"/>
                      <w:color w:val="000000"/>
                    </w:rPr>
                    <w:t>8.循环风量 ≥</w:t>
                  </w:r>
                  <w:r>
                    <w:rPr>
                      <w:rFonts w:ascii="仿宋_GB2312" w:hAnsi="仿宋_GB2312" w:cs="仿宋_GB2312" w:eastAsia="仿宋_GB2312"/>
                      <w:sz w:val="28"/>
                      <w:color w:val="000000"/>
                    </w:rPr>
                    <w:t>1210m³/h</w:t>
                  </w:r>
                </w:p>
                <w:p>
                  <w:pPr>
                    <w:pStyle w:val="null3"/>
                    <w:jc w:val="left"/>
                  </w:pPr>
                  <w:r>
                    <w:rPr>
                      <w:rFonts w:ascii="仿宋_GB2312" w:hAnsi="仿宋_GB2312" w:cs="仿宋_GB2312" w:eastAsia="仿宋_GB2312"/>
                      <w:sz w:val="28"/>
                      <w:color w:val="000000"/>
                    </w:rPr>
                    <w:t xml:space="preserve">9.适用面积 </w:t>
                  </w:r>
                  <w:r>
                    <w:rPr>
                      <w:rFonts w:ascii="仿宋_GB2312" w:hAnsi="仿宋_GB2312" w:cs="仿宋_GB2312" w:eastAsia="仿宋_GB2312"/>
                      <w:sz w:val="28"/>
                      <w:color w:val="000000"/>
                    </w:rPr>
                    <w:t>32-48㎡</w:t>
                  </w:r>
                </w:p>
                <w:p>
                  <w:pPr>
                    <w:pStyle w:val="null3"/>
                    <w:jc w:val="left"/>
                  </w:pPr>
                  <w:r>
                    <w:rPr>
                      <w:rFonts w:ascii="仿宋_GB2312" w:hAnsi="仿宋_GB2312" w:cs="仿宋_GB2312" w:eastAsia="仿宋_GB2312"/>
                      <w:sz w:val="28"/>
                      <w:color w:val="000000"/>
                    </w:rPr>
                    <w:t>10.室内机噪音 ≤</w:t>
                  </w:r>
                  <w:r>
                    <w:rPr>
                      <w:rFonts w:ascii="仿宋_GB2312" w:hAnsi="仿宋_GB2312" w:cs="仿宋_GB2312" w:eastAsia="仿宋_GB2312"/>
                      <w:sz w:val="28"/>
                      <w:color w:val="000000"/>
                    </w:rPr>
                    <w:t>45dB(A) ，室外机噪音 ≤5</w:t>
                  </w:r>
                  <w:r>
                    <w:rPr>
                      <w:rFonts w:ascii="仿宋_GB2312" w:hAnsi="仿宋_GB2312" w:cs="仿宋_GB2312" w:eastAsia="仿宋_GB2312"/>
                      <w:sz w:val="28"/>
                      <w:color w:val="000000"/>
                    </w:rPr>
                    <w:t>6dB(A) 3200W</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空调支架</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304不锈钢支架</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空调眼</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人工打眼</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铜管</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空调专用铜管</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m</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空调安装费</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高空作业</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线路改造</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国标；铝线，</w:t>
                  </w:r>
                  <w:r>
                    <w:rPr>
                      <w:rFonts w:ascii="仿宋_GB2312" w:hAnsi="仿宋_GB2312" w:cs="仿宋_GB2312" w:eastAsia="仿宋_GB2312"/>
                      <w:sz w:val="28"/>
                      <w:color w:val="000000"/>
                    </w:rPr>
                    <w:t>2.5mm2~6mm2</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项</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自合同签订之日起30天内完成安装调试。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澄城县城关第一小学。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进度款，货物配送到位，验收完成后，达到付款条件起15个工作日内，支付合同总金额的100.0%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（1）货物到达采购人指定地点后，由采购人组织双方参与方式对货物进行验收，须满足招标文件、投标响应及合同约定相关要求，且须符合国家、行业规定的相关标准和国家质检要求，一次性自行验收。 （2）货物供应渠道正规、稳定且质量有保证，检验手续合法有效，具备完善的管理制度流程； （3）对于验收不合格的产品应及时退回供应商，同时做好相关记录。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质量保修范围：本次采购的所有产品 保修期：3年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招投标法》的相关条款规定和本合同约定，中标供应商未全面履行合同义务或者发生违约，采购人会同招标组织机构有权终止合同，依法向中标供应商进行经济索赔，并报请政府采购监督管理机关依法进行相应的行政处罚。采购人违约的，应当赔偿给中标供应商造成的经济损失。 确认方不对任何一方的违约行为承担任何责任。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(1)具有独立承担民事责任能力，提供供应商合法注册的法人或其他组织的营业执照/事业单位法人证书/非企业专业服务机构执业许可证/民办非企业单位登记证书； (2)财务状况证明：提供2025年度经审计的财务报告（包含审计报告和审计报告中所涉及的财务报表和报表附注）或提供2025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 (3)提供具有履行合同所必需的设备和专业技术能力的说明及承诺；（详见附件，加盖投标人公章） (4)税收缴纳证明：提供投标截止时间前六个月内任意一个月的纳税证明或完税证明；（以税款所属期为准，依法免税的应提供相关证明材料） (5)社会保障资金缴纳证明：供应商提供本单位2026年01月至今已缴纳的至少一个月的社会保障资金缴存单据或社保机构开具的社会保险参保缴费情况证明；（依法不需要缴纳社会保障资金的投标人应提供相关证明） (6)提供参加政府采购活动前三年内在经营活动中没有重大违法记录的书面声明。（详见附件，加盖投标人公章）</w:t>
            </w:r>
          </w:p>
        </w:tc>
        <w:tc>
          <w:tcPr>
            <w:tcW w:type="dxa" w:w="1661"/>
          </w:tcPr>
          <w:p>
            <w:pPr>
              <w:pStyle w:val="null3"/>
            </w:pPr>
            <w:r>
              <w:rPr>
                <w:rFonts w:ascii="仿宋_GB2312" w:hAnsi="仿宋_GB2312" w:cs="仿宋_GB2312" w:eastAsia="仿宋_GB2312"/>
              </w:rPr>
              <w:t>一般资格要求.docx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(7)单位负责人为同一人或者存在直接控股、管理关系的不同供应商不得参加同一合同项下的政府采购活动；（提供承诺函，格式自拟加盖投标人公章） (8)为本项目提供整体设计、规范编制或者项目管理、监理、检测等服务的供应商，不得再参加该采购项目的其他采购活动。（提供声明, 格式自拟加盖投标人公章）</w:t>
            </w:r>
          </w:p>
        </w:tc>
        <w:tc>
          <w:tcPr>
            <w:tcW w:type="dxa" w:w="1661"/>
          </w:tcPr>
          <w:p>
            <w:pPr>
              <w:pStyle w:val="null3"/>
            </w:pPr>
            <w:r>
              <w:rPr>
                <w:rFonts w:ascii="仿宋_GB2312" w:hAnsi="仿宋_GB2312" w:cs="仿宋_GB2312" w:eastAsia="仿宋_GB2312"/>
              </w:rPr>
              <w:t>投标函 一般资格要求.docx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并加盖投标人公章），（法定代表人参加投标只须提供法定代表人身份证明及身份证复印件并加盖投标人公章）；（注：被授权人须为本单位在职员工并提供投标截止日前三个月内任意一个月的社会保障资金凭证并加盖投标人公章）</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供应商不得为“中国执行信息公开 网”（http://zxgk.court.gov.cn/）中列入失信 被执行人和“信用中国网站”（www.creditchina. gov.cn）重大税收违法案件当事人名单的供应商 ，不得为中国政府采购网（www.ccgp.gov.cn ）政府采购严重违法失信行为记录名单中被财政 部门禁止参加政府采购活动的供应商；（提供查询结果网页截图，并加盖投标人公章）</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本项目不接受联合体投标。（提供非联合体声明, 格式自拟加盖投标人公章）</w:t>
            </w:r>
          </w:p>
        </w:tc>
        <w:tc>
          <w:tcPr>
            <w:tcW w:type="dxa" w:w="1661"/>
          </w:tcPr>
          <w:p>
            <w:pPr>
              <w:pStyle w:val="null3"/>
            </w:pPr>
            <w:r>
              <w:rPr>
                <w:rFonts w:ascii="仿宋_GB2312" w:hAnsi="仿宋_GB2312" w:cs="仿宋_GB2312" w:eastAsia="仿宋_GB2312"/>
              </w:rPr>
              <w:t>特殊资格要求.docx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 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供应商认为有必要补充说明的事项.docx 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商务响应要求</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（3）投标报价完整、合理性，只能有一个有效报价，不得提交选择性报价，并未超出采购预算； （4）投标报价没有与市场价偏差较大、低于成本、可能影响货物质量或不能诚信履约。 （5）质保期、供货期、交货地点、付款条件等。</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应满足招标文件提出的技术和功能实质性要求及服务要求。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合同草案条款响应</w:t>
            </w:r>
          </w:p>
        </w:tc>
        <w:tc>
          <w:tcPr>
            <w:tcW w:type="dxa" w:w="3322"/>
          </w:tcPr>
          <w:p>
            <w:pPr>
              <w:pStyle w:val="null3"/>
            </w:pPr>
            <w:r>
              <w:rPr>
                <w:rFonts w:ascii="仿宋_GB2312" w:hAnsi="仿宋_GB2312" w:cs="仿宋_GB2312" w:eastAsia="仿宋_GB2312"/>
              </w:rPr>
              <w:t>有完全理解并接受招标文件合同草案条款要求的描述。</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没有不符合招标文件规定的被视为无效响应的其他条款，要求全面响应，不能有任何采购人不能接受的附加条件。</w:t>
            </w:r>
          </w:p>
        </w:tc>
        <w:tc>
          <w:tcPr>
            <w:tcW w:type="dxa" w:w="1661"/>
          </w:tcPr>
          <w:p>
            <w:pPr>
              <w:pStyle w:val="null3"/>
            </w:pPr>
            <w:r>
              <w:rPr>
                <w:rFonts w:ascii="仿宋_GB2312" w:hAnsi="仿宋_GB2312" w:cs="仿宋_GB2312" w:eastAsia="仿宋_GB2312"/>
              </w:rPr>
              <w:t>投标方案.docx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技术指标、配置</w:t>
            </w:r>
          </w:p>
        </w:tc>
        <w:tc>
          <w:tcPr>
            <w:tcW w:type="dxa" w:w="2492"/>
          </w:tcPr>
          <w:p>
            <w:pPr>
              <w:pStyle w:val="null3"/>
            </w:pPr>
            <w:r>
              <w:rPr>
                <w:rFonts w:ascii="仿宋_GB2312" w:hAnsi="仿宋_GB2312" w:cs="仿宋_GB2312" w:eastAsia="仿宋_GB2312"/>
              </w:rPr>
              <w:t>基本分（22分）：完全响应招标文件技术参数、性能要求的计22分。每负偏离一项扣1分，扣完为止。 加分项（3分）：在基本分的基础上，响应产品主要参数经评 标委员会认定优于招标文件规定的参数要求，并且有实质性提升的，根据响应程度进行相应加分，每正偏离一项加1分，最多加3分。 注：所投产品需提供的技术指 标和功能证明材料；包括但不限于产品介绍、彩页、说明书、检测报告、官网和功能截图。</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根据投标人提供的实施方案进行评审，该方案包含：①总体实施方案；②计划进度安排； ③项目团队配备；④安装调试方案 ；⑤项目验收方案。完整提供上述5项内容的得15分；每有一项未提供扣3分，扣完为止；每有一处有缺陷扣0.2分，扣完为止。（缺陷是指内容缺项、不完整或缺少关键点、只有简单描述无实质性内容； 非专门针对本项目或不适用本项目特性、套用其他项目内容；对同一问题前后表述矛盾；存在逻辑漏洞、科学原理或常识错误。 ）</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评审内容：根据投标人提供的质量保障措施方案进行评审，该方案包含：①产品性能②使用寿命③使用效果④来源渠道证明资料（包括但不限于产品制造商授权、销售协议、代理协议、原厂授权等）⑤质量风险防控与应对预案。 评审标准： 1.完整性：方案须全面，完整、科学、合理； 2.可实施性；切合本项目实际情况，步骤明确、可操作性强； 3.针对性：能够紧扣项目实际情况，专业性强、内容科学、合理。 赋分标准（满分15分）：①产品性能：每完全满足一项评审标准得1分，满分3分；②使用寿命：每完全满足一项评审标准得1分，满分3分；③使用效果：每完全满足一项评审标准得1分，满分3分；④来源渠道证明资料（包括但不限于产品制造商授权、销售协议、代理协议、原厂授权等）：每完全满足一项评审标准得1分，满分3分；⑤质量风险防控与应对预案：每完全满足一项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有完善的项目实施团队管理方案；项目设有项目负责人及技术团队，专业结构合理，分工明确、人员稳定；每项计2分，本项满分4分。不提供不得分。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提出具体的售后服务方案，包括但不限于：①售后服务人员组织②售后服务保障措施③产品交付采购方后出现质量问题的响应时间④供货不及时、出现残次品等补货换货解决方案、售后服务承诺。每项计1分，本项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技术培训措施</w:t>
            </w:r>
          </w:p>
        </w:tc>
        <w:tc>
          <w:tcPr>
            <w:tcW w:type="dxa" w:w="2492"/>
          </w:tcPr>
          <w:p>
            <w:pPr>
              <w:pStyle w:val="null3"/>
            </w:pPr>
            <w:r>
              <w:rPr>
                <w:rFonts w:ascii="仿宋_GB2312" w:hAnsi="仿宋_GB2312" w:cs="仿宋_GB2312" w:eastAsia="仿宋_GB2312"/>
              </w:rPr>
              <w:t>投标人具有切实可行的技术培训措施，培训课时安排科学、合理，内容全面具有针对性，培训内容易学、易于操作，能够将理论与实践相结合，保证使用单位人员能熟练操作、简单维护；根据响应程度计0-3分 。</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供应商2024年1月1日至今同类项目业绩，每提供1份得1分，最高得4分；业绩证明（以合同或中标通知书为准，须在投标文件中附合同或中标通知书的扫描件加盖单位公章）弄虚作假者，取消其中标资格。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 他投标供应商的价格分统一按照下列公式 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详见附件：供应商认为有必要补充说明的事项.docx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详见附件：货物合同.docx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