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版本号：HYX-ZFCG-2026-00320260519001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诉服中心服务外包服务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HYX-ZFCG-2026-003</w:t>
      </w:r>
      <w:r>
        <w:br/>
      </w:r>
      <w:r>
        <w:br/>
      </w:r>
      <w:r>
        <w:br/>
      </w:r>
    </w:p>
    <w:p>
      <w:pPr>
        <w:pStyle w:val="null3"/>
        <w:jc w:val="center"/>
        <w:outlineLvl w:val="2"/>
      </w:pPr>
      <w:r>
        <w:rPr>
          <w:rFonts w:ascii="仿宋_GB2312" w:hAnsi="仿宋_GB2312" w:cs="仿宋_GB2312" w:eastAsia="仿宋_GB2312"/>
          <w:sz w:val="28"/>
          <w:b/>
        </w:rPr>
        <w:t>西安市灞桥区人民法院[157]</w:t>
      </w:r>
    </w:p>
    <w:p>
      <w:pPr>
        <w:pStyle w:val="null3"/>
        <w:jc w:val="center"/>
        <w:outlineLvl w:val="2"/>
      </w:pPr>
      <w:r>
        <w:rPr>
          <w:rFonts w:ascii="仿宋_GB2312" w:hAnsi="仿宋_GB2312" w:cs="仿宋_GB2312" w:eastAsia="仿宋_GB2312"/>
          <w:sz w:val="28"/>
          <w:b/>
        </w:rPr>
        <w:t>华优信项目管理有限公司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华优信项目管理有限公司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西安市灞桥区人民法院[157]</w:t>
      </w:r>
      <w:r>
        <w:rPr>
          <w:rFonts w:ascii="仿宋_GB2312" w:hAnsi="仿宋_GB2312" w:cs="仿宋_GB2312" w:eastAsia="仿宋_GB2312"/>
        </w:rPr>
        <w:t>委托，拟对</w:t>
      </w:r>
      <w:r>
        <w:rPr>
          <w:rFonts w:ascii="仿宋_GB2312" w:hAnsi="仿宋_GB2312" w:cs="仿宋_GB2312" w:eastAsia="仿宋_GB2312"/>
        </w:rPr>
        <w:t>诉服中心服务外包服务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HYX-ZFCG-2026-003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诉服中心服务外包服务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诉服中心服务外包服务，具体详⻅磋商⽂件第三章磋商项⽬技术、服务、商务要求等。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采购包1（西安市灞桥区人民法院诉服中心服务外包服务）：属于专门面向中小企业采购。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其他组织或自然人，并出具合法有效的统一社会信用代码的营业执照或事业单位法人证书等国家规定的相关证明，自然人参与的提供其身份证明。供应商是法人或其他组织的应提供营业执照等证明文件，供应商是自然人的应提供有效的自然人身份证复印件并进行电子签章。</w:t>
      </w:r>
    </w:p>
    <w:p>
      <w:pPr>
        <w:pStyle w:val="null3"/>
      </w:pPr>
      <w:r>
        <w:rPr>
          <w:rFonts w:ascii="仿宋_GB2312" w:hAnsi="仿宋_GB2312" w:cs="仿宋_GB2312" w:eastAsia="仿宋_GB2312"/>
        </w:rPr>
        <w:t>2、财务状况报告：具有良好的商业信誉和健全的财务会计制度。提供具有财务审计资质单位出具的2024年或2025年度财务报告（成立时间至开标时间不足一年的可提供成立后任意时段的资产负债表。供应商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或开标前六个月内其基本账户银行出具的资信证明或政府采购信用担保机构出具的担保函。（以上三种形式的资料提供任意一种即可）。</w:t>
      </w:r>
    </w:p>
    <w:p>
      <w:pPr>
        <w:pStyle w:val="null3"/>
      </w:pPr>
      <w:r>
        <w:rPr>
          <w:rFonts w:ascii="仿宋_GB2312" w:hAnsi="仿宋_GB2312" w:cs="仿宋_GB2312" w:eastAsia="仿宋_GB2312"/>
        </w:rPr>
        <w:t>3、法定代表人授权委托书：法定代表人直接参加磋商的，须提供法定代表人身份证明及身份证扫描件；法定代表人授权他人参加磋商的，须提供法定代表人授权委托书（附法定代表人、被授权人身份证扫描件），自然人提供其身份证扫描件。供应商需在项目电子化交易系统中按要求上传材料并进行电子签章。</w:t>
      </w:r>
    </w:p>
    <w:p>
      <w:pPr>
        <w:pStyle w:val="null3"/>
      </w:pPr>
      <w:r>
        <w:rPr>
          <w:rFonts w:ascii="仿宋_GB2312" w:hAnsi="仿宋_GB2312" w:cs="仿宋_GB2312" w:eastAsia="仿宋_GB2312"/>
        </w:rPr>
        <w:t>4、无重大违法记录声明：出具参加本次政府采购活动前三年内在经营活动中没有重大违法记录的书面声明（格式详见附件）。</w:t>
      </w:r>
    </w:p>
    <w:p>
      <w:pPr>
        <w:pStyle w:val="null3"/>
      </w:pPr>
      <w:r>
        <w:rPr>
          <w:rFonts w:ascii="仿宋_GB2312" w:hAnsi="仿宋_GB2312" w:cs="仿宋_GB2312" w:eastAsia="仿宋_GB2312"/>
        </w:rPr>
        <w:t>5、具备履行合同所必需的设备和专业技术能力的证明材料：具有履行合同所必需的设备和专业技术能力的书面声明（格式详见附件）。</w:t>
      </w:r>
    </w:p>
    <w:p>
      <w:pPr>
        <w:pStyle w:val="null3"/>
      </w:pPr>
      <w:r>
        <w:rPr>
          <w:rFonts w:ascii="仿宋_GB2312" w:hAnsi="仿宋_GB2312" w:cs="仿宋_GB2312" w:eastAsia="仿宋_GB2312"/>
        </w:rPr>
        <w:t>6、税收缴纳证明：具有依法缴纳税收的良好记录。 供应商需提供响应文件递交截止时间前一年内任意一个月的税收缴费凭据；依法免税的应提供相关文件证明。</w:t>
      </w:r>
    </w:p>
    <w:p>
      <w:pPr>
        <w:pStyle w:val="null3"/>
      </w:pPr>
      <w:r>
        <w:rPr>
          <w:rFonts w:ascii="仿宋_GB2312" w:hAnsi="仿宋_GB2312" w:cs="仿宋_GB2312" w:eastAsia="仿宋_GB2312"/>
        </w:rPr>
        <w:t>7、社会保障资金缴纳证明：具有依法缴纳社会保障资金的良好记录。供应商需提供响应文件递交截止时间前一年内任意一个月的社保缴费凭据或社保机构开具的社会保险参保缴费情况证明。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西安市灞桥区人民法院[157]</w:t>
      </w:r>
    </w:p>
    <w:p>
      <w:pPr>
        <w:pStyle w:val="null3"/>
      </w:pPr>
      <w:r>
        <w:rPr>
          <w:rFonts w:ascii="仿宋_GB2312" w:hAnsi="仿宋_GB2312" w:cs="仿宋_GB2312" w:eastAsia="仿宋_GB2312"/>
        </w:rPr>
        <w:t xml:space="preserve"> 地址： </w:t>
      </w:r>
      <w:r>
        <w:rPr>
          <w:rFonts w:ascii="仿宋_GB2312" w:hAnsi="仿宋_GB2312" w:cs="仿宋_GB2312" w:eastAsia="仿宋_GB2312"/>
        </w:rPr>
        <w:t>灞桥区纺一路668号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西安市灞桥区人民法院[157]经办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029-83533359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华优信项目管理有限公司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陕西省西安市沣东新城三桥新街157号华润万誉中心九层0911-0914室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15029434480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采购包1：813,400.00元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办法》的通知（计价格〔2002〕1980号）、《国家发展和改⾰委员会办公厅关于招标代理服务收费有关问题的通知》（发改办价格〔2003〕857号⽂件规定收取，由成交供应商在领取成交通知书之前向代理公司⽀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西安市灞桥区人民法院[157]</w:t>
      </w:r>
      <w:r>
        <w:rPr>
          <w:rFonts w:ascii="仿宋_GB2312" w:hAnsi="仿宋_GB2312" w:cs="仿宋_GB2312" w:eastAsia="仿宋_GB2312"/>
        </w:rPr>
        <w:t>和</w:t>
      </w:r>
      <w:r>
        <w:rPr>
          <w:rFonts w:ascii="仿宋_GB2312" w:hAnsi="仿宋_GB2312" w:cs="仿宋_GB2312" w:eastAsia="仿宋_GB2312"/>
        </w:rPr>
        <w:t>华优信项目管理有限公司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西安市灞桥区人民法院[157]</w:t>
      </w:r>
      <w:r>
        <w:rPr>
          <w:rFonts w:ascii="仿宋_GB2312" w:hAnsi="仿宋_GB2312" w:cs="仿宋_GB2312" w:eastAsia="仿宋_GB2312"/>
        </w:rPr>
        <w:t>负责解释。除上述磋商文件内容，其他内容由</w:t>
      </w:r>
      <w:r>
        <w:rPr>
          <w:rFonts w:ascii="仿宋_GB2312" w:hAnsi="仿宋_GB2312" w:cs="仿宋_GB2312" w:eastAsia="仿宋_GB2312"/>
        </w:rPr>
        <w:t>华优信项目管理有限公司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西安市灞桥区人民法院[157]</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华优信项目管理有限公司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联系人：李经理</w:t>
      </w:r>
    </w:p>
    <w:p>
      <w:pPr>
        <w:pStyle w:val="null3"/>
      </w:pPr>
      <w:r>
        <w:rPr>
          <w:rFonts w:ascii="仿宋_GB2312" w:hAnsi="仿宋_GB2312" w:cs="仿宋_GB2312" w:eastAsia="仿宋_GB2312"/>
        </w:rPr>
        <w:t>联系电话：15029434480</w:t>
      </w:r>
    </w:p>
    <w:p>
      <w:pPr>
        <w:pStyle w:val="null3"/>
      </w:pPr>
      <w:r>
        <w:rPr>
          <w:rFonts w:ascii="仿宋_GB2312" w:hAnsi="仿宋_GB2312" w:cs="仿宋_GB2312" w:eastAsia="仿宋_GB2312"/>
        </w:rPr>
        <w:t>地址：陕西省西安市沣东新城三桥新街157号华润万誉中⼼九层0911-0914室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诉服中心服务外包服务，具体详见竞争性磋商文件第三部分磋商要求及说明。</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813,400.00</w:t>
      </w:r>
    </w:p>
    <w:p>
      <w:pPr>
        <w:pStyle w:val="null3"/>
      </w:pPr>
      <w:r>
        <w:rPr>
          <w:rFonts w:ascii="仿宋_GB2312" w:hAnsi="仿宋_GB2312" w:cs="仿宋_GB2312" w:eastAsia="仿宋_GB2312"/>
        </w:rPr>
        <w:t>采购包最高限价（元）: 813,400.00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813,400.00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outlineLvl w:val="0"/>
            </w:pP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需求一览表</w:t>
            </w:r>
          </w:p>
          <w:tbl>
            <w:tblPr>
              <w:tblBorders>
                <w:top w:val="none" w:color="000000" w:sz="4"/>
                <w:left w:val="none" w:color="000000" w:sz="4"/>
                <w:bottom w:val="none" w:color="000000" w:sz="4"/>
                <w:right w:val="none" w:color="000000" w:sz="4"/>
                <w:insideH w:val="none"/>
                <w:insideV w:val="none"/>
              </w:tblBorders>
            </w:tblPr>
            <w:tblGrid>
              <w:gridCol w:w="764"/>
              <w:gridCol w:w="345"/>
              <w:gridCol w:w="823"/>
              <w:gridCol w:w="609"/>
            </w:tblGrid>
            <w:tr>
              <w:tc>
                <w:tcPr>
                  <w:tcW w:type="dxa" w:w="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项目名称</w:t>
                  </w: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w:t>
                  </w:r>
                </w:p>
                <w:p>
                  <w:pPr>
                    <w:pStyle w:val="null3"/>
                    <w:jc w:val="center"/>
                  </w:pPr>
                  <w:r>
                    <w:rPr>
                      <w:rFonts w:ascii="仿宋_GB2312" w:hAnsi="仿宋_GB2312" w:cs="仿宋_GB2312" w:eastAsia="仿宋_GB2312"/>
                      <w:sz w:val="24"/>
                    </w:rPr>
                    <w:t>期限</w:t>
                  </w:r>
                </w:p>
              </w:tc>
              <w:tc>
                <w:tcPr>
                  <w:tcW w:type="dxa" w:w="8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工作概述</w:t>
                  </w:r>
                </w:p>
              </w:tc>
              <w:tc>
                <w:tcPr>
                  <w:tcW w:type="dxa" w:w="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最高投标限价（万元）</w:t>
                  </w:r>
                </w:p>
              </w:tc>
            </w:tr>
            <w:tr>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西安市灞桥区人民法院诉讼服务中心外包服务项目</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12个月</w:t>
                  </w:r>
                </w:p>
              </w:tc>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诉讼服务中心外包服务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81.34</w:t>
                  </w:r>
                </w:p>
              </w:tc>
            </w:tr>
          </w:tbl>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1）根据项目内容要求，</w:t>
            </w:r>
            <w:r>
              <w:rPr>
                <w:rFonts w:ascii="仿宋_GB2312" w:hAnsi="仿宋_GB2312" w:cs="仿宋_GB2312" w:eastAsia="仿宋_GB2312"/>
                <w:sz w:val="24"/>
              </w:rPr>
              <w:t>成交供应商</w:t>
            </w:r>
            <w:r>
              <w:rPr>
                <w:rFonts w:ascii="仿宋_GB2312" w:hAnsi="仿宋_GB2312" w:cs="仿宋_GB2312" w:eastAsia="仿宋_GB2312"/>
                <w:sz w:val="24"/>
              </w:rPr>
              <w:t>应完成整体运作流程图、岗位职责、岗位要求、工作流程、工作业务量及工作人数安排。</w:t>
            </w:r>
            <w:r>
              <w:rPr>
                <w:rFonts w:ascii="仿宋_GB2312" w:hAnsi="仿宋_GB2312" w:cs="仿宋_GB2312" w:eastAsia="仿宋_GB2312"/>
                <w:sz w:val="24"/>
              </w:rPr>
              <w:t>成交供应商</w:t>
            </w:r>
            <w:r>
              <w:rPr>
                <w:rFonts w:ascii="仿宋_GB2312" w:hAnsi="仿宋_GB2312" w:cs="仿宋_GB2312" w:eastAsia="仿宋_GB2312"/>
                <w:sz w:val="24"/>
              </w:rPr>
              <w:t>需负责各岗位人员的招聘、上岗培训、日常管理、业务流程等全面性的工作。不得出现因岗位设置不齐全、岗位人数不符合而导致的工作效能问题，影响审判效率。</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2）采购人对项目运转的结果和质量进行监督管理。</w:t>
            </w:r>
          </w:p>
          <w:p>
            <w:pPr>
              <w:pStyle w:val="null3"/>
              <w:jc w:val="both"/>
              <w:outlineLvl w:val="0"/>
            </w:pPr>
            <w:r>
              <w:rPr>
                <w:rFonts w:ascii="仿宋_GB2312" w:hAnsi="仿宋_GB2312" w:cs="仿宋_GB2312" w:eastAsia="仿宋_GB2312"/>
                <w:sz w:val="24"/>
                <w:b/>
              </w:rPr>
              <w:t>二、</w:t>
            </w:r>
            <w:r>
              <w:rPr>
                <w:rFonts w:ascii="仿宋_GB2312" w:hAnsi="仿宋_GB2312" w:cs="仿宋_GB2312" w:eastAsia="仿宋_GB2312"/>
                <w:sz w:val="24"/>
                <w:b/>
              </w:rPr>
              <w:t>项目内容及技术需求</w:t>
            </w:r>
          </w:p>
          <w:p>
            <w:pPr>
              <w:pStyle w:val="null3"/>
              <w:jc w:val="both"/>
              <w:outlineLvl w:val="1"/>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项目内容</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1）供应商根据灞桥法院诉讼服务中心外包服务要求，现场成立诉讼服务中心外包服务小组提供诉讼服务中心外包服务。</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2）以“科技赋能+数据服务+知识服务+诉讼服务”为抓手，使法官办案、社会服务、集约化管理与信息化有机结合，推动业务流程再造，办案全过程网上留痕，做到可管理、可统计、可追溯；通过辅助事务外包为办案团队减负，使法官专注于“阅、审、写”。</w:t>
            </w:r>
          </w:p>
          <w:p>
            <w:pPr>
              <w:pStyle w:val="null3"/>
              <w:jc w:val="both"/>
              <w:outlineLvl w:val="1"/>
            </w:pP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技术需求</w:t>
            </w:r>
          </w:p>
          <w:p>
            <w:pPr>
              <w:pStyle w:val="null3"/>
              <w:jc w:val="both"/>
              <w:outlineLvl w:val="2"/>
            </w:pPr>
            <w:r>
              <w:rPr>
                <w:rFonts w:ascii="仿宋_GB2312" w:hAnsi="仿宋_GB2312" w:cs="仿宋_GB2312" w:eastAsia="仿宋_GB2312"/>
                <w:sz w:val="24"/>
                <w:b/>
              </w:rPr>
              <w:t>2.1</w:t>
            </w:r>
            <w:r>
              <w:rPr>
                <w:rFonts w:ascii="仿宋_GB2312" w:hAnsi="仿宋_GB2312" w:cs="仿宋_GB2312" w:eastAsia="仿宋_GB2312"/>
                <w:sz w:val="24"/>
                <w:b/>
              </w:rPr>
              <w:t>诉讼服务中心外包服务</w:t>
            </w:r>
          </w:p>
          <w:tbl>
            <w:tblPr>
              <w:tblBorders>
                <w:top w:val="none" w:color="000000" w:sz="4"/>
                <w:left w:val="none" w:color="000000" w:sz="4"/>
                <w:bottom w:val="none" w:color="000000" w:sz="4"/>
                <w:right w:val="none" w:color="000000" w:sz="4"/>
                <w:insideH w:val="none"/>
                <w:insideV w:val="none"/>
              </w:tblBorders>
            </w:tblPr>
            <w:tblGrid>
              <w:gridCol w:w="164"/>
              <w:gridCol w:w="400"/>
              <w:gridCol w:w="138"/>
              <w:gridCol w:w="458"/>
              <w:gridCol w:w="1080"/>
              <w:gridCol w:w="313"/>
            </w:tblGrid>
            <w:tr>
              <w:tc>
                <w:tcPr>
                  <w:tcW w:type="dxa" w:w="164"/>
                  <w:tcBorders>
                    <w:top w:val="single" w:color="000000" w:sz="4"/>
                    <w:left w:val="single" w:color="000000" w:sz="4"/>
                    <w:bottom w:val="single" w:color="000000" w:sz="4"/>
                    <w:right w:val="single" w:color="000000" w:sz="4"/>
                  </w:tcBorders>
                  <w:shd w:fill="F2F2F2"/>
                  <w:tcMar>
                    <w:top w:type="dxa" w:w="90"/>
                    <w:left w:type="dxa" w:w="120"/>
                    <w:bottom w:type="dxa" w:w="90"/>
                    <w:right w:type="dxa" w:w="120"/>
                  </w:tcMar>
                  <w:vAlign w:val="top"/>
                </w:tcPr>
                <w:p>
                  <w:pPr>
                    <w:pStyle w:val="null3"/>
                    <w:jc w:val="center"/>
                  </w:pPr>
                  <w:r>
                    <w:rPr>
                      <w:rFonts w:ascii="仿宋_GB2312" w:hAnsi="仿宋_GB2312" w:cs="仿宋_GB2312" w:eastAsia="仿宋_GB2312"/>
                      <w:sz w:val="24"/>
                      <w:b/>
                    </w:rPr>
                    <w:t>序号</w:t>
                  </w:r>
                </w:p>
              </w:tc>
              <w:tc>
                <w:tcPr>
                  <w:tcW w:type="dxa" w:w="400"/>
                  <w:tcBorders>
                    <w:top w:val="single" w:color="000000" w:sz="4"/>
                    <w:left w:val="none" w:color="000000" w:sz="4"/>
                    <w:bottom w:val="single" w:color="000000" w:sz="4"/>
                    <w:right w:val="single" w:color="000000" w:sz="4"/>
                  </w:tcBorders>
                  <w:shd w:fill="F2F2F2"/>
                  <w:tcMar>
                    <w:top w:type="dxa" w:w="90"/>
                    <w:left w:type="dxa" w:w="120"/>
                    <w:bottom w:type="dxa" w:w="90"/>
                    <w:right w:type="dxa" w:w="120"/>
                  </w:tcMar>
                  <w:vAlign w:val="top"/>
                </w:tcPr>
                <w:p>
                  <w:pPr>
                    <w:pStyle w:val="null3"/>
                    <w:jc w:val="center"/>
                  </w:pPr>
                  <w:r>
                    <w:rPr>
                      <w:rFonts w:ascii="仿宋_GB2312" w:hAnsi="仿宋_GB2312" w:cs="仿宋_GB2312" w:eastAsia="仿宋_GB2312"/>
                      <w:sz w:val="24"/>
                      <w:b/>
                    </w:rPr>
                    <w:t>岗位名称</w:t>
                  </w:r>
                </w:p>
              </w:tc>
              <w:tc>
                <w:tcPr>
                  <w:tcW w:type="dxa" w:w="138"/>
                  <w:tcBorders>
                    <w:top w:val="single" w:color="000000" w:sz="4"/>
                    <w:left w:val="none" w:color="000000" w:sz="4"/>
                    <w:bottom w:val="single" w:color="000000" w:sz="4"/>
                    <w:right w:val="single" w:color="000000" w:sz="4"/>
                  </w:tcBorders>
                  <w:shd w:fill="F2F2F2"/>
                  <w:tcMar>
                    <w:top w:type="dxa" w:w="90"/>
                    <w:left w:type="dxa" w:w="120"/>
                    <w:bottom w:type="dxa" w:w="90"/>
                    <w:right w:type="dxa" w:w="120"/>
                  </w:tcMar>
                  <w:vAlign w:val="top"/>
                </w:tcPr>
                <w:p>
                  <w:pPr>
                    <w:pStyle w:val="null3"/>
                    <w:jc w:val="center"/>
                  </w:pPr>
                  <w:r>
                    <w:rPr>
                      <w:rFonts w:ascii="仿宋_GB2312" w:hAnsi="仿宋_GB2312" w:cs="仿宋_GB2312" w:eastAsia="仿宋_GB2312"/>
                      <w:sz w:val="24"/>
                      <w:b/>
                    </w:rPr>
                    <w:t>人数</w:t>
                  </w:r>
                </w:p>
              </w:tc>
              <w:tc>
                <w:tcPr>
                  <w:tcW w:type="dxa" w:w="458"/>
                  <w:tcBorders>
                    <w:top w:val="single" w:color="000000" w:sz="4"/>
                    <w:left w:val="none" w:color="000000" w:sz="4"/>
                    <w:bottom w:val="single" w:color="000000" w:sz="4"/>
                    <w:right w:val="single" w:color="000000" w:sz="4"/>
                  </w:tcBorders>
                  <w:shd w:fill="F2F2F2"/>
                  <w:tcMar>
                    <w:top w:type="dxa" w:w="90"/>
                    <w:left w:type="dxa" w:w="120"/>
                    <w:bottom w:type="dxa" w:w="90"/>
                    <w:right w:type="dxa" w:w="120"/>
                  </w:tcMar>
                  <w:vAlign w:val="top"/>
                </w:tcPr>
                <w:p>
                  <w:pPr>
                    <w:pStyle w:val="null3"/>
                    <w:jc w:val="center"/>
                  </w:pPr>
                  <w:r>
                    <w:rPr>
                      <w:rFonts w:ascii="仿宋_GB2312" w:hAnsi="仿宋_GB2312" w:cs="仿宋_GB2312" w:eastAsia="仿宋_GB2312"/>
                      <w:sz w:val="24"/>
                      <w:b/>
                    </w:rPr>
                    <w:t>主要工作内容</w:t>
                  </w:r>
                </w:p>
              </w:tc>
              <w:tc>
                <w:tcPr>
                  <w:tcW w:type="dxa" w:w="1080"/>
                  <w:tcBorders>
                    <w:top w:val="single" w:color="000000" w:sz="4"/>
                    <w:left w:val="none" w:color="000000" w:sz="4"/>
                    <w:bottom w:val="single" w:color="000000" w:sz="4"/>
                    <w:right w:val="single" w:color="000000" w:sz="4"/>
                  </w:tcBorders>
                  <w:shd w:fill="F2F2F2"/>
                  <w:tcMar>
                    <w:top w:type="dxa" w:w="90"/>
                    <w:left w:type="dxa" w:w="120"/>
                    <w:bottom w:type="dxa" w:w="90"/>
                    <w:right w:type="dxa" w:w="120"/>
                  </w:tcMar>
                  <w:vAlign w:val="top"/>
                </w:tcPr>
                <w:p>
                  <w:pPr>
                    <w:pStyle w:val="null3"/>
                    <w:jc w:val="both"/>
                  </w:pPr>
                  <w:r>
                    <w:rPr>
                      <w:rFonts w:ascii="仿宋_GB2312" w:hAnsi="仿宋_GB2312" w:cs="仿宋_GB2312" w:eastAsia="仿宋_GB2312"/>
                      <w:sz w:val="24"/>
                      <w:b/>
                    </w:rPr>
                    <w:t>岗位职责</w:t>
                  </w:r>
                </w:p>
              </w:tc>
              <w:tc>
                <w:tcPr>
                  <w:tcW w:type="dxa" w:w="313"/>
                  <w:tcBorders>
                    <w:top w:val="single" w:color="000000" w:sz="4"/>
                    <w:left w:val="none" w:color="000000" w:sz="4"/>
                    <w:bottom w:val="single" w:color="000000" w:sz="4"/>
                    <w:right w:val="single" w:color="000000" w:sz="4"/>
                  </w:tcBorders>
                  <w:shd w:fill="F2F2F2"/>
                  <w:tcMar>
                    <w:top w:type="dxa" w:w="90"/>
                    <w:left w:type="dxa" w:w="120"/>
                    <w:bottom w:type="dxa" w:w="90"/>
                    <w:right w:type="dxa" w:w="120"/>
                  </w:tcMar>
                  <w:vAlign w:val="top"/>
                </w:tcPr>
                <w:p>
                  <w:pPr>
                    <w:pStyle w:val="null3"/>
                    <w:jc w:val="both"/>
                  </w:pPr>
                  <w:r>
                    <w:rPr>
                      <w:rFonts w:ascii="仿宋_GB2312" w:hAnsi="仿宋_GB2312" w:cs="仿宋_GB2312" w:eastAsia="仿宋_GB2312"/>
                      <w:sz w:val="24"/>
                      <w:b/>
                    </w:rPr>
                    <w:t>任职要求</w:t>
                  </w:r>
                </w:p>
              </w:tc>
            </w:tr>
            <w:tr>
              <w:tc>
                <w:tcPr>
                  <w:tcW w:type="dxa" w:w="164"/>
                  <w:tcBorders>
                    <w:top w:val="none" w:color="000000" w:sz="4"/>
                    <w:left w:val="single" w:color="000000" w:sz="4"/>
                    <w:bottom w:val="single" w:color="000000" w:sz="4"/>
                    <w:right w:val="single" w:color="000000" w:sz="4"/>
                  </w:tcBorders>
                  <w:tcMar>
                    <w:top w:type="dxa" w:w="90"/>
                    <w:left w:type="dxa" w:w="120"/>
                    <w:bottom w:type="dxa" w:w="90"/>
                    <w:right w:type="dxa" w:w="120"/>
                  </w:tcMar>
                  <w:vAlign w:val="top"/>
                </w:tcPr>
                <w:p>
                  <w:pPr>
                    <w:pStyle w:val="null3"/>
                    <w:jc w:val="center"/>
                  </w:pPr>
                  <w:r>
                    <w:rPr>
                      <w:rFonts w:ascii="仿宋_GB2312" w:hAnsi="仿宋_GB2312" w:cs="仿宋_GB2312" w:eastAsia="仿宋_GB2312"/>
                      <w:sz w:val="24"/>
                    </w:rPr>
                    <w:t>1</w:t>
                  </w:r>
                </w:p>
              </w:tc>
              <w:tc>
                <w:tcPr>
                  <w:tcW w:type="dxa" w:w="400"/>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center"/>
                  </w:pPr>
                  <w:r>
                    <w:rPr>
                      <w:rFonts w:ascii="仿宋_GB2312" w:hAnsi="仿宋_GB2312" w:cs="仿宋_GB2312" w:eastAsia="仿宋_GB2312"/>
                      <w:sz w:val="24"/>
                    </w:rPr>
                    <w:t>民事立案及查询岗</w:t>
                  </w:r>
                </w:p>
              </w:tc>
              <w:tc>
                <w:tcPr>
                  <w:tcW w:type="dxa" w:w="138"/>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center"/>
                  </w:pPr>
                  <w:r>
                    <w:rPr>
                      <w:rFonts w:ascii="仿宋_GB2312" w:hAnsi="仿宋_GB2312" w:cs="仿宋_GB2312" w:eastAsia="仿宋_GB2312"/>
                      <w:sz w:val="24"/>
                    </w:rPr>
                    <w:t>2</w:t>
                  </w:r>
                </w:p>
              </w:tc>
              <w:tc>
                <w:tcPr>
                  <w:tcW w:type="dxa" w:w="458"/>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left"/>
                  </w:pPr>
                  <w:r>
                    <w:rPr>
                      <w:rFonts w:ascii="仿宋_GB2312" w:hAnsi="仿宋_GB2312" w:cs="仿宋_GB2312" w:eastAsia="仿宋_GB2312"/>
                      <w:sz w:val="24"/>
                    </w:rPr>
                    <w:t>负责民事案件立案受理、材料审核、信息录入；提供案件查询、诉讼指引等服务</w:t>
                  </w:r>
                </w:p>
              </w:tc>
              <w:tc>
                <w:tcPr>
                  <w:tcW w:type="dxa" w:w="1080"/>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both"/>
                  </w:pPr>
                  <w:r>
                    <w:rPr>
                      <w:rFonts w:ascii="仿宋_GB2312" w:hAnsi="仿宋_GB2312" w:cs="仿宋_GB2312" w:eastAsia="仿宋_GB2312"/>
                      <w:sz w:val="24"/>
                    </w:rPr>
                    <w:t>1.审查民事起诉材料，指导当事人补正；2.录入案件信息，生成案号；</w:t>
                  </w:r>
                </w:p>
                <w:p>
                  <w:pPr>
                    <w:pStyle w:val="null3"/>
                    <w:jc w:val="both"/>
                  </w:pPr>
                  <w:r>
                    <w:rPr>
                      <w:rFonts w:ascii="仿宋_GB2312" w:hAnsi="仿宋_GB2312" w:cs="仿宋_GB2312" w:eastAsia="仿宋_GB2312"/>
                      <w:sz w:val="24"/>
                    </w:rPr>
                    <w:t>3.出具受理/不予受理通知书；</w:t>
                  </w:r>
                </w:p>
                <w:p>
                  <w:pPr>
                    <w:pStyle w:val="null3"/>
                    <w:jc w:val="both"/>
                  </w:pPr>
                  <w:r>
                    <w:rPr>
                      <w:rFonts w:ascii="仿宋_GB2312" w:hAnsi="仿宋_GB2312" w:cs="仿宋_GB2312" w:eastAsia="仿宋_GB2312"/>
                      <w:sz w:val="24"/>
                    </w:rPr>
                    <w:t>4.接待当事人查询案件进展、承办法官、开庭时间等信息；</w:t>
                  </w:r>
                </w:p>
                <w:p>
                  <w:pPr>
                    <w:pStyle w:val="null3"/>
                    <w:jc w:val="both"/>
                  </w:pPr>
                  <w:r>
                    <w:rPr>
                      <w:rFonts w:ascii="仿宋_GB2312" w:hAnsi="仿宋_GB2312" w:cs="仿宋_GB2312" w:eastAsia="仿宋_GB2312"/>
                      <w:sz w:val="24"/>
                    </w:rPr>
                    <w:t>5.解答一般性诉讼程序问题。</w:t>
                  </w:r>
                </w:p>
              </w:tc>
              <w:tc>
                <w:tcPr>
                  <w:tcW w:type="dxa" w:w="313"/>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both"/>
                  </w:pPr>
                  <w:r>
                    <w:rPr>
                      <w:rFonts w:ascii="仿宋_GB2312" w:hAnsi="仿宋_GB2312" w:cs="仿宋_GB2312" w:eastAsia="仿宋_GB2312"/>
                      <w:sz w:val="24"/>
                    </w:rPr>
                    <w:t>法律本科以上，熟悉民事诉讼法，熟练操作办案系统，服务意识强</w:t>
                  </w:r>
                </w:p>
              </w:tc>
            </w:tr>
            <w:tr>
              <w:tc>
                <w:tcPr>
                  <w:tcW w:type="dxa" w:w="164"/>
                  <w:tcBorders>
                    <w:top w:val="none" w:color="000000" w:sz="4"/>
                    <w:left w:val="single" w:color="000000" w:sz="4"/>
                    <w:bottom w:val="single" w:color="000000" w:sz="4"/>
                    <w:right w:val="single" w:color="000000" w:sz="4"/>
                  </w:tcBorders>
                  <w:tcMar>
                    <w:top w:type="dxa" w:w="90"/>
                    <w:left w:type="dxa" w:w="120"/>
                    <w:bottom w:type="dxa" w:w="90"/>
                    <w:right w:type="dxa" w:w="120"/>
                  </w:tcMar>
                  <w:vAlign w:val="top"/>
                </w:tcPr>
                <w:p>
                  <w:pPr>
                    <w:pStyle w:val="null3"/>
                    <w:jc w:val="center"/>
                  </w:pPr>
                  <w:r>
                    <w:rPr>
                      <w:rFonts w:ascii="仿宋_GB2312" w:hAnsi="仿宋_GB2312" w:cs="仿宋_GB2312" w:eastAsia="仿宋_GB2312"/>
                      <w:sz w:val="24"/>
                    </w:rPr>
                    <w:t>2</w:t>
                  </w:r>
                </w:p>
              </w:tc>
              <w:tc>
                <w:tcPr>
                  <w:tcW w:type="dxa" w:w="400"/>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center"/>
                  </w:pPr>
                  <w:r>
                    <w:rPr>
                      <w:rFonts w:ascii="仿宋_GB2312" w:hAnsi="仿宋_GB2312" w:cs="仿宋_GB2312" w:eastAsia="仿宋_GB2312"/>
                      <w:sz w:val="24"/>
                    </w:rPr>
                    <w:t>财产保全岗</w:t>
                  </w:r>
                </w:p>
              </w:tc>
              <w:tc>
                <w:tcPr>
                  <w:tcW w:type="dxa" w:w="138"/>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center"/>
                  </w:pPr>
                  <w:r>
                    <w:rPr>
                      <w:rFonts w:ascii="仿宋_GB2312" w:hAnsi="仿宋_GB2312" w:cs="仿宋_GB2312" w:eastAsia="仿宋_GB2312"/>
                      <w:sz w:val="24"/>
                    </w:rPr>
                    <w:t>1</w:t>
                  </w:r>
                </w:p>
              </w:tc>
              <w:tc>
                <w:tcPr>
                  <w:tcW w:type="dxa" w:w="458"/>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left"/>
                  </w:pPr>
                  <w:r>
                    <w:rPr>
                      <w:rFonts w:ascii="仿宋_GB2312" w:hAnsi="仿宋_GB2312" w:cs="仿宋_GB2312" w:eastAsia="仿宋_GB2312"/>
                      <w:sz w:val="24"/>
                    </w:rPr>
                    <w:t>负责财产保全申请的接收、审查辅助、材料流转及裁定后执行协助</w:t>
                  </w:r>
                </w:p>
              </w:tc>
              <w:tc>
                <w:tcPr>
                  <w:tcW w:type="dxa" w:w="1080"/>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both"/>
                  </w:pPr>
                  <w:r>
                    <w:rPr>
                      <w:rFonts w:ascii="仿宋_GB2312" w:hAnsi="仿宋_GB2312" w:cs="仿宋_GB2312" w:eastAsia="仿宋_GB2312"/>
                      <w:sz w:val="24"/>
                    </w:rPr>
                    <w:t>1.接收保全申请材料，核对形式要件；</w:t>
                  </w:r>
                </w:p>
                <w:p>
                  <w:pPr>
                    <w:pStyle w:val="null3"/>
                    <w:jc w:val="both"/>
                  </w:pPr>
                  <w:r>
                    <w:rPr>
                      <w:rFonts w:ascii="仿宋_GB2312" w:hAnsi="仿宋_GB2312" w:cs="仿宋_GB2312" w:eastAsia="仿宋_GB2312"/>
                      <w:sz w:val="24"/>
                    </w:rPr>
                    <w:t>2.协助法官进行保全必要性初步核查；</w:t>
                  </w:r>
                </w:p>
                <w:p>
                  <w:pPr>
                    <w:pStyle w:val="null3"/>
                    <w:jc w:val="both"/>
                  </w:pPr>
                  <w:r>
                    <w:rPr>
                      <w:rFonts w:ascii="仿宋_GB2312" w:hAnsi="仿宋_GB2312" w:cs="仿宋_GB2312" w:eastAsia="仿宋_GB2312"/>
                      <w:sz w:val="24"/>
                    </w:rPr>
                    <w:t>3.录入保全案件信息，移送裁定；</w:t>
                  </w:r>
                </w:p>
                <w:p>
                  <w:pPr>
                    <w:pStyle w:val="null3"/>
                    <w:jc w:val="both"/>
                  </w:pPr>
                  <w:r>
                    <w:rPr>
                      <w:rFonts w:ascii="仿宋_GB2312" w:hAnsi="仿宋_GB2312" w:cs="仿宋_GB2312" w:eastAsia="仿宋_GB2312"/>
                      <w:sz w:val="24"/>
                    </w:rPr>
                    <w:t>4.跟踪保全执行反馈，告知当事人结果；</w:t>
                  </w:r>
                </w:p>
                <w:p>
                  <w:pPr>
                    <w:pStyle w:val="null3"/>
                    <w:jc w:val="both"/>
                  </w:pPr>
                  <w:r>
                    <w:rPr>
                      <w:rFonts w:ascii="仿宋_GB2312" w:hAnsi="仿宋_GB2312" w:cs="仿宋_GB2312" w:eastAsia="仿宋_GB2312"/>
                      <w:sz w:val="24"/>
                    </w:rPr>
                    <w:t>5.整理保全卷宗。</w:t>
                  </w:r>
                </w:p>
              </w:tc>
              <w:tc>
                <w:tcPr>
                  <w:tcW w:type="dxa" w:w="313"/>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both"/>
                  </w:pPr>
                  <w:r>
                    <w:rPr>
                      <w:rFonts w:ascii="仿宋_GB2312" w:hAnsi="仿宋_GB2312" w:cs="仿宋_GB2312" w:eastAsia="仿宋_GB2312"/>
                      <w:sz w:val="24"/>
                    </w:rPr>
                    <w:t>本科以上，法律专业，熟悉保全规定，细致严谨，有风险防范意识</w:t>
                  </w:r>
                </w:p>
              </w:tc>
            </w:tr>
            <w:tr>
              <w:tc>
                <w:tcPr>
                  <w:tcW w:type="dxa" w:w="164"/>
                  <w:tcBorders>
                    <w:top w:val="none" w:color="000000" w:sz="4"/>
                    <w:left w:val="single" w:color="000000" w:sz="4"/>
                    <w:bottom w:val="single" w:color="000000" w:sz="4"/>
                    <w:right w:val="single" w:color="000000" w:sz="4"/>
                  </w:tcBorders>
                  <w:tcMar>
                    <w:top w:type="dxa" w:w="90"/>
                    <w:left w:type="dxa" w:w="120"/>
                    <w:bottom w:type="dxa" w:w="90"/>
                    <w:right w:type="dxa" w:w="120"/>
                  </w:tcMar>
                  <w:vAlign w:val="top"/>
                </w:tcPr>
                <w:p>
                  <w:pPr>
                    <w:pStyle w:val="null3"/>
                    <w:jc w:val="center"/>
                  </w:pPr>
                  <w:r>
                    <w:rPr>
                      <w:rFonts w:ascii="仿宋_GB2312" w:hAnsi="仿宋_GB2312" w:cs="仿宋_GB2312" w:eastAsia="仿宋_GB2312"/>
                      <w:sz w:val="24"/>
                    </w:rPr>
                    <w:t>3</w:t>
                  </w:r>
                </w:p>
              </w:tc>
              <w:tc>
                <w:tcPr>
                  <w:tcW w:type="dxa" w:w="400"/>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center"/>
                  </w:pPr>
                  <w:r>
                    <w:rPr>
                      <w:rFonts w:ascii="仿宋_GB2312" w:hAnsi="仿宋_GB2312" w:cs="仿宋_GB2312" w:eastAsia="仿宋_GB2312"/>
                      <w:sz w:val="24"/>
                    </w:rPr>
                    <w:t>委托鉴定岗</w:t>
                  </w:r>
                </w:p>
              </w:tc>
              <w:tc>
                <w:tcPr>
                  <w:tcW w:type="dxa" w:w="138"/>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center"/>
                  </w:pPr>
                  <w:r>
                    <w:rPr>
                      <w:rFonts w:ascii="仿宋_GB2312" w:hAnsi="仿宋_GB2312" w:cs="仿宋_GB2312" w:eastAsia="仿宋_GB2312"/>
                      <w:sz w:val="24"/>
                    </w:rPr>
                    <w:t>1</w:t>
                  </w:r>
                </w:p>
              </w:tc>
              <w:tc>
                <w:tcPr>
                  <w:tcW w:type="dxa" w:w="458"/>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left"/>
                  </w:pPr>
                  <w:r>
                    <w:rPr>
                      <w:rFonts w:ascii="仿宋_GB2312" w:hAnsi="仿宋_GB2312" w:cs="仿宋_GB2312" w:eastAsia="仿宋_GB2312"/>
                      <w:sz w:val="24"/>
                    </w:rPr>
                    <w:t>负责对外委托鉴定、评估、审计的组织协调与流程管理</w:t>
                  </w:r>
                </w:p>
              </w:tc>
              <w:tc>
                <w:tcPr>
                  <w:tcW w:type="dxa" w:w="1080"/>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both"/>
                  </w:pPr>
                  <w:r>
                    <w:rPr>
                      <w:rFonts w:ascii="仿宋_GB2312" w:hAnsi="仿宋_GB2312" w:cs="仿宋_GB2312" w:eastAsia="仿宋_GB2312"/>
                      <w:sz w:val="24"/>
                    </w:rPr>
                    <w:t>1. 接收鉴定申请，审核材料完整性；</w:t>
                  </w:r>
                </w:p>
                <w:p>
                  <w:pPr>
                    <w:pStyle w:val="null3"/>
                    <w:jc w:val="both"/>
                  </w:pPr>
                  <w:r>
                    <w:rPr>
                      <w:rFonts w:ascii="仿宋_GB2312" w:hAnsi="仿宋_GB2312" w:cs="仿宋_GB2312" w:eastAsia="仿宋_GB2312"/>
                      <w:sz w:val="24"/>
                    </w:rPr>
                    <w:t>2. 组织当事人选择鉴定机构；</w:t>
                  </w:r>
                </w:p>
                <w:p>
                  <w:pPr>
                    <w:pStyle w:val="null3"/>
                    <w:jc w:val="both"/>
                  </w:pPr>
                  <w:r>
                    <w:rPr>
                      <w:rFonts w:ascii="仿宋_GB2312" w:hAnsi="仿宋_GB2312" w:cs="仿宋_GB2312" w:eastAsia="仿宋_GB2312"/>
                      <w:sz w:val="24"/>
                    </w:rPr>
                    <w:t>3. 办理委托手续，移送鉴定材料；</w:t>
                  </w:r>
                </w:p>
                <w:p>
                  <w:pPr>
                    <w:pStyle w:val="null3"/>
                    <w:jc w:val="both"/>
                  </w:pPr>
                  <w:r>
                    <w:rPr>
                      <w:rFonts w:ascii="仿宋_GB2312" w:hAnsi="仿宋_GB2312" w:cs="仿宋_GB2312" w:eastAsia="仿宋_GB2312"/>
                      <w:sz w:val="24"/>
                    </w:rPr>
                    <w:t>4. 跟踪鉴定进度，协调补充材料；</w:t>
                  </w:r>
                </w:p>
                <w:p>
                  <w:pPr>
                    <w:pStyle w:val="null3"/>
                    <w:jc w:val="both"/>
                  </w:pPr>
                  <w:r>
                    <w:rPr>
                      <w:rFonts w:ascii="仿宋_GB2312" w:hAnsi="仿宋_GB2312" w:cs="仿宋_GB2312" w:eastAsia="仿宋_GB2312"/>
                      <w:sz w:val="24"/>
                    </w:rPr>
                    <w:t>5. 接收并送达鉴定意见书。</w:t>
                  </w:r>
                </w:p>
              </w:tc>
              <w:tc>
                <w:tcPr>
                  <w:tcW w:type="dxa" w:w="313"/>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both"/>
                  </w:pPr>
                  <w:r>
                    <w:rPr>
                      <w:rFonts w:ascii="仿宋_GB2312" w:hAnsi="仿宋_GB2312" w:cs="仿宋_GB2312" w:eastAsia="仿宋_GB2312"/>
                      <w:sz w:val="24"/>
                    </w:rPr>
                    <w:t>本科以上，法律或相关专业，了解司法鉴定流程，沟通协调能力强</w:t>
                  </w:r>
                </w:p>
              </w:tc>
            </w:tr>
            <w:tr>
              <w:tc>
                <w:tcPr>
                  <w:tcW w:type="dxa" w:w="164"/>
                  <w:tcBorders>
                    <w:top w:val="none" w:color="000000" w:sz="4"/>
                    <w:left w:val="single" w:color="000000" w:sz="4"/>
                    <w:bottom w:val="single" w:color="000000" w:sz="4"/>
                    <w:right w:val="single" w:color="000000" w:sz="4"/>
                  </w:tcBorders>
                  <w:tcMar>
                    <w:top w:type="dxa" w:w="90"/>
                    <w:left w:type="dxa" w:w="120"/>
                    <w:bottom w:type="dxa" w:w="90"/>
                    <w:right w:type="dxa" w:w="120"/>
                  </w:tcMar>
                  <w:vAlign w:val="top"/>
                </w:tcPr>
                <w:p>
                  <w:pPr>
                    <w:pStyle w:val="null3"/>
                    <w:jc w:val="center"/>
                  </w:pPr>
                  <w:r>
                    <w:rPr>
                      <w:rFonts w:ascii="仿宋_GB2312" w:hAnsi="仿宋_GB2312" w:cs="仿宋_GB2312" w:eastAsia="仿宋_GB2312"/>
                      <w:sz w:val="24"/>
                    </w:rPr>
                    <w:t>4</w:t>
                  </w:r>
                </w:p>
              </w:tc>
              <w:tc>
                <w:tcPr>
                  <w:tcW w:type="dxa" w:w="400"/>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center"/>
                  </w:pPr>
                  <w:r>
                    <w:rPr>
                      <w:rFonts w:ascii="仿宋_GB2312" w:hAnsi="仿宋_GB2312" w:cs="仿宋_GB2312" w:eastAsia="仿宋_GB2312"/>
                      <w:sz w:val="24"/>
                    </w:rPr>
                    <w:t>刑事立案岗</w:t>
                  </w:r>
                </w:p>
              </w:tc>
              <w:tc>
                <w:tcPr>
                  <w:tcW w:type="dxa" w:w="138"/>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center"/>
                  </w:pPr>
                  <w:r>
                    <w:rPr>
                      <w:rFonts w:ascii="仿宋_GB2312" w:hAnsi="仿宋_GB2312" w:cs="仿宋_GB2312" w:eastAsia="仿宋_GB2312"/>
                      <w:sz w:val="24"/>
                    </w:rPr>
                    <w:t>1</w:t>
                  </w:r>
                </w:p>
              </w:tc>
              <w:tc>
                <w:tcPr>
                  <w:tcW w:type="dxa" w:w="458"/>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left"/>
                  </w:pPr>
                  <w:r>
                    <w:rPr>
                      <w:rFonts w:ascii="仿宋_GB2312" w:hAnsi="仿宋_GB2312" w:cs="仿宋_GB2312" w:eastAsia="仿宋_GB2312"/>
                      <w:sz w:val="24"/>
                    </w:rPr>
                    <w:t>负责刑事自诉案件、公诉案件收案登记及立案辅助</w:t>
                  </w:r>
                </w:p>
              </w:tc>
              <w:tc>
                <w:tcPr>
                  <w:tcW w:type="dxa" w:w="1080"/>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both"/>
                  </w:pPr>
                  <w:r>
                    <w:rPr>
                      <w:rFonts w:ascii="仿宋_GB2312" w:hAnsi="仿宋_GB2312" w:cs="仿宋_GB2312" w:eastAsia="仿宋_GB2312"/>
                      <w:sz w:val="24"/>
                    </w:rPr>
                    <w:t>1.接收公诉案件移送材料，核对被告人信息、案由等；</w:t>
                  </w:r>
                </w:p>
                <w:p>
                  <w:pPr>
                    <w:pStyle w:val="null3"/>
                    <w:jc w:val="both"/>
                  </w:pPr>
                  <w:r>
                    <w:rPr>
                      <w:rFonts w:ascii="仿宋_GB2312" w:hAnsi="仿宋_GB2312" w:cs="仿宋_GB2312" w:eastAsia="仿宋_GB2312"/>
                      <w:sz w:val="24"/>
                    </w:rPr>
                    <w:t>2.审查刑事自诉材料，告知补正；</w:t>
                  </w:r>
                </w:p>
                <w:p>
                  <w:pPr>
                    <w:pStyle w:val="null3"/>
                    <w:jc w:val="both"/>
                  </w:pPr>
                  <w:r>
                    <w:rPr>
                      <w:rFonts w:ascii="仿宋_GB2312" w:hAnsi="仿宋_GB2312" w:cs="仿宋_GB2312" w:eastAsia="仿宋_GB2312"/>
                      <w:sz w:val="24"/>
                    </w:rPr>
                    <w:t>3.录入立案信息，移送刑庭；</w:t>
                  </w:r>
                </w:p>
                <w:p>
                  <w:pPr>
                    <w:pStyle w:val="null3"/>
                    <w:jc w:val="both"/>
                  </w:pPr>
                  <w:r>
                    <w:rPr>
                      <w:rFonts w:ascii="仿宋_GB2312" w:hAnsi="仿宋_GB2312" w:cs="仿宋_GB2312" w:eastAsia="仿宋_GB2312"/>
                      <w:sz w:val="24"/>
                    </w:rPr>
                    <w:t>4.开具相关法律文书（如取保候审通知等辅助性文书）；</w:t>
                  </w:r>
                </w:p>
                <w:p>
                  <w:pPr>
                    <w:pStyle w:val="null3"/>
                    <w:jc w:val="both"/>
                  </w:pPr>
                  <w:r>
                    <w:rPr>
                      <w:rFonts w:ascii="仿宋_GB2312" w:hAnsi="仿宋_GB2312" w:cs="仿宋_GB2312" w:eastAsia="仿宋_GB2312"/>
                      <w:sz w:val="24"/>
                    </w:rPr>
                    <w:t>5.统计刑事立案数据。</w:t>
                  </w:r>
                </w:p>
              </w:tc>
              <w:tc>
                <w:tcPr>
                  <w:tcW w:type="dxa" w:w="313"/>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both"/>
                  </w:pPr>
                  <w:r>
                    <w:rPr>
                      <w:rFonts w:ascii="仿宋_GB2312" w:hAnsi="仿宋_GB2312" w:cs="仿宋_GB2312" w:eastAsia="仿宋_GB2312"/>
                      <w:sz w:val="24"/>
                    </w:rPr>
                    <w:t>法律专业，熟悉刑诉法，政治素质高，保密意识强</w:t>
                  </w:r>
                </w:p>
              </w:tc>
            </w:tr>
            <w:tr>
              <w:tc>
                <w:tcPr>
                  <w:tcW w:type="dxa" w:w="164"/>
                  <w:tcBorders>
                    <w:top w:val="none" w:color="000000" w:sz="4"/>
                    <w:left w:val="single" w:color="000000" w:sz="4"/>
                    <w:bottom w:val="single" w:color="000000" w:sz="4"/>
                    <w:right w:val="single" w:color="000000" w:sz="4"/>
                  </w:tcBorders>
                  <w:tcMar>
                    <w:top w:type="dxa" w:w="90"/>
                    <w:left w:type="dxa" w:w="120"/>
                    <w:bottom w:type="dxa" w:w="90"/>
                    <w:right w:type="dxa" w:w="120"/>
                  </w:tcMar>
                  <w:vAlign w:val="top"/>
                </w:tcPr>
                <w:p>
                  <w:pPr>
                    <w:pStyle w:val="null3"/>
                    <w:jc w:val="center"/>
                  </w:pPr>
                  <w:r>
                    <w:rPr>
                      <w:rFonts w:ascii="仿宋_GB2312" w:hAnsi="仿宋_GB2312" w:cs="仿宋_GB2312" w:eastAsia="仿宋_GB2312"/>
                      <w:sz w:val="24"/>
                    </w:rPr>
                    <w:t>5</w:t>
                  </w:r>
                </w:p>
              </w:tc>
              <w:tc>
                <w:tcPr>
                  <w:tcW w:type="dxa" w:w="400"/>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center"/>
                  </w:pPr>
                  <w:r>
                    <w:rPr>
                      <w:rFonts w:ascii="仿宋_GB2312" w:hAnsi="仿宋_GB2312" w:cs="仿宋_GB2312" w:eastAsia="仿宋_GB2312"/>
                      <w:sz w:val="24"/>
                    </w:rPr>
                    <w:t>集约话务岗</w:t>
                  </w:r>
                </w:p>
              </w:tc>
              <w:tc>
                <w:tcPr>
                  <w:tcW w:type="dxa" w:w="138"/>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center"/>
                  </w:pPr>
                  <w:r>
                    <w:rPr>
                      <w:rFonts w:ascii="仿宋_GB2312" w:hAnsi="仿宋_GB2312" w:cs="仿宋_GB2312" w:eastAsia="仿宋_GB2312"/>
                      <w:sz w:val="24"/>
                    </w:rPr>
                    <w:t>2</w:t>
                  </w:r>
                </w:p>
              </w:tc>
              <w:tc>
                <w:tcPr>
                  <w:tcW w:type="dxa" w:w="458"/>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center"/>
                  </w:pPr>
                  <w:r>
                    <w:rPr>
                      <w:rFonts w:ascii="仿宋_GB2312" w:hAnsi="仿宋_GB2312" w:cs="仿宋_GB2312" w:eastAsia="仿宋_GB2312"/>
                      <w:sz w:val="24"/>
                    </w:rPr>
                    <w:t>负责统一接听诉讼服务热线（如</w:t>
                  </w:r>
                  <w:r>
                    <w:rPr>
                      <w:rFonts w:ascii="仿宋_GB2312" w:hAnsi="仿宋_GB2312" w:cs="仿宋_GB2312" w:eastAsia="仿宋_GB2312"/>
                      <w:sz w:val="24"/>
                    </w:rPr>
                    <w:t>12368）及法院对外咨询电话，提供全流程话务服务</w:t>
                  </w:r>
                </w:p>
              </w:tc>
              <w:tc>
                <w:tcPr>
                  <w:tcW w:type="dxa" w:w="1080"/>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both"/>
                  </w:pPr>
                  <w:r>
                    <w:rPr>
                      <w:rFonts w:ascii="仿宋_GB2312" w:hAnsi="仿宋_GB2312" w:cs="仿宋_GB2312" w:eastAsia="仿宋_GB2312"/>
                      <w:sz w:val="24"/>
                    </w:rPr>
                    <w:t>1.接听当事人、律师等来电，解答案件查询、诉讼程序、开庭时间、法官联系方式等问题；</w:t>
                  </w:r>
                </w:p>
                <w:p>
                  <w:pPr>
                    <w:pStyle w:val="null3"/>
                    <w:jc w:val="both"/>
                  </w:pPr>
                  <w:r>
                    <w:rPr>
                      <w:rFonts w:ascii="仿宋_GB2312" w:hAnsi="仿宋_GB2312" w:cs="仿宋_GB2312" w:eastAsia="仿宋_GB2312"/>
                      <w:sz w:val="24"/>
                    </w:rPr>
                    <w:t>2.记录并转办投诉、建议、紧急诉求，跟踪反馈；</w:t>
                  </w:r>
                </w:p>
                <w:p>
                  <w:pPr>
                    <w:pStyle w:val="null3"/>
                    <w:jc w:val="both"/>
                  </w:pPr>
                  <w:r>
                    <w:rPr>
                      <w:rFonts w:ascii="仿宋_GB2312" w:hAnsi="仿宋_GB2312" w:cs="仿宋_GB2312" w:eastAsia="仿宋_GB2312"/>
                      <w:sz w:val="24"/>
                    </w:rPr>
                    <w:t>3.引导当事人通过线上、线下渠道办理立案、保全、鉴定等业务；</w:t>
                  </w:r>
                </w:p>
                <w:p>
                  <w:pPr>
                    <w:pStyle w:val="null3"/>
                    <w:jc w:val="both"/>
                  </w:pPr>
                  <w:r>
                    <w:rPr>
                      <w:rFonts w:ascii="仿宋_GB2312" w:hAnsi="仿宋_GB2312" w:cs="仿宋_GB2312" w:eastAsia="仿宋_GB2312"/>
                      <w:sz w:val="24"/>
                    </w:rPr>
                    <w:t>4.提供语音留言回拨、满意度回访等服务；5.维护话务知识库，统计话务数据。</w:t>
                  </w:r>
                </w:p>
              </w:tc>
              <w:tc>
                <w:tcPr>
                  <w:tcW w:type="dxa" w:w="313"/>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both"/>
                  </w:pPr>
                  <w:r>
                    <w:rPr>
                      <w:rFonts w:ascii="仿宋_GB2312" w:hAnsi="仿宋_GB2312" w:cs="仿宋_GB2312" w:eastAsia="仿宋_GB2312"/>
                      <w:sz w:val="24"/>
                    </w:rPr>
                    <w:t>普通话标准，熟悉法院业务流程，打字速度快，情绪稳定，具备呼叫中心经验者优先</w:t>
                  </w:r>
                </w:p>
              </w:tc>
            </w:tr>
            <w:tr>
              <w:tc>
                <w:tcPr>
                  <w:tcW w:type="dxa" w:w="164"/>
                  <w:tcBorders>
                    <w:top w:val="none" w:color="000000" w:sz="4"/>
                    <w:left w:val="single" w:color="000000" w:sz="4"/>
                    <w:bottom w:val="single" w:color="000000" w:sz="4"/>
                    <w:right w:val="single" w:color="000000" w:sz="4"/>
                  </w:tcBorders>
                  <w:tcMar>
                    <w:top w:type="dxa" w:w="90"/>
                    <w:left w:type="dxa" w:w="120"/>
                    <w:bottom w:type="dxa" w:w="90"/>
                    <w:right w:type="dxa" w:w="120"/>
                  </w:tcMar>
                  <w:vAlign w:val="top"/>
                </w:tcPr>
                <w:p>
                  <w:pPr>
                    <w:pStyle w:val="null3"/>
                    <w:jc w:val="center"/>
                  </w:pPr>
                  <w:r>
                    <w:rPr>
                      <w:rFonts w:ascii="仿宋_GB2312" w:hAnsi="仿宋_GB2312" w:cs="仿宋_GB2312" w:eastAsia="仿宋_GB2312"/>
                      <w:sz w:val="24"/>
                    </w:rPr>
                    <w:t>6</w:t>
                  </w:r>
                </w:p>
              </w:tc>
              <w:tc>
                <w:tcPr>
                  <w:tcW w:type="dxa" w:w="400"/>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center"/>
                  </w:pPr>
                  <w:r>
                    <w:rPr>
                      <w:rFonts w:ascii="仿宋_GB2312" w:hAnsi="仿宋_GB2312" w:cs="仿宋_GB2312" w:eastAsia="仿宋_GB2312"/>
                      <w:sz w:val="24"/>
                    </w:rPr>
                    <w:t>集中排期岗</w:t>
                  </w:r>
                </w:p>
              </w:tc>
              <w:tc>
                <w:tcPr>
                  <w:tcW w:type="dxa" w:w="138"/>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center"/>
                  </w:pPr>
                  <w:r>
                    <w:rPr>
                      <w:rFonts w:ascii="仿宋_GB2312" w:hAnsi="仿宋_GB2312" w:cs="仿宋_GB2312" w:eastAsia="仿宋_GB2312"/>
                      <w:sz w:val="24"/>
                    </w:rPr>
                    <w:t>3</w:t>
                  </w:r>
                </w:p>
              </w:tc>
              <w:tc>
                <w:tcPr>
                  <w:tcW w:type="dxa" w:w="458"/>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left"/>
                  </w:pPr>
                  <w:r>
                    <w:rPr>
                      <w:rFonts w:ascii="仿宋_GB2312" w:hAnsi="仿宋_GB2312" w:cs="仿宋_GB2312" w:eastAsia="仿宋_GB2312"/>
                      <w:sz w:val="24"/>
                    </w:rPr>
                    <w:t>负责全院民商事、行政等案件的开庭排期、法庭调度及传票制作送达跟踪</w:t>
                  </w:r>
                </w:p>
              </w:tc>
              <w:tc>
                <w:tcPr>
                  <w:tcW w:type="dxa" w:w="1080"/>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both"/>
                  </w:pPr>
                  <w:r>
                    <w:rPr>
                      <w:rFonts w:ascii="仿宋_GB2312" w:hAnsi="仿宋_GB2312" w:cs="仿宋_GB2312" w:eastAsia="仿宋_GB2312"/>
                      <w:sz w:val="24"/>
                    </w:rPr>
                    <w:t>1.根据案件类型、法官日程、法庭资源统一安排开庭时间及法庭；</w:t>
                  </w:r>
                </w:p>
                <w:p>
                  <w:pPr>
                    <w:pStyle w:val="null3"/>
                    <w:jc w:val="both"/>
                  </w:pPr>
                  <w:r>
                    <w:rPr>
                      <w:rFonts w:ascii="仿宋_GB2312" w:hAnsi="仿宋_GB2312" w:cs="仿宋_GB2312" w:eastAsia="仿宋_GB2312"/>
                      <w:sz w:val="24"/>
                    </w:rPr>
                    <w:t>2.制作并发送开庭传票、出庭通知书等；</w:t>
                  </w:r>
                </w:p>
                <w:p>
                  <w:pPr>
                    <w:pStyle w:val="null3"/>
                    <w:jc w:val="both"/>
                  </w:pPr>
                  <w:r>
                    <w:rPr>
                      <w:rFonts w:ascii="仿宋_GB2312" w:hAnsi="仿宋_GB2312" w:cs="仿宋_GB2312" w:eastAsia="仿宋_GB2312"/>
                      <w:sz w:val="24"/>
                    </w:rPr>
                    <w:t>3.协调因回避、延期等原因导致的改期；</w:t>
                  </w:r>
                </w:p>
                <w:p>
                  <w:pPr>
                    <w:pStyle w:val="null3"/>
                    <w:jc w:val="both"/>
                  </w:pPr>
                  <w:r>
                    <w:rPr>
                      <w:rFonts w:ascii="仿宋_GB2312" w:hAnsi="仿宋_GB2312" w:cs="仿宋_GB2312" w:eastAsia="仿宋_GB2312"/>
                      <w:sz w:val="24"/>
                    </w:rPr>
                    <w:t>4.统计排期数据，分析法庭使用效率；</w:t>
                  </w:r>
                </w:p>
                <w:p>
                  <w:pPr>
                    <w:pStyle w:val="null3"/>
                    <w:jc w:val="both"/>
                  </w:pPr>
                  <w:r>
                    <w:rPr>
                      <w:rFonts w:ascii="仿宋_GB2312" w:hAnsi="仿宋_GB2312" w:cs="仿宋_GB2312" w:eastAsia="仿宋_GB2312"/>
                      <w:sz w:val="24"/>
                    </w:rPr>
                    <w:t>5.与审判团队、法警队、技术部门对接庭审保障。</w:t>
                  </w:r>
                </w:p>
              </w:tc>
              <w:tc>
                <w:tcPr>
                  <w:tcW w:type="dxa" w:w="313"/>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both"/>
                  </w:pPr>
                  <w:r>
                    <w:rPr>
                      <w:rFonts w:ascii="仿宋_GB2312" w:hAnsi="仿宋_GB2312" w:cs="仿宋_GB2312" w:eastAsia="仿宋_GB2312"/>
                      <w:sz w:val="24"/>
                    </w:rPr>
                    <w:t>本科以上，熟悉审判流程管理，逻辑清晰，能多任务处理，抗压能力强</w:t>
                  </w:r>
                </w:p>
              </w:tc>
            </w:tr>
            <w:tr>
              <w:tc>
                <w:tcPr>
                  <w:tcW w:type="dxa" w:w="164"/>
                  <w:tcBorders>
                    <w:top w:val="none" w:color="000000" w:sz="4"/>
                    <w:left w:val="single" w:color="000000" w:sz="4"/>
                    <w:bottom w:val="single" w:color="000000" w:sz="4"/>
                    <w:right w:val="single" w:color="000000" w:sz="4"/>
                  </w:tcBorders>
                  <w:tcMar>
                    <w:top w:type="dxa" w:w="90"/>
                    <w:left w:type="dxa" w:w="120"/>
                    <w:bottom w:type="dxa" w:w="90"/>
                    <w:right w:type="dxa" w:w="120"/>
                  </w:tcMar>
                  <w:vAlign w:val="top"/>
                </w:tcPr>
                <w:p>
                  <w:pPr>
                    <w:pStyle w:val="null3"/>
                    <w:jc w:val="center"/>
                  </w:pPr>
                  <w:r>
                    <w:rPr>
                      <w:rFonts w:ascii="仿宋_GB2312" w:hAnsi="仿宋_GB2312" w:cs="仿宋_GB2312" w:eastAsia="仿宋_GB2312"/>
                      <w:sz w:val="24"/>
                    </w:rPr>
                    <w:t>7</w:t>
                  </w:r>
                </w:p>
              </w:tc>
              <w:tc>
                <w:tcPr>
                  <w:tcW w:type="dxa" w:w="400"/>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center"/>
                  </w:pPr>
                  <w:r>
                    <w:rPr>
                      <w:rFonts w:ascii="仿宋_GB2312" w:hAnsi="仿宋_GB2312" w:cs="仿宋_GB2312" w:eastAsia="仿宋_GB2312"/>
                      <w:sz w:val="24"/>
                    </w:rPr>
                    <w:t>诉调对接岗</w:t>
                  </w:r>
                </w:p>
              </w:tc>
              <w:tc>
                <w:tcPr>
                  <w:tcW w:type="dxa" w:w="138"/>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center"/>
                  </w:pPr>
                  <w:r>
                    <w:rPr>
                      <w:rFonts w:ascii="仿宋_GB2312" w:hAnsi="仿宋_GB2312" w:cs="仿宋_GB2312" w:eastAsia="仿宋_GB2312"/>
                      <w:sz w:val="24"/>
                    </w:rPr>
                    <w:t>2</w:t>
                  </w:r>
                </w:p>
              </w:tc>
              <w:tc>
                <w:tcPr>
                  <w:tcW w:type="dxa" w:w="458"/>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left"/>
                  </w:pPr>
                  <w:r>
                    <w:rPr>
                      <w:rFonts w:ascii="仿宋_GB2312" w:hAnsi="仿宋_GB2312" w:cs="仿宋_GB2312" w:eastAsia="仿宋_GB2312"/>
                      <w:sz w:val="24"/>
                    </w:rPr>
                    <w:t>负责诉讼与多元解纷机制的衔接，包括诉前调解分流、调解组织联络及司法确认辅助</w:t>
                  </w:r>
                </w:p>
              </w:tc>
              <w:tc>
                <w:tcPr>
                  <w:tcW w:type="dxa" w:w="1080"/>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both"/>
                  </w:pPr>
                  <w:r>
                    <w:rPr>
                      <w:rFonts w:ascii="仿宋_GB2312" w:hAnsi="仿宋_GB2312" w:cs="仿宋_GB2312" w:eastAsia="仿宋_GB2312"/>
                      <w:sz w:val="24"/>
                    </w:rPr>
                    <w:t>1.引导适宜案件进入诉前调解程序；</w:t>
                  </w:r>
                </w:p>
                <w:p>
                  <w:pPr>
                    <w:pStyle w:val="null3"/>
                    <w:jc w:val="both"/>
                  </w:pPr>
                  <w:r>
                    <w:rPr>
                      <w:rFonts w:ascii="仿宋_GB2312" w:hAnsi="仿宋_GB2312" w:cs="仿宋_GB2312" w:eastAsia="仿宋_GB2312"/>
                      <w:sz w:val="24"/>
                    </w:rPr>
                    <w:t>2.向调解组织/调解员委派案件，并跟踪调解进度；</w:t>
                  </w:r>
                </w:p>
                <w:p>
                  <w:pPr>
                    <w:pStyle w:val="null3"/>
                    <w:jc w:val="both"/>
                  </w:pPr>
                  <w:r>
                    <w:rPr>
                      <w:rFonts w:ascii="仿宋_GB2312" w:hAnsi="仿宋_GB2312" w:cs="仿宋_GB2312" w:eastAsia="仿宋_GB2312"/>
                      <w:sz w:val="24"/>
                    </w:rPr>
                    <w:t>3.接收调解结果，协助办理司法确认立案或转立案；</w:t>
                  </w:r>
                </w:p>
                <w:p>
                  <w:pPr>
                    <w:pStyle w:val="null3"/>
                    <w:jc w:val="both"/>
                  </w:pPr>
                  <w:r>
                    <w:rPr>
                      <w:rFonts w:ascii="仿宋_GB2312" w:hAnsi="仿宋_GB2312" w:cs="仿宋_GB2312" w:eastAsia="仿宋_GB2312"/>
                      <w:sz w:val="24"/>
                    </w:rPr>
                    <w:t>4.管理调解卷宗，统计诉调数据；</w:t>
                  </w:r>
                </w:p>
                <w:p>
                  <w:pPr>
                    <w:pStyle w:val="null3"/>
                    <w:jc w:val="both"/>
                  </w:pPr>
                  <w:r>
                    <w:rPr>
                      <w:rFonts w:ascii="仿宋_GB2312" w:hAnsi="仿宋_GB2312" w:cs="仿宋_GB2312" w:eastAsia="仿宋_GB2312"/>
                      <w:sz w:val="24"/>
                    </w:rPr>
                    <w:t>5.对接司法局、行业协会等外部调解资源。</w:t>
                  </w:r>
                </w:p>
              </w:tc>
              <w:tc>
                <w:tcPr>
                  <w:tcW w:type="dxa" w:w="313"/>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both"/>
                  </w:pPr>
                  <w:r>
                    <w:rPr>
                      <w:rFonts w:ascii="仿宋_GB2312" w:hAnsi="仿宋_GB2312" w:cs="仿宋_GB2312" w:eastAsia="仿宋_GB2312"/>
                      <w:sz w:val="24"/>
                    </w:rPr>
                    <w:t>本科以上法律专业，熟悉调解规则，善于沟通，有群众工作能力</w:t>
                  </w:r>
                </w:p>
              </w:tc>
            </w:tr>
            <w:tr>
              <w:tc>
                <w:tcPr>
                  <w:tcW w:type="dxa" w:w="564"/>
                  <w:gridSpan w:val="2"/>
                  <w:tcBorders>
                    <w:top w:val="none" w:color="000000" w:sz="4"/>
                    <w:left w:val="single" w:color="000000" w:sz="4"/>
                    <w:bottom w:val="single" w:color="000000" w:sz="4"/>
                    <w:right w:val="single" w:color="000000" w:sz="4"/>
                  </w:tcBorders>
                  <w:tcMar>
                    <w:top w:type="dxa" w:w="90"/>
                    <w:left w:type="dxa" w:w="120"/>
                    <w:bottom w:type="dxa" w:w="90"/>
                    <w:right w:type="dxa" w:w="120"/>
                  </w:tcMar>
                  <w:vAlign w:val="top"/>
                </w:tcPr>
                <w:p>
                  <w:pPr>
                    <w:pStyle w:val="null3"/>
                    <w:jc w:val="center"/>
                  </w:pPr>
                  <w:r>
                    <w:rPr>
                      <w:rFonts w:ascii="仿宋_GB2312" w:hAnsi="仿宋_GB2312" w:cs="仿宋_GB2312" w:eastAsia="仿宋_GB2312"/>
                      <w:sz w:val="24"/>
                      <w:b/>
                    </w:rPr>
                    <w:t>合计</w:t>
                  </w:r>
                </w:p>
              </w:tc>
              <w:tc>
                <w:tcPr>
                  <w:tcW w:type="dxa" w:w="138"/>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jc w:val="center"/>
                  </w:pPr>
                  <w:r>
                    <w:rPr>
                      <w:rFonts w:ascii="仿宋_GB2312" w:hAnsi="仿宋_GB2312" w:cs="仿宋_GB2312" w:eastAsia="仿宋_GB2312"/>
                      <w:sz w:val="24"/>
                      <w:b/>
                    </w:rPr>
                    <w:t>12</w:t>
                  </w:r>
                </w:p>
              </w:tc>
              <w:tc>
                <w:tcPr>
                  <w:tcW w:type="dxa" w:w="1851"/>
                  <w:gridSpan w:val="3"/>
                  <w:tcBorders>
                    <w:top w:val="none" w:color="000000" w:sz="4"/>
                    <w:left w:val="none" w:color="000000" w:sz="4"/>
                    <w:bottom w:val="single" w:color="000000" w:sz="4"/>
                    <w:right w:val="single" w:color="000000" w:sz="4"/>
                  </w:tcBorders>
                  <w:tcMar>
                    <w:top w:type="dxa" w:w="90"/>
                    <w:left w:type="dxa" w:w="120"/>
                    <w:bottom w:type="dxa" w:w="90"/>
                    <w:right w:type="dxa" w:w="120"/>
                  </w:tcMar>
                  <w:vAlign w:val="top"/>
                </w:tcPr>
                <w:p>
                  <w:pPr>
                    <w:pStyle w:val="null3"/>
                    <w:ind w:firstLine="420"/>
                    <w:jc w:val="left"/>
                  </w:pPr>
                </w:p>
              </w:tc>
            </w:tr>
          </w:tbl>
          <w:p>
            <w:pPr>
              <w:pStyle w:val="null3"/>
              <w:jc w:val="both"/>
              <w:outlineLvl w:val="2"/>
            </w:pPr>
            <w:r>
              <w:rPr>
                <w:rFonts w:ascii="仿宋_GB2312" w:hAnsi="仿宋_GB2312" w:cs="仿宋_GB2312" w:eastAsia="仿宋_GB2312"/>
                <w:sz w:val="24"/>
                <w:b/>
              </w:rPr>
              <w:t>2.2</w:t>
            </w:r>
            <w:r>
              <w:rPr>
                <w:rFonts w:ascii="仿宋_GB2312" w:hAnsi="仿宋_GB2312" w:cs="仿宋_GB2312" w:eastAsia="仿宋_GB2312"/>
                <w:sz w:val="24"/>
                <w:b/>
              </w:rPr>
              <w:t>基础性配套服务</w:t>
            </w:r>
          </w:p>
          <w:p>
            <w:pPr>
              <w:pStyle w:val="null3"/>
              <w:jc w:val="both"/>
              <w:outlineLvl w:val="3"/>
            </w:pPr>
            <w:r>
              <w:rPr>
                <w:rFonts w:ascii="仿宋_GB2312" w:hAnsi="仿宋_GB2312" w:cs="仿宋_GB2312" w:eastAsia="仿宋_GB2312"/>
                <w:sz w:val="24"/>
                <w:b/>
              </w:rPr>
              <w:t>诉讼服务管理软件服务</w:t>
            </w:r>
          </w:p>
          <w:p>
            <w:pPr>
              <w:pStyle w:val="null3"/>
              <w:ind w:firstLine="560"/>
              <w:jc w:val="both"/>
            </w:pPr>
            <w:r>
              <w:rPr>
                <w:rFonts w:ascii="仿宋_GB2312" w:hAnsi="仿宋_GB2312" w:cs="仿宋_GB2312" w:eastAsia="仿宋_GB2312"/>
                <w:sz w:val="24"/>
              </w:rPr>
              <w:t>诉讼服务管理系统实现了司法资源整合，优化管理，将诉讼辅助事项剥离出来，实现了法官专注的</w:t>
            </w:r>
            <w:r>
              <w:rPr>
                <w:rFonts w:ascii="仿宋_GB2312" w:hAnsi="仿宋_GB2312" w:cs="仿宋_GB2312" w:eastAsia="仿宋_GB2312"/>
                <w:sz w:val="24"/>
              </w:rPr>
              <w:t>“审”和“判”核心事务，改革过去的诉讼辅助事务分散处理的工作模式，将法官助理的部分非核审判事务和书记员的事务剥离出来，交由诉讼服务软件统一集中办理。让法官将更多地精力投入到审判案件，有效缩短了办案周期，实现诉讼辅助事务集约化、专业化管理，法官事务性工作大大减少，提高效率和质量。将辅助事务通过诉讼辅助集约化管理系统统一进行流转管理。</w:t>
            </w:r>
          </w:p>
          <w:p>
            <w:pPr>
              <w:pStyle w:val="null3"/>
              <w:jc w:val="both"/>
              <w:outlineLvl w:val="1"/>
            </w:pPr>
            <w:r>
              <w:rPr>
                <w:rFonts w:ascii="仿宋_GB2312" w:hAnsi="仿宋_GB2312" w:cs="仿宋_GB2312" w:eastAsia="仿宋_GB2312"/>
                <w:sz w:val="24"/>
                <w:b/>
              </w:rPr>
              <w:t>3、</w:t>
            </w:r>
            <w:r>
              <w:rPr>
                <w:rFonts w:ascii="仿宋_GB2312" w:hAnsi="仿宋_GB2312" w:cs="仿宋_GB2312" w:eastAsia="仿宋_GB2312"/>
                <w:sz w:val="24"/>
                <w:b/>
              </w:rPr>
              <w:t>管理体系方案</w:t>
            </w:r>
          </w:p>
          <w:p>
            <w:pPr>
              <w:pStyle w:val="null3"/>
              <w:ind w:firstLine="560"/>
              <w:jc w:val="both"/>
            </w:pPr>
            <w:r>
              <w:rPr>
                <w:rFonts w:ascii="仿宋_GB2312" w:hAnsi="仿宋_GB2312" w:cs="仿宋_GB2312" w:eastAsia="仿宋_GB2312"/>
                <w:sz w:val="24"/>
              </w:rPr>
              <w:t>供应商应制定合理的绩效考核、培训、奖惩和禁止行为规范方案。</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1）成交供应商须提供绩效管理办法和考核体系。</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2）成交供应商须提供员工培训管理制度。</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3）成交供应商须提供员工奖惩制度。</w:t>
            </w:r>
          </w:p>
          <w:p>
            <w:pPr>
              <w:pStyle w:val="null3"/>
              <w:jc w:val="both"/>
              <w:outlineLvl w:val="1"/>
            </w:pPr>
            <w:r>
              <w:rPr>
                <w:rFonts w:ascii="仿宋_GB2312" w:hAnsi="仿宋_GB2312" w:cs="仿宋_GB2312" w:eastAsia="仿宋_GB2312"/>
                <w:sz w:val="24"/>
                <w:b/>
              </w:rPr>
              <w:t>4、</w:t>
            </w:r>
            <w:r>
              <w:rPr>
                <w:rFonts w:ascii="仿宋_GB2312" w:hAnsi="仿宋_GB2312" w:cs="仿宋_GB2312" w:eastAsia="仿宋_GB2312"/>
                <w:sz w:val="24"/>
                <w:b/>
              </w:rPr>
              <w:t>★</w:t>
            </w:r>
            <w:r>
              <w:rPr>
                <w:rFonts w:ascii="仿宋_GB2312" w:hAnsi="仿宋_GB2312" w:cs="仿宋_GB2312" w:eastAsia="仿宋_GB2312"/>
                <w:sz w:val="24"/>
                <w:b/>
              </w:rPr>
              <w:t>项目组织要求</w:t>
            </w:r>
          </w:p>
          <w:p>
            <w:pPr>
              <w:pStyle w:val="null3"/>
              <w:ind w:firstLine="560"/>
              <w:jc w:val="both"/>
            </w:pPr>
            <w:r>
              <w:rPr>
                <w:rFonts w:ascii="仿宋_GB2312" w:hAnsi="仿宋_GB2312" w:cs="仿宋_GB2312" w:eastAsia="仿宋_GB2312"/>
                <w:sz w:val="24"/>
              </w:rPr>
              <w:t>为顺利完成项目的需求分析、流程设计和部署实施等工作，必须加强项目的组织和管理。成交供应商必须组织稳定的、经验丰富的项目团队来完成项目的设计和实施工作。要求成交供应商要制订本项目的项目实施的人力安排和组织保证。</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1）项目组成员不少于12人，现场人员必须服从法院管理。</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2）本项目的项目经理应具有丰富的诉讼服务外包服务项目管理经验，胜任工作分派、进度掌控及质量监管等管理工作，按要求向法院提供数据报表并分析数据能力。如项目实施过程中法院发现项目经理不能胜任相应工作，有权要求更换，成交供应商应按法院要求及时更换项目经理且资质不得低于原要求；</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3）本项目的项目团队中至少需包含一名线上技术支持工程师。线上技术支持工程师在采购人建立的微信群等沟通工具中实时进行答疑和相关故障排除。</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4）本项目拟派团队人员在上岗前须具备专业技能培训经历；至少具备</w:t>
            </w:r>
            <w:r>
              <w:rPr>
                <w:rFonts w:ascii="仿宋_GB2312" w:hAnsi="仿宋_GB2312" w:cs="仿宋_GB2312" w:eastAsia="仿宋_GB2312"/>
                <w:sz w:val="24"/>
              </w:rPr>
              <w:t>法律相关专业本科</w:t>
            </w:r>
            <w:r>
              <w:rPr>
                <w:rFonts w:ascii="仿宋_GB2312" w:hAnsi="仿宋_GB2312" w:cs="仿宋_GB2312" w:eastAsia="仿宋_GB2312"/>
                <w:sz w:val="24"/>
              </w:rPr>
              <w:t>以上学历，服务态度端正、作风优良，熟悉法院中需要服务岗位的业务流程，熟练掌握电脑等办公设备，遵守法院的规章制度和保密制度。</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5）采购人为成交供应商提供办公场地、办公桌椅、硬件设备及耗材。</w:t>
            </w:r>
          </w:p>
          <w:p>
            <w:pPr>
              <w:pStyle w:val="null3"/>
              <w:jc w:val="both"/>
              <w:outlineLvl w:val="1"/>
            </w:pPr>
            <w:r>
              <w:rPr>
                <w:rFonts w:ascii="仿宋_GB2312" w:hAnsi="仿宋_GB2312" w:cs="仿宋_GB2312" w:eastAsia="仿宋_GB2312"/>
                <w:sz w:val="24"/>
                <w:b/>
              </w:rPr>
              <w:t>5、</w:t>
            </w:r>
            <w:r>
              <w:rPr>
                <w:rFonts w:ascii="仿宋_GB2312" w:hAnsi="仿宋_GB2312" w:cs="仿宋_GB2312" w:eastAsia="仿宋_GB2312"/>
                <w:sz w:val="24"/>
                <w:b/>
              </w:rPr>
              <w:t>★</w:t>
            </w:r>
            <w:r>
              <w:rPr>
                <w:rFonts w:ascii="仿宋_GB2312" w:hAnsi="仿宋_GB2312" w:cs="仿宋_GB2312" w:eastAsia="仿宋_GB2312"/>
                <w:sz w:val="24"/>
                <w:b/>
              </w:rPr>
              <w:t>服务人员要求</w:t>
            </w:r>
          </w:p>
          <w:p>
            <w:pPr>
              <w:pStyle w:val="null3"/>
              <w:jc w:val="both"/>
              <w:outlineLvl w:val="2"/>
            </w:pPr>
            <w:r>
              <w:rPr>
                <w:rFonts w:ascii="仿宋_GB2312" w:hAnsi="仿宋_GB2312" w:cs="仿宋_GB2312" w:eastAsia="仿宋_GB2312"/>
                <w:sz w:val="24"/>
                <w:b/>
              </w:rPr>
              <w:t>5.1</w:t>
            </w:r>
            <w:r>
              <w:rPr>
                <w:rFonts w:ascii="仿宋_GB2312" w:hAnsi="仿宋_GB2312" w:cs="仿宋_GB2312" w:eastAsia="仿宋_GB2312"/>
                <w:sz w:val="24"/>
                <w:b/>
              </w:rPr>
              <w:t>现场服务人员</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1）坚持四项基本原则，有良好的政治素质，遵纪守法，作风正派，品行端正，无违法犯罪记录，热爱法院工作；</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2）法律相关专业，本科及以上学历</w:t>
            </w:r>
            <w:r>
              <w:rPr>
                <w:rFonts w:ascii="仿宋_GB2312" w:hAnsi="仿宋_GB2312" w:cs="仿宋_GB2312" w:eastAsia="仿宋_GB2312"/>
                <w:sz w:val="24"/>
              </w:rPr>
              <w:t>；</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3）具有正常履行职责的身体条件和工作能力，工作责任感强，能吃苦耐劳，工作细致，能承受较强工作压力，有良好的沟通能力和团队合作精神；</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4）身体健康，能胜任诉讼服务事务性岗位的工作；</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5）能熟练操作计算机，会使用常用办公软件（如:Word、Excel），快速进行文字输入工作；</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6）遵守人民法院日常管理制度及工作规范。</w:t>
            </w:r>
          </w:p>
          <w:p>
            <w:pPr>
              <w:pStyle w:val="null3"/>
              <w:jc w:val="both"/>
              <w:outlineLvl w:val="2"/>
            </w:pPr>
            <w:r>
              <w:rPr>
                <w:rFonts w:ascii="仿宋_GB2312" w:hAnsi="仿宋_GB2312" w:cs="仿宋_GB2312" w:eastAsia="仿宋_GB2312"/>
                <w:sz w:val="24"/>
                <w:b/>
              </w:rPr>
              <w:t>5.2</w:t>
            </w:r>
            <w:r>
              <w:rPr>
                <w:rFonts w:ascii="仿宋_GB2312" w:hAnsi="仿宋_GB2312" w:cs="仿宋_GB2312" w:eastAsia="仿宋_GB2312"/>
                <w:sz w:val="24"/>
                <w:b/>
              </w:rPr>
              <w:t>下列人员不得担任本项目服务人员</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1）因犯罪受过刑事处罚或被列入失信被执行人的；</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2）曾被开除公职或辞退的；</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3）涉嫌违法违纪正在接受审查的。</w:t>
            </w:r>
          </w:p>
          <w:p>
            <w:pPr>
              <w:pStyle w:val="null3"/>
              <w:jc w:val="both"/>
              <w:outlineLvl w:val="1"/>
            </w:pPr>
            <w:r>
              <w:rPr>
                <w:rFonts w:ascii="仿宋_GB2312" w:hAnsi="仿宋_GB2312" w:cs="仿宋_GB2312" w:eastAsia="仿宋_GB2312"/>
                <w:sz w:val="24"/>
                <w:b/>
              </w:rPr>
              <w:t>6、</w:t>
            </w:r>
            <w:r>
              <w:rPr>
                <w:rFonts w:ascii="仿宋_GB2312" w:hAnsi="仿宋_GB2312" w:cs="仿宋_GB2312" w:eastAsia="仿宋_GB2312"/>
                <w:sz w:val="24"/>
                <w:b/>
              </w:rPr>
              <w:t>★</w:t>
            </w:r>
            <w:r>
              <w:rPr>
                <w:rFonts w:ascii="仿宋_GB2312" w:hAnsi="仿宋_GB2312" w:cs="仿宋_GB2312" w:eastAsia="仿宋_GB2312"/>
                <w:sz w:val="24"/>
                <w:b/>
              </w:rPr>
              <w:t>时间进度要求</w:t>
            </w:r>
          </w:p>
          <w:p>
            <w:pPr>
              <w:pStyle w:val="null3"/>
              <w:ind w:firstLine="560"/>
              <w:jc w:val="both"/>
            </w:pPr>
            <w:r>
              <w:rPr>
                <w:rFonts w:ascii="仿宋_GB2312" w:hAnsi="仿宋_GB2312" w:cs="仿宋_GB2312" w:eastAsia="仿宋_GB2312"/>
                <w:sz w:val="24"/>
              </w:rPr>
              <w:t>本项目要求成交供应商于合同签订后</w:t>
            </w:r>
            <w:r>
              <w:rPr>
                <w:rFonts w:ascii="仿宋_GB2312" w:hAnsi="仿宋_GB2312" w:cs="仿宋_GB2312" w:eastAsia="仿宋_GB2312"/>
                <w:sz w:val="24"/>
              </w:rPr>
              <w:t>10个工作日</w:t>
            </w:r>
            <w:r>
              <w:rPr>
                <w:rFonts w:ascii="仿宋_GB2312" w:hAnsi="仿宋_GB2312" w:cs="仿宋_GB2312" w:eastAsia="仿宋_GB2312"/>
                <w:sz w:val="24"/>
              </w:rPr>
              <w:t>内完成相关软、硬件系统调试、业务梳理及全面开展工作。</w:t>
            </w:r>
          </w:p>
          <w:p>
            <w:pPr>
              <w:pStyle w:val="null3"/>
              <w:jc w:val="both"/>
              <w:outlineLvl w:val="1"/>
            </w:pPr>
            <w:r>
              <w:rPr>
                <w:rFonts w:ascii="仿宋_GB2312" w:hAnsi="仿宋_GB2312" w:cs="仿宋_GB2312" w:eastAsia="仿宋_GB2312"/>
                <w:sz w:val="24"/>
                <w:b/>
              </w:rPr>
              <w:t>7、</w:t>
            </w:r>
            <w:r>
              <w:rPr>
                <w:rFonts w:ascii="仿宋_GB2312" w:hAnsi="仿宋_GB2312" w:cs="仿宋_GB2312" w:eastAsia="仿宋_GB2312"/>
                <w:sz w:val="24"/>
                <w:b/>
              </w:rPr>
              <w:t>★</w:t>
            </w:r>
            <w:r>
              <w:rPr>
                <w:rFonts w:ascii="仿宋_GB2312" w:hAnsi="仿宋_GB2312" w:cs="仿宋_GB2312" w:eastAsia="仿宋_GB2312"/>
                <w:sz w:val="24"/>
                <w:b/>
              </w:rPr>
              <w:t>保密要求</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成交供应商</w:t>
            </w:r>
            <w:r>
              <w:rPr>
                <w:rFonts w:ascii="仿宋_GB2312" w:hAnsi="仿宋_GB2312" w:cs="仿宋_GB2312" w:eastAsia="仿宋_GB2312"/>
                <w:sz w:val="24"/>
              </w:rPr>
              <w:t>及其工作人员应签订《保密协议》，严守在履行本合同中通过各种方式知悉的案件信息、技术秘密和其他业务信息，不得泄露。</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成交供应商</w:t>
            </w:r>
            <w:r>
              <w:rPr>
                <w:rFonts w:ascii="仿宋_GB2312" w:hAnsi="仿宋_GB2312" w:cs="仿宋_GB2312" w:eastAsia="仿宋_GB2312"/>
                <w:sz w:val="24"/>
              </w:rPr>
              <w:t>在进行服务过程中，必须确保</w:t>
            </w:r>
            <w:r>
              <w:rPr>
                <w:rFonts w:ascii="仿宋_GB2312" w:hAnsi="仿宋_GB2312" w:cs="仿宋_GB2312" w:eastAsia="仿宋_GB2312"/>
                <w:sz w:val="24"/>
              </w:rPr>
              <w:t>采购人</w:t>
            </w:r>
            <w:r>
              <w:rPr>
                <w:rFonts w:ascii="仿宋_GB2312" w:hAnsi="仿宋_GB2312" w:cs="仿宋_GB2312" w:eastAsia="仿宋_GB2312"/>
                <w:sz w:val="24"/>
              </w:rPr>
              <w:t>的信息安全，未经</w:t>
            </w:r>
            <w:r>
              <w:rPr>
                <w:rFonts w:ascii="仿宋_GB2312" w:hAnsi="仿宋_GB2312" w:cs="仿宋_GB2312" w:eastAsia="仿宋_GB2312"/>
                <w:sz w:val="24"/>
              </w:rPr>
              <w:t>采购人</w:t>
            </w:r>
            <w:r>
              <w:rPr>
                <w:rFonts w:ascii="仿宋_GB2312" w:hAnsi="仿宋_GB2312" w:cs="仿宋_GB2312" w:eastAsia="仿宋_GB2312"/>
                <w:sz w:val="24"/>
              </w:rPr>
              <w:t>同意不得擅自删除、修改和转移业务系统中的信息。</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3）服务完成后，</w:t>
            </w:r>
            <w:r>
              <w:rPr>
                <w:rFonts w:ascii="仿宋_GB2312" w:hAnsi="仿宋_GB2312" w:cs="仿宋_GB2312" w:eastAsia="仿宋_GB2312"/>
                <w:sz w:val="24"/>
              </w:rPr>
              <w:t>成交供应商</w:t>
            </w:r>
            <w:r>
              <w:rPr>
                <w:rFonts w:ascii="仿宋_GB2312" w:hAnsi="仿宋_GB2312" w:cs="仿宋_GB2312" w:eastAsia="仿宋_GB2312"/>
                <w:sz w:val="24"/>
              </w:rPr>
              <w:t>应返还</w:t>
            </w:r>
            <w:r>
              <w:rPr>
                <w:rFonts w:ascii="仿宋_GB2312" w:hAnsi="仿宋_GB2312" w:cs="仿宋_GB2312" w:eastAsia="仿宋_GB2312"/>
                <w:sz w:val="24"/>
              </w:rPr>
              <w:t>采购人</w:t>
            </w:r>
            <w:r>
              <w:rPr>
                <w:rFonts w:ascii="仿宋_GB2312" w:hAnsi="仿宋_GB2312" w:cs="仿宋_GB2312" w:eastAsia="仿宋_GB2312"/>
                <w:sz w:val="24"/>
              </w:rPr>
              <w:t>的业务资料和服务过程中取得的各种材料，不得存留复制品、照片、视频。</w:t>
            </w:r>
          </w:p>
          <w:p>
            <w:pPr>
              <w:pStyle w:val="null3"/>
              <w:ind w:firstLine="56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成交供应商</w:t>
            </w:r>
            <w:r>
              <w:rPr>
                <w:rFonts w:ascii="仿宋_GB2312" w:hAnsi="仿宋_GB2312" w:cs="仿宋_GB2312" w:eastAsia="仿宋_GB2312"/>
                <w:sz w:val="24"/>
              </w:rPr>
              <w:t>应与从事本项目工作的工作人员签订有关保密协议，约束其履行保密义务，并提交采购人壹份备案。</w:t>
            </w:r>
          </w:p>
          <w:p>
            <w:pPr>
              <w:pStyle w:val="null3"/>
              <w:jc w:val="both"/>
              <w:outlineLvl w:val="0"/>
            </w:pPr>
            <w:r>
              <w:rPr>
                <w:rFonts w:ascii="仿宋_GB2312" w:hAnsi="仿宋_GB2312" w:cs="仿宋_GB2312" w:eastAsia="仿宋_GB2312"/>
                <w:sz w:val="24"/>
                <w:b/>
              </w:rPr>
              <w:t>五、</w:t>
            </w:r>
            <w:r>
              <w:rPr>
                <w:rFonts w:ascii="仿宋_GB2312" w:hAnsi="仿宋_GB2312" w:cs="仿宋_GB2312" w:eastAsia="仿宋_GB2312"/>
                <w:sz w:val="24"/>
                <w:b/>
              </w:rPr>
              <w:t>技术服务、培训考核等</w:t>
            </w:r>
          </w:p>
          <w:p>
            <w:pPr>
              <w:pStyle w:val="null3"/>
              <w:ind w:firstLine="562"/>
              <w:jc w:val="both"/>
            </w:pPr>
            <w:r>
              <w:rPr>
                <w:rFonts w:ascii="仿宋_GB2312" w:hAnsi="仿宋_GB2312" w:cs="仿宋_GB2312" w:eastAsia="仿宋_GB2312"/>
                <w:sz w:val="24"/>
                <w:b/>
              </w:rPr>
              <w:t>（</w:t>
            </w:r>
            <w:r>
              <w:rPr>
                <w:rFonts w:ascii="仿宋_GB2312" w:hAnsi="仿宋_GB2312" w:cs="仿宋_GB2312" w:eastAsia="仿宋_GB2312"/>
                <w:sz w:val="24"/>
                <w:b/>
              </w:rPr>
              <w:t>1）工作时间</w:t>
            </w:r>
          </w:p>
          <w:p>
            <w:pPr>
              <w:pStyle w:val="null3"/>
              <w:ind w:firstLine="560"/>
              <w:jc w:val="both"/>
            </w:pPr>
            <w:r>
              <w:rPr>
                <w:rFonts w:ascii="仿宋_GB2312" w:hAnsi="仿宋_GB2312" w:cs="仿宋_GB2312" w:eastAsia="仿宋_GB2312"/>
                <w:sz w:val="24"/>
              </w:rPr>
              <w:t>国家法定工作日和法院统一要求加班的节假日，上午</w:t>
            </w:r>
            <w:r>
              <w:rPr>
                <w:rFonts w:ascii="仿宋_GB2312" w:hAnsi="仿宋_GB2312" w:cs="仿宋_GB2312" w:eastAsia="仿宋_GB2312"/>
                <w:sz w:val="24"/>
              </w:rPr>
              <w:t>8:30-12：00，下午：13:30-18:00。成交供应商应严格执行考勤制度，做好考勤登记，确保员工准时上班。</w:t>
            </w:r>
          </w:p>
          <w:p>
            <w:pPr>
              <w:pStyle w:val="null3"/>
              <w:ind w:firstLine="562"/>
              <w:jc w:val="both"/>
            </w:pPr>
            <w:r>
              <w:rPr>
                <w:rFonts w:ascii="仿宋_GB2312" w:hAnsi="仿宋_GB2312" w:cs="仿宋_GB2312" w:eastAsia="仿宋_GB2312"/>
                <w:sz w:val="24"/>
                <w:b/>
              </w:rPr>
              <w:t>（</w:t>
            </w:r>
            <w:r>
              <w:rPr>
                <w:rFonts w:ascii="仿宋_GB2312" w:hAnsi="仿宋_GB2312" w:cs="仿宋_GB2312" w:eastAsia="仿宋_GB2312"/>
                <w:sz w:val="24"/>
                <w:b/>
              </w:rPr>
              <w:t>2）服务形式</w:t>
            </w:r>
          </w:p>
          <w:p>
            <w:pPr>
              <w:pStyle w:val="null3"/>
              <w:ind w:firstLine="560"/>
              <w:jc w:val="both"/>
            </w:pPr>
            <w:r>
              <w:rPr>
                <w:rFonts w:ascii="仿宋_GB2312" w:hAnsi="仿宋_GB2312" w:cs="仿宋_GB2312" w:eastAsia="仿宋_GB2312"/>
                <w:sz w:val="24"/>
              </w:rPr>
              <w:t>外包人员常驻法院诉讼服务中心，由法院统筹、外包公司提供人事管理及培训支持。集约话务岗可相对集中办公，使用话务系统及工单平台。</w:t>
            </w:r>
          </w:p>
          <w:p>
            <w:pPr>
              <w:pStyle w:val="null3"/>
              <w:ind w:firstLine="562"/>
              <w:jc w:val="both"/>
            </w:pPr>
            <w:r>
              <w:rPr>
                <w:rFonts w:ascii="仿宋_GB2312" w:hAnsi="仿宋_GB2312" w:cs="仿宋_GB2312" w:eastAsia="仿宋_GB2312"/>
                <w:sz w:val="24"/>
                <w:b/>
              </w:rPr>
              <w:t>（</w:t>
            </w:r>
            <w:r>
              <w:rPr>
                <w:rFonts w:ascii="仿宋_GB2312" w:hAnsi="仿宋_GB2312" w:cs="仿宋_GB2312" w:eastAsia="仿宋_GB2312"/>
                <w:sz w:val="24"/>
                <w:b/>
              </w:rPr>
              <w:t>3）工作规范</w:t>
            </w:r>
          </w:p>
          <w:p>
            <w:pPr>
              <w:pStyle w:val="null3"/>
              <w:ind w:firstLine="560"/>
              <w:jc w:val="both"/>
            </w:pPr>
            <w:r>
              <w:rPr>
                <w:rFonts w:ascii="仿宋_GB2312" w:hAnsi="仿宋_GB2312" w:cs="仿宋_GB2312" w:eastAsia="仿宋_GB2312"/>
                <w:sz w:val="24"/>
              </w:rPr>
              <w:t>所有岗位须遵守法院保密规定、司法礼仪及诉讼服务中心行为规范。话务岗还需遵守话务服务规范及录音质检要求。</w:t>
            </w:r>
          </w:p>
          <w:p>
            <w:pPr>
              <w:pStyle w:val="null3"/>
              <w:ind w:firstLine="562"/>
              <w:jc w:val="both"/>
            </w:pPr>
            <w:r>
              <w:rPr>
                <w:rFonts w:ascii="仿宋_GB2312" w:hAnsi="仿宋_GB2312" w:cs="仿宋_GB2312" w:eastAsia="仿宋_GB2312"/>
                <w:sz w:val="24"/>
                <w:b/>
              </w:rPr>
              <w:t>（</w:t>
            </w:r>
            <w:r>
              <w:rPr>
                <w:rFonts w:ascii="仿宋_GB2312" w:hAnsi="仿宋_GB2312" w:cs="仿宋_GB2312" w:eastAsia="仿宋_GB2312"/>
                <w:sz w:val="24"/>
                <w:b/>
              </w:rPr>
              <w:t>4）考核指标</w:t>
            </w:r>
          </w:p>
          <w:p>
            <w:pPr>
              <w:pStyle w:val="null3"/>
              <w:ind w:firstLine="560"/>
              <w:jc w:val="both"/>
            </w:pPr>
            <w:r>
              <w:rPr>
                <w:rFonts w:ascii="仿宋_GB2312" w:hAnsi="仿宋_GB2312" w:cs="仿宋_GB2312" w:eastAsia="仿宋_GB2312"/>
                <w:sz w:val="24"/>
              </w:rPr>
              <w:t>包括立案准确率、排期及时率、当事人满意度、材料流转差错率；话务岗增加接通率、工单办结率、满意度评分等。</w:t>
            </w:r>
          </w:p>
          <w:p>
            <w:pPr>
              <w:pStyle w:val="null3"/>
              <w:ind w:firstLine="562"/>
              <w:jc w:val="both"/>
            </w:pPr>
            <w:r>
              <w:rPr>
                <w:rFonts w:ascii="仿宋_GB2312" w:hAnsi="仿宋_GB2312" w:cs="仿宋_GB2312" w:eastAsia="仿宋_GB2312"/>
                <w:sz w:val="24"/>
                <w:b/>
              </w:rPr>
              <w:t>（</w:t>
            </w:r>
            <w:r>
              <w:rPr>
                <w:rFonts w:ascii="仿宋_GB2312" w:hAnsi="仿宋_GB2312" w:cs="仿宋_GB2312" w:eastAsia="仿宋_GB2312"/>
                <w:sz w:val="24"/>
                <w:b/>
              </w:rPr>
              <w:t>5）技术能力</w:t>
            </w:r>
          </w:p>
          <w:p>
            <w:pPr>
              <w:pStyle w:val="null3"/>
              <w:ind w:firstLine="560"/>
              <w:jc w:val="both"/>
            </w:pPr>
            <w:r>
              <w:rPr>
                <w:rFonts w:ascii="仿宋_GB2312" w:hAnsi="仿宋_GB2312" w:cs="仿宋_GB2312" w:eastAsia="仿宋_GB2312"/>
                <w:sz w:val="24"/>
              </w:rPr>
              <w:t>须熟练使用法院办案系统、排期系统、电子送达平台、话务系统（如</w:t>
            </w:r>
            <w:r>
              <w:rPr>
                <w:rFonts w:ascii="仿宋_GB2312" w:hAnsi="仿宋_GB2312" w:cs="仿宋_GB2312" w:eastAsia="仿宋_GB2312"/>
                <w:sz w:val="24"/>
              </w:rPr>
              <w:t>12368平台）等。</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验收费用，由乙方自行承担（二）服务期满后，由乙方向甲方递交验收通知书，经甲方确认后，组织乙方进行系统验收（必要时采购人可委托具有相关资质的第三方检测机构/技术专家对本次服务进行系统验收，需要国家法定检验部门进行检验或验收的由乙方负责联系）。验收合格后，填写政府采购项目验收单作为对本次服务的最终认可。（三）验收依据：1、本合同及附加文本；2、磋商文件、成交供应商的响应文件及澄清（承诺）函；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合同价款，一次性付清，达到付款条件起10个工作日内，支付合同总金额的100.0%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二）未按合同要求提供服务或服务质量不能满足本次采购要求，采购人会同监督机构、采购代理机构有权终止合同和对成交供应商违约行为进行追究，同时按政府采购法的有关规定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本项⽬成交供应商须在领取成交通知书时提供纸质响应⽂件正本及副本各⼀套交由采购代理机构备案，该⽂件须与线上电⼦投标⽂件完全⼀致。 装订时需在⽂件书脊处注明项⽬名称+项⽬编号+单位名称。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有效的主体资格证明.docx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具有财务审计资质单位出具的2024年或2025年度财务报告（成立时间至开标时间不足一年的可提供成立后任意时段的资产负债表。供应商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或开标前六个月内其基本账户银行出具的资信证明或政府采购信用担保机构出具的担保函。（以上三种形式的资料提供任意一种即可）</w:t>
            </w:r>
          </w:p>
        </w:tc>
        <w:tc>
          <w:tcPr>
            <w:tcW w:type="dxa" w:w="1661"/>
          </w:tcPr>
          <w:p>
            <w:pPr>
              <w:pStyle w:val="null3"/>
            </w:pPr>
            <w:r>
              <w:rPr>
                <w:rFonts w:ascii="仿宋_GB2312" w:hAnsi="仿宋_GB2312" w:cs="仿宋_GB2312" w:eastAsia="仿宋_GB2312"/>
              </w:rPr>
              <w:t>财务状况报告.docx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控股管理关系声明.docx 响应函 非联合体不分包响应声明函.docx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供应商是法人或其他组织的应提供营业执照等证明文件，供应商是自然人的应提供有效的自然人身份证复印件并进行电子签章。</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具有良好的商业信誉和健全的财务会计制度。提供具有财务审计资质单位出具的2024年或2025年度财务报告（成立时间至开标时间不足一年的可提供成立后任意时段的资产负债表。供应商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或开标前六个月内其基本账户银行出具的资信证明或政府采购信用担保机构出具的担保函。（以上三种形式的资料提供任意一种即可）。</w:t>
            </w:r>
          </w:p>
        </w:tc>
        <w:tc>
          <w:tcPr>
            <w:tcW w:type="dxa" w:w="1661"/>
          </w:tcPr>
          <w:p>
            <w:pPr>
              <w:pStyle w:val="null3"/>
            </w:pPr>
            <w:r>
              <w:rPr>
                <w:rFonts w:ascii="仿宋_GB2312" w:hAnsi="仿宋_GB2312" w:cs="仿宋_GB2312" w:eastAsia="仿宋_GB2312"/>
              </w:rPr>
              <w:t>财务状况报告.docx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提供法定代表人身份证明及身份证扫描件；法定代表人授权他人参加磋商的，须提供法定代表人授权委托书（附法定代表人、被授权人身份证扫描件），自然人提供其身份证扫描件。供应商需在项目电子化交易系统中按要求上传材料并进行电子签章。</w:t>
            </w:r>
          </w:p>
        </w:tc>
        <w:tc>
          <w:tcPr>
            <w:tcW w:type="dxa" w:w="1661"/>
          </w:tcPr>
          <w:p>
            <w:pPr>
              <w:pStyle w:val="null3"/>
            </w:pPr>
            <w:r>
              <w:rPr>
                <w:rFonts w:ascii="仿宋_GB2312" w:hAnsi="仿宋_GB2312" w:cs="仿宋_GB2312" w:eastAsia="仿宋_GB2312"/>
              </w:rPr>
              <w:t>法定代表人身份证明及法定代表人授权委托书.docx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出具参加本次政府采购活动前三年内在经营活动中没有重大违法记录的书面声明（格式详见附件）。</w:t>
            </w:r>
          </w:p>
        </w:tc>
        <w:tc>
          <w:tcPr>
            <w:tcW w:type="dxa" w:w="1661"/>
          </w:tcPr>
          <w:p>
            <w:pPr>
              <w:pStyle w:val="null3"/>
            </w:pPr>
            <w:r>
              <w:rPr>
                <w:rFonts w:ascii="仿宋_GB2312" w:hAnsi="仿宋_GB2312" w:cs="仿宋_GB2312" w:eastAsia="仿宋_GB2312"/>
              </w:rPr>
              <w:t>无重大违法记录的声明.docx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具有履行合同所必需的设备和专业技术能力的书面声明（格式详见附件）。</w:t>
            </w:r>
          </w:p>
        </w:tc>
        <w:tc>
          <w:tcPr>
            <w:tcW w:type="dxa" w:w="1661"/>
          </w:tcPr>
          <w:p>
            <w:pPr>
              <w:pStyle w:val="null3"/>
            </w:pPr>
            <w:r>
              <w:rPr>
                <w:rFonts w:ascii="仿宋_GB2312" w:hAnsi="仿宋_GB2312" w:cs="仿宋_GB2312" w:eastAsia="仿宋_GB2312"/>
              </w:rPr>
              <w:t>履行合同所必需的设备和专业技术能力的书面声明.docx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具有依法缴纳税收的良好记录。 供应商需提供响应文件递交截止时间前一年内任意一个月的税收缴费凭据；依法免税的应提供相关文件证明。</w:t>
            </w:r>
          </w:p>
        </w:tc>
        <w:tc>
          <w:tcPr>
            <w:tcW w:type="dxa" w:w="1661"/>
          </w:tcPr>
          <w:p>
            <w:pPr>
              <w:pStyle w:val="null3"/>
            </w:pPr>
            <w:r>
              <w:rPr>
                <w:rFonts w:ascii="仿宋_GB2312" w:hAnsi="仿宋_GB2312" w:cs="仿宋_GB2312" w:eastAsia="仿宋_GB2312"/>
              </w:rPr>
              <w:t>税收缴纳证明.docx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具有依法缴纳社会保障资金的良好记录。供应商需提供响应文件递交截止时间前一年内任意一个月的社保缴费凭据或社保机构开具的社会保险参保缴费情况证明。</w:t>
            </w:r>
          </w:p>
        </w:tc>
        <w:tc>
          <w:tcPr>
            <w:tcW w:type="dxa" w:w="1661"/>
          </w:tcPr>
          <w:p>
            <w:pPr>
              <w:pStyle w:val="null3"/>
            </w:pPr>
            <w:r>
              <w:rPr>
                <w:rFonts w:ascii="仿宋_GB2312" w:hAnsi="仿宋_GB2312" w:cs="仿宋_GB2312" w:eastAsia="仿宋_GB2312"/>
              </w:rPr>
              <w:t>社保缴纳证明.docx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税收缴纳证明.docx 法定代表人身份证明及法定代表人授权委托书.docx 服务内容及服务邀请应答表 有效的主体资格证明.docx 中小企业声明函 商务应答表 报价表 财务状况报告.docx 业绩证明文件.docx 响应文件封面 控股管理关系声明.docx 残疾人福利性单位声明函 服务方案 无重大违法记录的声明.docx 标的清单 其他资料.docx 履行合同所必需的设备和专业技术能力的书面声明.docx 社保缴纳证明.docx 响应函 监狱企业的证明文件 非联合体不分包响应声明函.docx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响应有效期达到磋商文件要求 。</w:t>
            </w:r>
          </w:p>
        </w:tc>
        <w:tc>
          <w:tcPr>
            <w:tcW w:type="dxa" w:w="1661"/>
          </w:tcPr>
          <w:p>
            <w:pPr>
              <w:pStyle w:val="null3"/>
            </w:pPr>
            <w:r>
              <w:rPr>
                <w:rFonts w:ascii="仿宋_GB2312" w:hAnsi="仿宋_GB2312" w:cs="仿宋_GB2312" w:eastAsia="仿宋_GB2312"/>
              </w:rPr>
              <w:t>法定代表人身份证明及法定代表人授权委托书.docx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完全理解接受磋商文件商务条款，并填写商务应答表。</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税收缴纳证明.docx 法定代表人身份证明及法定代表人授权委托书.docx 服务内容及服务邀请应答表 有效的主体资格证明.docx 中小企业声明函 商务应答表 财务状况报告.docx 报价表 业绩证明文件.docx 响应文件封面 控股管理关系声明.docx 残疾人福利性单位声明函 服务方案 无重大违法记录的声明.docx 标的清单 其他资料.docx 履行合同所必需的设备和专业技术能力的书面声明.docx 社保缴纳证明.docx 响应函 监狱企业的证明文件 非联合体不分包响应声明函.docx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符合“第三章”要求，无重大偏差 。</w:t>
            </w:r>
          </w:p>
        </w:tc>
        <w:tc>
          <w:tcPr>
            <w:tcW w:type="dxa" w:w="1661"/>
          </w:tcPr>
          <w:p>
            <w:pPr>
              <w:pStyle w:val="null3"/>
            </w:pPr>
            <w:r>
              <w:rPr>
                <w:rFonts w:ascii="仿宋_GB2312" w:hAnsi="仿宋_GB2312" w:cs="仿宋_GB2312" w:eastAsia="仿宋_GB2312"/>
              </w:rPr>
              <w:t>服务内容及服务邀请应答表 商务应答表 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根据供应商提供的项目理解方案进行评审：包含但不限于：①项目概述与需求分析②司法辅助服务理解和建议③司法辅助服务整体设计思路；上述方案进行综合评议。 方案详尽、精细，科学合理，操作性强，每项计2分，最高计6分。每有一项未提供扣2分，若上述内容存在缺陷，每项每出现一处缺陷扣1分，每项最多扣2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一、根据供应商提供的诉讼辅助服务方案进行评审：包含但不限于①对诉讼辅助各岗位工作流程②岗位职责③工作时效性④岗位科技赋能等方面进行综合评议。 方案详尽、精细，科学合理，操作性强，每项计2分，最高计8分。每有一项未提供扣2分，若上述内容存在缺陷，每项每出现一处缺陷扣1分，每项最多扣2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 二、根据供应商提供的审判辅助服务方案进行评审：包含但不限于①对审判辅助各岗位工作流程②岗位职责③工作时效性④岗位科技赋能等方面进行综合评议。 方案详尽、精细，科学合理，操作性强，每项计2分，最高计8分。每有一项未提供扣2分，若上述内容存在缺陷，每项每出现一处缺陷扣1分，每项最多扣2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基础性配套服务</w:t>
            </w:r>
          </w:p>
        </w:tc>
        <w:tc>
          <w:tcPr>
            <w:tcW w:type="dxa" w:w="2492"/>
          </w:tcPr>
          <w:p>
            <w:pPr>
              <w:pStyle w:val="null3"/>
            </w:pPr>
            <w:r>
              <w:rPr>
                <w:rFonts w:ascii="仿宋_GB2312" w:hAnsi="仿宋_GB2312" w:cs="仿宋_GB2312" w:eastAsia="仿宋_GB2312"/>
              </w:rPr>
              <w:t>根据供应商提供的司法辅助事务集约化管理系统进行评审：提供①事项发起②事项交办（手动发起）③事项办理④事项监管⑤事项统计，每提供1个事务操作步骤说明并提供截图得1分，只提供截图或只提供说明每步骤得0.5分，本项最高得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w:t>
            </w:r>
          </w:p>
        </w:tc>
        <w:tc>
          <w:tcPr>
            <w:tcW w:type="dxa" w:w="2492"/>
          </w:tcPr>
          <w:p>
            <w:pPr>
              <w:pStyle w:val="null3"/>
            </w:pPr>
            <w:r>
              <w:rPr>
                <w:rFonts w:ascii="仿宋_GB2312" w:hAnsi="仿宋_GB2312" w:cs="仿宋_GB2312" w:eastAsia="仿宋_GB2312"/>
              </w:rPr>
              <w:t>根据供应商提供的项目组织方案进行评审：包含但不限于①项目进度计划②内部管理架构③管理规章制度； 上述方案进行综合评议，方案详尽、精细，科学合理，操作性强，每项计2分，最高计6分。每有一项未提供扣2分，若上述内容存在缺陷，每项每出现一处缺陷扣1分，每项最多扣2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根据供应商提供的培训方案进行评审：包含但不限于①内部培训②法院端培训③员工培训管理制度； 上述方案进行综合评议，方案详尽、精细，科学合理，操作性强，每项计3分，最高计9分。每有一项未提供扣3分，若上述内容存在缺陷，每项每出现一处缺陷扣1分，每项最多扣3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人力资源保障措施</w:t>
            </w:r>
          </w:p>
        </w:tc>
        <w:tc>
          <w:tcPr>
            <w:tcW w:type="dxa" w:w="2492"/>
          </w:tcPr>
          <w:p>
            <w:pPr>
              <w:pStyle w:val="null3"/>
            </w:pPr>
            <w:r>
              <w:rPr>
                <w:rFonts w:ascii="仿宋_GB2312" w:hAnsi="仿宋_GB2312" w:cs="仿宋_GB2312" w:eastAsia="仿宋_GB2312"/>
              </w:rPr>
              <w:t>根据供应商提供的人力资源保障措施方案进行评审：包含但不限于①员工入离职管理制度②薪酬制度规范③员工晋升机制④员工奖惩制度⑤绩效管理办法；上述方案进行综合评议，每项计2分，最高计10分。每有一项未提供扣2分，若上述内容存在缺陷，每项每出现一处缺陷扣1分，每项最多扣2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应急情况处理</w:t>
            </w:r>
          </w:p>
        </w:tc>
        <w:tc>
          <w:tcPr>
            <w:tcW w:type="dxa" w:w="2492"/>
          </w:tcPr>
          <w:p>
            <w:pPr>
              <w:pStyle w:val="null3"/>
            </w:pPr>
            <w:r>
              <w:rPr>
                <w:rFonts w:ascii="仿宋_GB2312" w:hAnsi="仿宋_GB2312" w:cs="仿宋_GB2312" w:eastAsia="仿宋_GB2312"/>
              </w:rPr>
              <w:t>根据供应商提供的应急情况处理方案进行评审：包含但不限于①应急事项的处理流程和处理方法②日常预防机制；上述方案进行综合评议，每项计1分，最高计2分。每有一项未提供扣1分，若上述内容存在缺陷，每项每出现一处缺陷扣0.5分，每项最多扣1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安全保密方案</w:t>
            </w:r>
          </w:p>
        </w:tc>
        <w:tc>
          <w:tcPr>
            <w:tcW w:type="dxa" w:w="2492"/>
          </w:tcPr>
          <w:p>
            <w:pPr>
              <w:pStyle w:val="null3"/>
            </w:pPr>
            <w:r>
              <w:rPr>
                <w:rFonts w:ascii="仿宋_GB2312" w:hAnsi="仿宋_GB2312" w:cs="仿宋_GB2312" w:eastAsia="仿宋_GB2312"/>
              </w:rPr>
              <w:t>根据供应商提供的安全保密方案进行评审：包含但不限于①保密安全管理制度②保密安全管理规范③保密安全管理措施；上述方案进行综合评议，每项计3分，最高计9分。每有一项未提供扣3分，若上述内容存在缺陷，每项每出现一处缺陷扣1分，每项最多扣3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根据供应商提供的2023年1月1日以来类似项目业绩情况进行评审：供应商具有司法辅助类似业绩合同的，每个得2分，最高得6分。 注： 1、须提供以上相关业绩的合同复印件并加盖公章； 2、同一业绩涉及多个服务内容，按一个业绩计算。</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软件实力</w:t>
            </w:r>
          </w:p>
        </w:tc>
        <w:tc>
          <w:tcPr>
            <w:tcW w:type="dxa" w:w="2492"/>
          </w:tcPr>
          <w:p>
            <w:pPr>
              <w:pStyle w:val="null3"/>
            </w:pPr>
            <w:r>
              <w:rPr>
                <w:rFonts w:ascii="仿宋_GB2312" w:hAnsi="仿宋_GB2312" w:cs="仿宋_GB2312" w:eastAsia="仿宋_GB2312"/>
              </w:rPr>
              <w:t>根据提供自主知识产权的软件著作权证书情况进行综合评审：程序性文书辅助生成类似系统软件，稿本标识录入类似系统软件，业务流程控制及追溯管理类似系统软件，司法辅助事务集约化管理类似系统；全部提供得4分，每少1类软件著作权证书扣1分，扣完为止； 说明： 1、属于供应商自有的：需提供①计算机软件著作权登记证书复印件，证书著作权人名称须与供应商名称一致； 2、属于供应商购买的，需提供①计算机软件著作权登记证书复印件；②购买合同复印件； 3、属于供应商取得授权使用许可的，需提供①计算机软件著作权登记证书复印件；②授权许可使用合同复印件； 4、提供以上相关证明材料复印件并加盖公章，未按要求提供或提供不齐全不得分。 5、多个计算机软件著作权登记证书包含内容重复的，只计算一次分值。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拟派项目经理和现场服务人员能力</w:t>
            </w:r>
          </w:p>
        </w:tc>
        <w:tc>
          <w:tcPr>
            <w:tcW w:type="dxa" w:w="2492"/>
          </w:tcPr>
          <w:p>
            <w:pPr>
              <w:pStyle w:val="null3"/>
            </w:pPr>
            <w:r>
              <w:rPr>
                <w:rFonts w:ascii="仿宋_GB2312" w:hAnsi="仿宋_GB2312" w:cs="仿宋_GB2312" w:eastAsia="仿宋_GB2312"/>
              </w:rPr>
              <w:t>为满足项目实际需要，拟投入本项目的项目经理（仅限一人）资质要求如下： （1）具有中级及以上专业职称的得2分，取得初级专业职称的得1分。 （2）具有市级及以上保密部门颁发的安全保密管理员证书，得1分； （3）具有国家信息安全水平认证证书，得1分； 备注：本项最高得4分，提供不全或未提供不得分。项目经理需提供相关证件证明材料复印件，并提供人员在本单位的社保缴纳证明（2026年任意一个月社保证明)，不提供者不得分。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拟派项目经理和现场服务人员能力</w:t>
            </w:r>
          </w:p>
        </w:tc>
        <w:tc>
          <w:tcPr>
            <w:tcW w:type="dxa" w:w="2492"/>
          </w:tcPr>
          <w:p>
            <w:pPr>
              <w:pStyle w:val="null3"/>
            </w:pPr>
            <w:r>
              <w:rPr>
                <w:rFonts w:ascii="仿宋_GB2312" w:hAnsi="仿宋_GB2312" w:cs="仿宋_GB2312" w:eastAsia="仿宋_GB2312"/>
              </w:rPr>
              <w:t>为满足项目实际需要，拟投入本项目的驻场管理人员（仅限一人）资质要求如下： （1）具有法学、计算机或人力资源专业背景，取得本科及以上学历得1分，未提供不得分； （2）具有法律职业资格证书（B）证的，得1分；具有法律职业资格证书（A）证的，得2分；未提供不得分。（提供通过证书编号在司法部政务服务平台http://www.moj.gov.cn/ 法律职业资格信息查询的截图）。 （3）具有市级及以上档案管理部门颁发的档案人员上岗培训证书的，得1分； 备注：本项最高得4分，提供不全或未提供不得分。驻场服务管理人员需提供相关证件证明材料复印件，并提供人员在本单位的社保缴纳证明（2026年任意一个月社保证明)，不提供者不得分。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拟派项目经理和现场服务人员能力</w:t>
            </w:r>
          </w:p>
        </w:tc>
        <w:tc>
          <w:tcPr>
            <w:tcW w:type="dxa" w:w="2492"/>
          </w:tcPr>
          <w:p>
            <w:pPr>
              <w:pStyle w:val="null3"/>
            </w:pPr>
            <w:r>
              <w:rPr>
                <w:rFonts w:ascii="仿宋_GB2312" w:hAnsi="仿宋_GB2312" w:cs="仿宋_GB2312" w:eastAsia="仿宋_GB2312"/>
              </w:rPr>
              <w:t>为满足项目实际需要，拟投入本项目的驻场服务人员资质要求如下： 供应商拟投入本项目的现场服务人员需同时具有全日制法律本科学历和国家保密机关颁发的保密教育培训证书，每提供一名得1分，最高3分，未提供不得分； 备注：本项最高得3分，驻场服务人员需提供相关证件证明材料复印件，并提供人员在本单位的社保缴纳证明（2026年任意一个月社保证明)，不提供者不得分。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管理体系证书</w:t>
            </w:r>
          </w:p>
        </w:tc>
        <w:tc>
          <w:tcPr>
            <w:tcW w:type="dxa" w:w="2492"/>
          </w:tcPr>
          <w:p>
            <w:pPr>
              <w:pStyle w:val="null3"/>
            </w:pPr>
            <w:r>
              <w:rPr>
                <w:rFonts w:ascii="仿宋_GB2312" w:hAnsi="仿宋_GB2312" w:cs="仿宋_GB2312" w:eastAsia="仿宋_GB2312"/>
              </w:rPr>
              <w:t>供应商具有经中国国家认证认可监督管理委员会认证机构颁发有效的服务质量管理体系认证证书、职业健康安全管理体系认证证书、信息安全管理体系认证证书的每个证书得1分，未提供不得分，本项最高得3分。 说明：响应文件中提供全国认证认可信息公共服务平台官网认证信息查询截图和证书复印件，不提供或提供的认证证书不符合要求的不得分。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资质证书</w:t>
            </w:r>
          </w:p>
        </w:tc>
        <w:tc>
          <w:tcPr>
            <w:tcW w:type="dxa" w:w="2492"/>
          </w:tcPr>
          <w:p>
            <w:pPr>
              <w:pStyle w:val="null3"/>
            </w:pPr>
            <w:r>
              <w:rPr>
                <w:rFonts w:ascii="仿宋_GB2312" w:hAnsi="仿宋_GB2312" w:cs="仿宋_GB2312" w:eastAsia="仿宋_GB2312"/>
              </w:rPr>
              <w:t>（1）供应商具有企业知识产权合规管理体系认证证书的得1分，未提供不得分。 （2）供应商具有业务连续性管理体系认证证书的得1分，未提供不得分。 （3）供应商具有隐私信息管理体系认证证书的得1分，未提供不得分。 说明：提供相关证书复印件并加盖公章。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详见附件：法定代表人身份证明及法定代表人授权委托书.docx</w:t>
      </w:r>
    </w:p>
    <w:p>
      <w:pPr>
        <w:pStyle w:val="null3"/>
        <w:ind w:firstLine="960"/>
      </w:pPr>
      <w:r>
        <w:rPr>
          <w:rFonts w:ascii="仿宋_GB2312" w:hAnsi="仿宋_GB2312" w:cs="仿宋_GB2312" w:eastAsia="仿宋_GB2312"/>
        </w:rPr>
        <w:t>详见附件：非联合体不分包响应声明函.docx</w:t>
      </w:r>
    </w:p>
    <w:p>
      <w:pPr>
        <w:pStyle w:val="null3"/>
        <w:ind w:firstLine="960"/>
      </w:pPr>
      <w:r>
        <w:rPr>
          <w:rFonts w:ascii="仿宋_GB2312" w:hAnsi="仿宋_GB2312" w:cs="仿宋_GB2312" w:eastAsia="仿宋_GB2312"/>
        </w:rPr>
        <w:t>详见附件：控股管理关系声明.docx</w:t>
      </w:r>
    </w:p>
    <w:p>
      <w:pPr>
        <w:pStyle w:val="null3"/>
        <w:ind w:firstLine="960"/>
      </w:pPr>
      <w:r>
        <w:rPr>
          <w:rFonts w:ascii="仿宋_GB2312" w:hAnsi="仿宋_GB2312" w:cs="仿宋_GB2312" w:eastAsia="仿宋_GB2312"/>
        </w:rPr>
        <w:t>详见附件：履行合同所必需的设备和专业技术能力的书面声明.docx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详见附件：社保缴纳证明.docx</w:t>
      </w:r>
    </w:p>
    <w:p>
      <w:pPr>
        <w:pStyle w:val="null3"/>
        <w:ind w:firstLine="960"/>
      </w:pPr>
      <w:r>
        <w:rPr>
          <w:rFonts w:ascii="仿宋_GB2312" w:hAnsi="仿宋_GB2312" w:cs="仿宋_GB2312" w:eastAsia="仿宋_GB2312"/>
        </w:rPr>
        <w:t>详见附件：税收缴纳证明.docx</w:t>
      </w:r>
    </w:p>
    <w:p>
      <w:pPr>
        <w:pStyle w:val="null3"/>
        <w:ind w:firstLine="960"/>
      </w:pPr>
      <w:r>
        <w:rPr>
          <w:rFonts w:ascii="仿宋_GB2312" w:hAnsi="仿宋_GB2312" w:cs="仿宋_GB2312" w:eastAsia="仿宋_GB2312"/>
        </w:rPr>
        <w:t>详见附件：无重大违法记录的声明.docx</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详见附件：财务状况报告.docx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