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89DCA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48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/>
          <w:color w:val="000000" w:themeColor="text1"/>
          <w:sz w:val="48"/>
          <w:szCs w:val="48"/>
          <w:highlight w:val="none"/>
          <w:lang w:eastAsia="zh-CN"/>
          <w14:textFill>
            <w14:solidFill>
              <w14:schemeClr w14:val="tx1"/>
            </w14:solidFill>
          </w14:textFill>
        </w:rPr>
        <w:t>雁塔区划拨建设用地使用权出租面积勘测技术服务项目</w:t>
      </w:r>
    </w:p>
    <w:p w14:paraId="00AB1A02"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48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242ED84F">
      <w:pPr>
        <w:spacing w:line="360" w:lineRule="auto"/>
        <w:jc w:val="center"/>
        <w:rPr>
          <w:rFonts w:hint="eastAsia" w:hAnsi="宋体" w:cs="宋体"/>
          <w:b/>
          <w:bCs/>
          <w:color w:val="000000" w:themeColor="text1"/>
          <w:sz w:val="48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20CF1157"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48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/>
          <w:bCs/>
          <w:color w:val="000000" w:themeColor="text1"/>
          <w:sz w:val="48"/>
          <w:szCs w:val="44"/>
          <w:highlight w:val="none"/>
          <w14:textFill>
            <w14:solidFill>
              <w14:schemeClr w14:val="tx1"/>
            </w14:solidFill>
          </w14:textFill>
        </w:rPr>
        <w:t>项  目</w:t>
      </w:r>
      <w:r>
        <w:rPr>
          <w:rFonts w:hint="eastAsia" w:ascii="宋体" w:hAnsi="宋体" w:eastAsia="宋体" w:cs="宋体"/>
          <w:b/>
          <w:bCs/>
          <w:color w:val="000000" w:themeColor="text1"/>
          <w:sz w:val="48"/>
          <w:szCs w:val="44"/>
          <w:highlight w:val="none"/>
          <w14:textFill>
            <w14:solidFill>
              <w14:schemeClr w14:val="tx1"/>
            </w14:solidFill>
          </w14:textFill>
        </w:rPr>
        <w:t xml:space="preserve">  合 同</w:t>
      </w:r>
    </w:p>
    <w:p w14:paraId="637B37F1">
      <w:pPr>
        <w:jc w:val="center"/>
        <w:rPr>
          <w:rFonts w:ascii="宋体" w:hAnsi="宋体" w:eastAsia="宋体" w:cs="宋体"/>
          <w:b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</w:pPr>
    </w:p>
    <w:p w14:paraId="7D1E4917">
      <w:pPr>
        <w:jc w:val="center"/>
        <w:rPr>
          <w:rFonts w:ascii="宋体" w:hAnsi="宋体" w:eastAsia="宋体" w:cs="宋体"/>
          <w:b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</w:pPr>
    </w:p>
    <w:p w14:paraId="0E2706FE"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  <w:t>（示范文本）</w:t>
      </w:r>
    </w:p>
    <w:p w14:paraId="38DF8D17">
      <w:pPr>
        <w:jc w:val="left"/>
        <w:rPr>
          <w:rFonts w:ascii="宋体" w:hAnsi="宋体" w:eastAsia="宋体" w:cs="宋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64196D6A">
      <w:pPr>
        <w:jc w:val="center"/>
        <w:rPr>
          <w:rFonts w:ascii="宋体" w:hAnsi="宋体" w:eastAsia="宋体" w:cs="宋体"/>
          <w:color w:val="000000" w:themeColor="text1"/>
          <w:sz w:val="28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32"/>
          <w:highlight w:val="none"/>
          <w14:textFill>
            <w14:solidFill>
              <w14:schemeClr w14:val="tx1"/>
            </w14:solidFill>
          </w14:textFill>
        </w:rPr>
        <w:t>本格式条款仅作为双方签订合同的参考，为阐明各方的权利和义务，经协商可增加新的条款。</w:t>
      </w:r>
    </w:p>
    <w:p w14:paraId="70C00893"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32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24"/>
          <w:highlight w:val="none"/>
          <w14:textFill>
            <w14:solidFill>
              <w14:schemeClr w14:val="tx1"/>
            </w14:solidFill>
          </w14:textFill>
        </w:rPr>
        <w:t xml:space="preserve">   </w:t>
      </w:r>
    </w:p>
    <w:p w14:paraId="1787EB1D">
      <w:pPr>
        <w:rPr>
          <w:rFonts w:ascii="宋体" w:hAnsi="宋体" w:eastAsia="宋体" w:cs="宋体"/>
          <w:b/>
          <w:bCs/>
          <w:color w:val="000000" w:themeColor="text1"/>
          <w:sz w:val="32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24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2157AEF2">
      <w:pPr>
        <w:spacing w:line="480" w:lineRule="auto"/>
        <w:jc w:val="center"/>
        <w:rPr>
          <w:rFonts w:ascii="宋体" w:hAnsi="宋体" w:eastAsia="宋体" w:cs="宋体"/>
          <w:b/>
          <w:bCs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24"/>
          <w:highlight w:val="none"/>
          <w14:textFill>
            <w14:solidFill>
              <w14:schemeClr w14:val="tx1"/>
            </w14:solidFill>
          </w14:textFill>
        </w:rPr>
        <w:t>第一部分  协议书</w:t>
      </w:r>
    </w:p>
    <w:p w14:paraId="5B71D70E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采购人（甲方）：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</w:t>
      </w:r>
    </w:p>
    <w:p w14:paraId="73279365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供应商（乙方）：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 xml:space="preserve">     </w:t>
      </w:r>
    </w:p>
    <w:p w14:paraId="5432170D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根据《中华人民共和国民法典》、《中华人民共和国政府采购法》与项目行业有关的法律法规 ，以及本项目相关采购要求的规定，合同双方经协商达成一致，确立本合同。</w:t>
      </w:r>
    </w:p>
    <w:p w14:paraId="31E135CA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第一条：合同标的及付款方式</w:t>
      </w:r>
    </w:p>
    <w:p w14:paraId="35BFE43A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1.合同标的及标的物</w:t>
      </w:r>
    </w:p>
    <w:p w14:paraId="72F1DD9B">
      <w:pPr>
        <w:tabs>
          <w:tab w:val="left" w:pos="840"/>
        </w:tabs>
        <w:autoSpaceDE w:val="0"/>
        <w:autoSpaceDN w:val="0"/>
        <w:spacing w:line="360" w:lineRule="auto"/>
        <w:ind w:firstLine="720" w:firstLineChars="300"/>
        <w:rPr>
          <w:rFonts w:hint="eastAsia" w:ascii="宋体" w:hAnsi="宋体" w:eastAsia="宋体" w:cs="宋体"/>
          <w:sz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u w:val="single"/>
          <w:lang w:eastAsia="zh-CN"/>
        </w:rPr>
        <w:t>雁塔区划拨建设用地使用权出租面积勘测技术服务项目</w:t>
      </w:r>
    </w:p>
    <w:p w14:paraId="3E824EA3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2.费用标准</w:t>
      </w:r>
    </w:p>
    <w:p w14:paraId="52C9AD4E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暂定总价：</w:t>
      </w:r>
      <w:r>
        <w:rPr>
          <w:rFonts w:hint="eastAsia" w:ascii="宋体" w:hAnsi="宋体" w:cs="宋体"/>
          <w:sz w:val="24"/>
        </w:rPr>
        <w:t>（人民币小写：</w:t>
      </w:r>
      <w:r>
        <w:rPr>
          <w:rFonts w:hint="eastAsia" w:ascii="宋体" w:hAnsi="宋体" w:cs="宋体"/>
          <w:sz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</w:rPr>
        <w:t>元），（人民币大写：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</w:rPr>
        <w:t xml:space="preserve"> ）</w:t>
      </w:r>
      <w:r>
        <w:rPr>
          <w:rFonts w:hint="eastAsia" w:ascii="宋体" w:hAnsi="宋体" w:cs="宋体"/>
          <w:sz w:val="24"/>
          <w:lang w:eastAsia="zh-CN"/>
        </w:rPr>
        <w:t>。</w:t>
      </w:r>
    </w:p>
    <w:p w14:paraId="22643FF4">
      <w:pPr>
        <w:pStyle w:val="5"/>
        <w:ind w:firstLine="480" w:firstLineChars="200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综合单价：</w:t>
      </w:r>
    </w:p>
    <w:tbl>
      <w:tblPr>
        <w:tblStyle w:val="3"/>
        <w:tblW w:w="499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905"/>
        <w:gridCol w:w="2085"/>
        <w:gridCol w:w="2010"/>
        <w:gridCol w:w="1200"/>
        <w:gridCol w:w="1800"/>
        <w:gridCol w:w="1375"/>
      </w:tblGrid>
      <w:tr w14:paraId="46207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231" w:type="pct"/>
            <w:vAlign w:val="center"/>
          </w:tcPr>
          <w:p w14:paraId="481F74C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4"/>
                <w:lang w:bidi="ar"/>
              </w:rPr>
              <w:t>序号</w:t>
            </w:r>
          </w:p>
        </w:tc>
        <w:tc>
          <w:tcPr>
            <w:tcW w:w="1520" w:type="pct"/>
            <w:gridSpan w:val="2"/>
            <w:vAlign w:val="center"/>
          </w:tcPr>
          <w:p w14:paraId="28E9B539">
            <w:pPr>
              <w:widowControl/>
              <w:ind w:firstLine="420" w:firstLineChars="20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4"/>
                <w:lang w:bidi="ar"/>
              </w:rPr>
              <w:t>费用项目</w:t>
            </w:r>
          </w:p>
        </w:tc>
        <w:tc>
          <w:tcPr>
            <w:tcW w:w="1022" w:type="pct"/>
            <w:vAlign w:val="center"/>
          </w:tcPr>
          <w:p w14:paraId="71DEBB8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4"/>
              </w:rPr>
              <w:t>暂定数量</w:t>
            </w:r>
          </w:p>
        </w:tc>
        <w:tc>
          <w:tcPr>
            <w:tcW w:w="610" w:type="pct"/>
            <w:vAlign w:val="center"/>
          </w:tcPr>
          <w:p w14:paraId="15F3937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4"/>
              </w:rPr>
              <w:t>计量单位</w:t>
            </w:r>
          </w:p>
        </w:tc>
        <w:tc>
          <w:tcPr>
            <w:tcW w:w="915" w:type="pct"/>
            <w:vAlign w:val="center"/>
          </w:tcPr>
          <w:p w14:paraId="17B751A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4"/>
                <w:lang w:bidi="ar"/>
              </w:rPr>
              <w:t>综合单价（元）</w:t>
            </w:r>
          </w:p>
        </w:tc>
        <w:tc>
          <w:tcPr>
            <w:tcW w:w="699" w:type="pct"/>
            <w:vAlign w:val="center"/>
          </w:tcPr>
          <w:p w14:paraId="3DD6814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4"/>
                <w:lang w:bidi="ar"/>
              </w:rPr>
              <w:t>小计（元）</w:t>
            </w:r>
          </w:p>
        </w:tc>
      </w:tr>
      <w:tr w14:paraId="417A7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231" w:type="pct"/>
            <w:vMerge w:val="restart"/>
            <w:vAlign w:val="center"/>
          </w:tcPr>
          <w:p w14:paraId="4C6322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60" w:type="pct"/>
            <w:vMerge w:val="restart"/>
            <w:vAlign w:val="center"/>
          </w:tcPr>
          <w:p w14:paraId="3D272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用地测量</w:t>
            </w:r>
          </w:p>
        </w:tc>
        <w:tc>
          <w:tcPr>
            <w:tcW w:w="1060" w:type="pct"/>
            <w:vAlign w:val="center"/>
          </w:tcPr>
          <w:p w14:paraId="49475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用地实测测量（实测界址点）</w:t>
            </w:r>
          </w:p>
        </w:tc>
        <w:tc>
          <w:tcPr>
            <w:tcW w:w="1022" w:type="pct"/>
            <w:vAlign w:val="center"/>
          </w:tcPr>
          <w:p w14:paraId="26423023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3000</w:t>
            </w:r>
          </w:p>
        </w:tc>
        <w:tc>
          <w:tcPr>
            <w:tcW w:w="610" w:type="pct"/>
            <w:vAlign w:val="center"/>
          </w:tcPr>
          <w:p w14:paraId="32EC0EA8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点</w:t>
            </w:r>
          </w:p>
        </w:tc>
        <w:tc>
          <w:tcPr>
            <w:tcW w:w="915" w:type="pct"/>
            <w:vAlign w:val="center"/>
          </w:tcPr>
          <w:p w14:paraId="60A77D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699" w:type="pct"/>
            <w:vAlign w:val="center"/>
          </w:tcPr>
          <w:p w14:paraId="781947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bidi="ar"/>
              </w:rPr>
            </w:pPr>
          </w:p>
        </w:tc>
      </w:tr>
      <w:tr w14:paraId="5E9FB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31" w:type="pct"/>
            <w:vMerge w:val="continue"/>
            <w:vAlign w:val="center"/>
          </w:tcPr>
          <w:p w14:paraId="13F99D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60" w:type="pct"/>
            <w:vMerge w:val="continue"/>
            <w:vAlign w:val="center"/>
          </w:tcPr>
          <w:p w14:paraId="026FBCB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60" w:type="pct"/>
            <w:vAlign w:val="center"/>
          </w:tcPr>
          <w:p w14:paraId="0B2AD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用地地籍测量（不含地籍调查）</w:t>
            </w:r>
          </w:p>
        </w:tc>
        <w:tc>
          <w:tcPr>
            <w:tcW w:w="1022" w:type="pct"/>
            <w:vAlign w:val="center"/>
          </w:tcPr>
          <w:p w14:paraId="62D43A1D">
            <w:pPr>
              <w:widowControl/>
              <w:spacing w:line="312" w:lineRule="auto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280000</w:t>
            </w:r>
          </w:p>
        </w:tc>
        <w:tc>
          <w:tcPr>
            <w:tcW w:w="610" w:type="pct"/>
            <w:vAlign w:val="center"/>
          </w:tcPr>
          <w:p w14:paraId="0283801B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㎡</w:t>
            </w:r>
          </w:p>
        </w:tc>
        <w:tc>
          <w:tcPr>
            <w:tcW w:w="915" w:type="pct"/>
            <w:vAlign w:val="center"/>
          </w:tcPr>
          <w:p w14:paraId="27A241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699" w:type="pct"/>
            <w:vAlign w:val="center"/>
          </w:tcPr>
          <w:p w14:paraId="703275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bidi="ar"/>
              </w:rPr>
            </w:pPr>
          </w:p>
        </w:tc>
      </w:tr>
      <w:tr w14:paraId="4E93A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31" w:type="pct"/>
            <w:vMerge w:val="restart"/>
            <w:vAlign w:val="center"/>
          </w:tcPr>
          <w:p w14:paraId="58F5A9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60" w:type="pct"/>
            <w:vMerge w:val="restart"/>
            <w:vAlign w:val="center"/>
          </w:tcPr>
          <w:p w14:paraId="5E6CE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建筑测量</w:t>
            </w:r>
          </w:p>
        </w:tc>
        <w:tc>
          <w:tcPr>
            <w:tcW w:w="1060" w:type="pct"/>
            <w:vAlign w:val="center"/>
          </w:tcPr>
          <w:p w14:paraId="1B7CF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一类</w:t>
            </w:r>
          </w:p>
        </w:tc>
        <w:tc>
          <w:tcPr>
            <w:tcW w:w="1022" w:type="pct"/>
            <w:vAlign w:val="center"/>
          </w:tcPr>
          <w:p w14:paraId="304909FB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230000.00</w:t>
            </w:r>
          </w:p>
        </w:tc>
        <w:tc>
          <w:tcPr>
            <w:tcW w:w="610" w:type="pct"/>
            <w:vAlign w:val="center"/>
          </w:tcPr>
          <w:p w14:paraId="286D77A4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㎡</w:t>
            </w:r>
          </w:p>
        </w:tc>
        <w:tc>
          <w:tcPr>
            <w:tcW w:w="915" w:type="pct"/>
            <w:vAlign w:val="center"/>
          </w:tcPr>
          <w:p w14:paraId="5547CD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699" w:type="pct"/>
            <w:vAlign w:val="center"/>
          </w:tcPr>
          <w:p w14:paraId="7435B8C0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bidi="ar"/>
              </w:rPr>
            </w:pPr>
          </w:p>
        </w:tc>
      </w:tr>
      <w:tr w14:paraId="30CF7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31" w:type="pct"/>
            <w:vMerge w:val="continue"/>
            <w:vAlign w:val="center"/>
          </w:tcPr>
          <w:p w14:paraId="4F2853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60" w:type="pct"/>
            <w:vMerge w:val="continue"/>
            <w:vAlign w:val="center"/>
          </w:tcPr>
          <w:p w14:paraId="77513AC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60" w:type="pct"/>
            <w:vAlign w:val="center"/>
          </w:tcPr>
          <w:p w14:paraId="1050D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二类</w:t>
            </w:r>
          </w:p>
        </w:tc>
        <w:tc>
          <w:tcPr>
            <w:tcW w:w="1022" w:type="pct"/>
            <w:vAlign w:val="center"/>
          </w:tcPr>
          <w:p w14:paraId="22D9ADCA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180000.00</w:t>
            </w:r>
          </w:p>
        </w:tc>
        <w:tc>
          <w:tcPr>
            <w:tcW w:w="610" w:type="pct"/>
            <w:vAlign w:val="center"/>
          </w:tcPr>
          <w:p w14:paraId="5574015A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㎡</w:t>
            </w:r>
          </w:p>
        </w:tc>
        <w:tc>
          <w:tcPr>
            <w:tcW w:w="915" w:type="pct"/>
            <w:vAlign w:val="center"/>
          </w:tcPr>
          <w:p w14:paraId="009044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699" w:type="pct"/>
            <w:vAlign w:val="center"/>
          </w:tcPr>
          <w:p w14:paraId="0989B8DE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bidi="ar"/>
              </w:rPr>
            </w:pPr>
          </w:p>
        </w:tc>
      </w:tr>
      <w:tr w14:paraId="57061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31" w:type="pct"/>
            <w:vMerge w:val="continue"/>
            <w:vAlign w:val="center"/>
          </w:tcPr>
          <w:p w14:paraId="46529D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60" w:type="pct"/>
            <w:vMerge w:val="continue"/>
            <w:vAlign w:val="center"/>
          </w:tcPr>
          <w:p w14:paraId="3BB1588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60" w:type="pct"/>
            <w:vAlign w:val="center"/>
          </w:tcPr>
          <w:p w14:paraId="7F0DB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三类</w:t>
            </w:r>
          </w:p>
        </w:tc>
        <w:tc>
          <w:tcPr>
            <w:tcW w:w="1022" w:type="pct"/>
            <w:vAlign w:val="center"/>
          </w:tcPr>
          <w:p w14:paraId="0CA0198D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50000.00</w:t>
            </w:r>
          </w:p>
        </w:tc>
        <w:tc>
          <w:tcPr>
            <w:tcW w:w="610" w:type="pct"/>
            <w:vAlign w:val="center"/>
          </w:tcPr>
          <w:p w14:paraId="21D22D46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㎡</w:t>
            </w:r>
          </w:p>
        </w:tc>
        <w:tc>
          <w:tcPr>
            <w:tcW w:w="915" w:type="pct"/>
            <w:vAlign w:val="center"/>
          </w:tcPr>
          <w:p w14:paraId="3AA590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699" w:type="pct"/>
            <w:vAlign w:val="center"/>
          </w:tcPr>
          <w:p w14:paraId="4FE73851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bidi="ar"/>
              </w:rPr>
            </w:pPr>
          </w:p>
        </w:tc>
      </w:tr>
      <w:tr w14:paraId="61204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31" w:type="pct"/>
            <w:vAlign w:val="center"/>
          </w:tcPr>
          <w:p w14:paraId="21DDA7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520" w:type="pct"/>
            <w:gridSpan w:val="2"/>
            <w:vAlign w:val="center"/>
          </w:tcPr>
          <w:p w14:paraId="29438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调查核实</w:t>
            </w:r>
          </w:p>
        </w:tc>
        <w:tc>
          <w:tcPr>
            <w:tcW w:w="1022" w:type="pct"/>
            <w:vAlign w:val="center"/>
          </w:tcPr>
          <w:p w14:paraId="35F2CB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100</w:t>
            </w:r>
          </w:p>
        </w:tc>
        <w:tc>
          <w:tcPr>
            <w:tcW w:w="610" w:type="pct"/>
            <w:vAlign w:val="center"/>
          </w:tcPr>
          <w:p w14:paraId="6A433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件</w:t>
            </w:r>
          </w:p>
        </w:tc>
        <w:tc>
          <w:tcPr>
            <w:tcW w:w="915" w:type="pct"/>
            <w:vAlign w:val="center"/>
          </w:tcPr>
          <w:p w14:paraId="79EC39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699" w:type="pct"/>
            <w:vAlign w:val="center"/>
          </w:tcPr>
          <w:p w14:paraId="23C0EF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bidi="ar"/>
              </w:rPr>
            </w:pPr>
          </w:p>
        </w:tc>
      </w:tr>
      <w:tr w14:paraId="5C54C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5000" w:type="pct"/>
            <w:gridSpan w:val="7"/>
            <w:vAlign w:val="center"/>
          </w:tcPr>
          <w:p w14:paraId="67378608">
            <w:pPr>
              <w:pStyle w:val="2"/>
              <w:ind w:firstLine="720" w:firstLineChars="300"/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bidi="ar"/>
              </w:rPr>
              <w:t>备注：本项目以最终的服务内容及数量据实结算，项目结算金额=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中标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bidi="ar"/>
              </w:rPr>
              <w:t>供应商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中标综合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bidi="ar"/>
              </w:rPr>
              <w:t>单价×实际发生的数量。</w:t>
            </w:r>
          </w:p>
        </w:tc>
      </w:tr>
    </w:tbl>
    <w:p w14:paraId="5914629C">
      <w:pPr>
        <w:pStyle w:val="5"/>
        <w:rPr>
          <w:rFonts w:hint="eastAsia"/>
        </w:rPr>
      </w:pPr>
    </w:p>
    <w:p w14:paraId="6CA90818">
      <w:pPr>
        <w:tabs>
          <w:tab w:val="left" w:pos="840"/>
        </w:tabs>
        <w:autoSpaceDE w:val="0"/>
        <w:autoSpaceDN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3.付款方式</w:t>
      </w:r>
    </w:p>
    <w:p w14:paraId="2B9BE90C">
      <w:pPr>
        <w:tabs>
          <w:tab w:val="left" w:pos="840"/>
        </w:tabs>
        <w:autoSpaceDE w:val="0"/>
        <w:autoSpaceDN w:val="0"/>
        <w:spacing w:line="360" w:lineRule="auto"/>
        <w:ind w:firstLine="536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eastAsia="宋体" w:cs="宋体"/>
          <w:b w:val="0"/>
          <w:bCs w:val="0"/>
          <w:spacing w:val="14"/>
          <w:sz w:val="24"/>
          <w:szCs w:val="24"/>
          <w:lang w:val="en-US" w:eastAsia="zh-CN"/>
        </w:rPr>
        <w:t>合同签订后，支付合同总金额的50%；剩余合同价款按项目进展进度分期付款，按照每季度工作量结算单进行支付（供应商在采购人办理各期付款的支付手续前，应向采购人出具结算单及等额的符合国家规定的发票;上述时间不包括采购人正常办理支付报批手续的时间）。</w:t>
      </w:r>
    </w:p>
    <w:p w14:paraId="055B6C1F">
      <w:pPr>
        <w:tabs>
          <w:tab w:val="left" w:pos="840"/>
        </w:tabs>
        <w:autoSpaceDE w:val="0"/>
        <w:autoSpaceDN w:val="0"/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第二条：项目服务周期</w:t>
      </w:r>
    </w:p>
    <w:p w14:paraId="4B2201CB">
      <w:pPr>
        <w:tabs>
          <w:tab w:val="left" w:pos="840"/>
        </w:tabs>
        <w:autoSpaceDE w:val="0"/>
        <w:autoSpaceDN w:val="0"/>
        <w:spacing w:line="360" w:lineRule="auto"/>
        <w:ind w:firstLine="787" w:firstLineChars="328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一年</w:t>
      </w:r>
      <w:r>
        <w:rPr>
          <w:rFonts w:hint="eastAsia" w:ascii="宋体" w:hAnsi="宋体" w:cs="宋体"/>
          <w:sz w:val="24"/>
          <w:highlight w:val="none"/>
        </w:rPr>
        <w:t>。</w:t>
      </w:r>
    </w:p>
    <w:p w14:paraId="7269E7C0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第三条：服务内容及标准</w:t>
      </w:r>
    </w:p>
    <w:p w14:paraId="555A0E6E">
      <w:pPr>
        <w:tabs>
          <w:tab w:val="left" w:pos="840"/>
        </w:tabs>
        <w:autoSpaceDE w:val="0"/>
        <w:autoSpaceDN w:val="0"/>
        <w:spacing w:line="360" w:lineRule="auto"/>
        <w:ind w:firstLine="787" w:firstLineChars="328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具体内容以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sz w:val="24"/>
          <w:highlight w:val="none"/>
        </w:rPr>
        <w:t>文件“第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sz w:val="24"/>
          <w:highlight w:val="none"/>
        </w:rPr>
        <w:t xml:space="preserve">章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sz w:val="24"/>
          <w:highlight w:val="none"/>
        </w:rPr>
        <w:t>项目技术、服务、商务及其他要求 ”以及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中标</w:t>
      </w:r>
      <w:r>
        <w:rPr>
          <w:rFonts w:hint="eastAsia" w:ascii="宋体" w:hAnsi="宋体" w:cs="宋体"/>
          <w:sz w:val="24"/>
          <w:highlight w:val="none"/>
        </w:rPr>
        <w:t>供应商“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cs="宋体"/>
          <w:sz w:val="24"/>
          <w:highlight w:val="none"/>
        </w:rPr>
        <w:t>文件 ”为准。</w:t>
      </w:r>
    </w:p>
    <w:p w14:paraId="4C7800C7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第四条：合同期限</w:t>
      </w:r>
    </w:p>
    <w:p w14:paraId="77F45D73">
      <w:pPr>
        <w:tabs>
          <w:tab w:val="left" w:pos="840"/>
        </w:tabs>
        <w:autoSpaceDE w:val="0"/>
        <w:autoSpaceDN w:val="0"/>
        <w:spacing w:line="360" w:lineRule="auto"/>
        <w:ind w:firstLine="787" w:firstLineChars="328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1.本合同自双方代表签字、盖章之日起生效。合同期限为自合同签订后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一年</w:t>
      </w:r>
      <w:r>
        <w:rPr>
          <w:rFonts w:hint="eastAsia" w:ascii="宋体" w:hAnsi="宋体" w:cs="宋体"/>
          <w:sz w:val="24"/>
          <w:highlight w:val="none"/>
        </w:rPr>
        <w:t>。</w:t>
      </w:r>
    </w:p>
    <w:p w14:paraId="38CF20B8">
      <w:pPr>
        <w:tabs>
          <w:tab w:val="left" w:pos="840"/>
        </w:tabs>
        <w:autoSpaceDE w:val="0"/>
        <w:autoSpaceDN w:val="0"/>
        <w:spacing w:line="360" w:lineRule="auto"/>
        <w:ind w:firstLine="787" w:firstLineChars="328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2.本合同到期后，如仍然存在甲乙双方未履行完毕的各项义务，则该义务继续履行；未行使完毕的各项权利，由权利方继续行使。</w:t>
      </w:r>
    </w:p>
    <w:p w14:paraId="71831EC4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第五条：验收方式</w:t>
      </w:r>
    </w:p>
    <w:p w14:paraId="2993CB19">
      <w:pPr>
        <w:tabs>
          <w:tab w:val="left" w:pos="840"/>
        </w:tabs>
        <w:autoSpaceDE w:val="0"/>
        <w:autoSpaceDN w:val="0"/>
        <w:spacing w:line="360" w:lineRule="auto"/>
        <w:ind w:firstLine="787" w:firstLineChars="328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1.验收时间：</w:t>
      </w:r>
      <w:r>
        <w:rPr>
          <w:rFonts w:hint="eastAsia" w:ascii="宋体" w:hAnsi="宋体" w:cs="宋体"/>
          <w:sz w:val="24"/>
          <w:u w:val="single"/>
        </w:rPr>
        <w:t xml:space="preserve">    /      </w:t>
      </w:r>
      <w:r>
        <w:rPr>
          <w:rFonts w:hint="eastAsia" w:ascii="宋体" w:hAnsi="宋体" w:cs="宋体"/>
          <w:sz w:val="24"/>
        </w:rPr>
        <w:t>。</w:t>
      </w:r>
    </w:p>
    <w:p w14:paraId="36DCE114">
      <w:pPr>
        <w:tabs>
          <w:tab w:val="left" w:pos="840"/>
        </w:tabs>
        <w:autoSpaceDE w:val="0"/>
        <w:autoSpaceDN w:val="0"/>
        <w:spacing w:line="360" w:lineRule="auto"/>
        <w:ind w:firstLine="787" w:firstLineChars="328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  <w:lang w:val="en-US" w:eastAsia="zh-CN"/>
        </w:rPr>
        <w:t>技术</w:t>
      </w:r>
      <w:r>
        <w:rPr>
          <w:rFonts w:hint="eastAsia" w:ascii="宋体" w:hAnsi="宋体" w:cs="宋体"/>
          <w:sz w:val="24"/>
        </w:rPr>
        <w:t>要求：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符合国家、省、市相关文件及行业技术标准要求。</w:t>
      </w:r>
    </w:p>
    <w:p w14:paraId="42F94DDC">
      <w:pPr>
        <w:tabs>
          <w:tab w:val="left" w:pos="840"/>
        </w:tabs>
        <w:autoSpaceDE w:val="0"/>
        <w:autoSpaceDN w:val="0"/>
        <w:spacing w:line="360" w:lineRule="auto"/>
        <w:ind w:firstLine="787" w:firstLineChars="328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3.</w:t>
      </w:r>
      <w:r>
        <w:rPr>
          <w:rFonts w:hint="eastAsia" w:ascii="宋体" w:hAnsi="宋体" w:cs="宋体"/>
          <w:sz w:val="24"/>
        </w:rPr>
        <w:t>验收合格条件：符合国家标准和技术规格书及合同要求，符合</w:t>
      </w:r>
      <w:r>
        <w:rPr>
          <w:rFonts w:hint="eastAsia" w:ascii="宋体" w:hAnsi="宋体" w:eastAsia="宋体" w:cs="宋体"/>
          <w:sz w:val="24"/>
          <w:lang w:val="en-US" w:eastAsia="zh-CN"/>
        </w:rPr>
        <w:t>招标</w:t>
      </w:r>
      <w:r>
        <w:rPr>
          <w:rFonts w:hint="eastAsia" w:ascii="宋体" w:hAnsi="宋体" w:cs="宋体"/>
          <w:sz w:val="24"/>
        </w:rPr>
        <w:t>文件、</w:t>
      </w:r>
      <w:r>
        <w:rPr>
          <w:rFonts w:hint="eastAsia" w:ascii="宋体" w:hAnsi="宋体" w:eastAsia="宋体" w:cs="宋体"/>
          <w:sz w:val="24"/>
          <w:lang w:val="en-US" w:eastAsia="zh-CN"/>
        </w:rPr>
        <w:t>中标</w:t>
      </w:r>
      <w:r>
        <w:rPr>
          <w:rFonts w:hint="eastAsia" w:ascii="宋体" w:hAnsi="宋体" w:cs="宋体"/>
          <w:sz w:val="24"/>
        </w:rPr>
        <w:t>供应商的</w:t>
      </w:r>
      <w:r>
        <w:rPr>
          <w:rFonts w:hint="eastAsia" w:ascii="宋体" w:hAnsi="宋体" w:eastAsia="宋体" w:cs="宋体"/>
          <w:sz w:val="24"/>
          <w:lang w:val="en-US" w:eastAsia="zh-CN"/>
        </w:rPr>
        <w:t>投标</w:t>
      </w:r>
      <w:r>
        <w:rPr>
          <w:rFonts w:hint="eastAsia" w:ascii="宋体" w:hAnsi="宋体" w:cs="宋体"/>
          <w:sz w:val="24"/>
        </w:rPr>
        <w:t>文件、澄清文件和</w:t>
      </w:r>
      <w:r>
        <w:rPr>
          <w:rFonts w:hint="eastAsia" w:ascii="宋体" w:hAnsi="宋体" w:eastAsia="宋体" w:cs="宋体"/>
          <w:sz w:val="24"/>
          <w:lang w:val="en-US" w:eastAsia="zh-CN"/>
        </w:rPr>
        <w:t>中标</w:t>
      </w:r>
      <w:r>
        <w:rPr>
          <w:rFonts w:hint="eastAsia" w:ascii="宋体" w:hAnsi="宋体" w:cs="宋体"/>
          <w:sz w:val="24"/>
        </w:rPr>
        <w:t>通知书的要求等。</w:t>
      </w:r>
    </w:p>
    <w:p w14:paraId="70E65BC9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第六条：双方权利及义务</w:t>
      </w:r>
    </w:p>
    <w:p w14:paraId="59725EA3">
      <w:pPr>
        <w:tabs>
          <w:tab w:val="left" w:pos="840"/>
        </w:tabs>
        <w:autoSpaceDE w:val="0"/>
        <w:autoSpaceDN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1.甲乙双方必须遵守本合同并执行合同中的各项规定，保证本合同的正常履行。</w:t>
      </w:r>
    </w:p>
    <w:p w14:paraId="090F7CC1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2.本合同签订后甲乙双方不得单方终止合同，如乙方违约，应赔偿给甲方实际造成的损失。</w:t>
      </w:r>
    </w:p>
    <w:p w14:paraId="3862BDBD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3.如因乙方存在以下行为，视为乙方违约，甲方有权终止合同，依法向乙方进行经济索赔，并报请政府采购监督管理机关进行相应的行政处罚。</w:t>
      </w:r>
    </w:p>
    <w:p w14:paraId="58A15C44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①相应资质被取消，设备检测报告到期；</w:t>
      </w:r>
    </w:p>
    <w:p w14:paraId="744100FF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②存在弄虚作假、传递虚假信息等违法违规行为；</w:t>
      </w:r>
    </w:p>
    <w:p w14:paraId="26DAD70F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③基础设施及人员仪器设备不能满足需要，提出后拒不整改；</w:t>
      </w:r>
    </w:p>
    <w:p w14:paraId="36E19593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④未全面履行合同义务或者发生其他违约情形。</w:t>
      </w:r>
    </w:p>
    <w:p w14:paraId="582BB1E3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4.甲方违约的，应当赔偿给乙方造成的直接经济损失。</w:t>
      </w:r>
    </w:p>
    <w:p w14:paraId="566B6217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5.本合同未经双方书面许可，任何一方不得将履行本合同知悉的资料等所有信息向第三方泄露，或用作其他用途。</w:t>
      </w:r>
    </w:p>
    <w:p w14:paraId="696B7CF1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6.乙方工作人员在履行职务过程中故意或过失给甲方造成损失或侵害，包括但不限于甲方本身的财产损失、由此而导致的甲方对任何第三方的法律责任等，乙方对此均应承担全部的赔偿责任。</w:t>
      </w:r>
    </w:p>
    <w:p w14:paraId="392A2E5C">
      <w:pPr>
        <w:tabs>
          <w:tab w:val="left" w:pos="840"/>
        </w:tabs>
        <w:autoSpaceDE w:val="0"/>
        <w:autoSpaceDN w:val="0"/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第七条：违约责任与赔偿损失</w:t>
      </w:r>
    </w:p>
    <w:p w14:paraId="7277016D">
      <w:pPr>
        <w:tabs>
          <w:tab w:val="left" w:pos="840"/>
        </w:tabs>
        <w:autoSpaceDE w:val="0"/>
        <w:autoSpaceDN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1.乙方提供的服务未达到甲方的预期要求，甲方有权拒收，并且乙方须向甲方方支付本合同总价5%的违约金的同时还必须按照甲方要求做出整改，直至验收合格。</w:t>
      </w:r>
    </w:p>
    <w:p w14:paraId="6CDE3831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2.乙方未能按本合同规定的时间提供服务，从逾期之日起每日按本合同总价3‰的数额向甲方支付违约金；逾期半个月以上的，甲方有权终止合同，由此造成的甲方经济损失由乙方承担。</w:t>
      </w:r>
    </w:p>
    <w:p w14:paraId="7B1C18D4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3.甲方无正当理由拒绝接受服务，到期拒付服务款项的，甲方向乙方偿付本合同总价的5%的违约金。甲方逾期付款，则每日按本合同总价的 3‰向乙方偿付违约金（因行政和财政审批延误时间除外）。</w:t>
      </w:r>
    </w:p>
    <w:p w14:paraId="107C56C7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4.其它违约责任按《中华人民共和国民法典》处理。</w:t>
      </w:r>
    </w:p>
    <w:p w14:paraId="7ABD7253">
      <w:pPr>
        <w:tabs>
          <w:tab w:val="left" w:pos="840"/>
        </w:tabs>
        <w:autoSpaceDE w:val="0"/>
        <w:autoSpaceDN w:val="0"/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第八条：其他约定</w:t>
      </w:r>
    </w:p>
    <w:p w14:paraId="2A34ABD5">
      <w:pPr>
        <w:numPr>
          <w:ilvl w:val="0"/>
          <w:numId w:val="1"/>
        </w:numPr>
        <w:tabs>
          <w:tab w:val="left" w:pos="840"/>
          <w:tab w:val="clear" w:pos="312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乙方服务人员在服务过程中受到人身损害或财产损失的，由乙方或乙方服务人员自行负责，甲方对此不承担任何责任。</w:t>
      </w:r>
    </w:p>
    <w:p w14:paraId="0B53FE0F">
      <w:pPr>
        <w:tabs>
          <w:tab w:val="left" w:pos="840"/>
        </w:tabs>
        <w:autoSpaceDE w:val="0"/>
        <w:autoSpaceDN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2.执行本合同过程中发生争议，由当事人双方协商解决。协商不成，可向甲方所在地人民法院提起诉讼。</w:t>
      </w:r>
    </w:p>
    <w:p w14:paraId="4FACCB9D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合同执行期内，非法定或合同约定，甲乙双方均不得随意变更或解除合同。未尽事宜，经双方共同协商作出补充规定，补充规定签字盖章后与本合同具有同等效力。其他未尽事宜，按《中华人民共和国民法典》的有关规定执行。</w:t>
      </w:r>
    </w:p>
    <w:p w14:paraId="1E0E298B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4.如因不可抗力致使双方不能履行本合同中的部分或全部义务时，双方均不负违约责任。但不能履行义务一方应在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天内，向对方报告所发生的不可抗力并提供有关部门的证明文件。本条所称“不可抗力 ”是指自然灾害、重大疫情、恶劣天气条件、政府行为、社会异常事件（包括罢工、政变、骚乱、游行等）或新颁布的法律、法规等不能预见、不能避免并不能克服的客观情况。</w:t>
      </w:r>
    </w:p>
    <w:p w14:paraId="667D04E7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5.本合同一式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份，甲乙双方各执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份，监管部门备案</w:t>
      </w:r>
      <w:r>
        <w:rPr>
          <w:rFonts w:hint="eastAsia" w:ascii="宋体" w:hAnsi="宋体" w:cs="宋体"/>
          <w:sz w:val="24"/>
          <w:u w:val="single"/>
        </w:rPr>
        <w:t xml:space="preserve"> 壹 </w:t>
      </w:r>
      <w:r>
        <w:rPr>
          <w:rFonts w:hint="eastAsia" w:ascii="宋体" w:hAnsi="宋体" w:cs="宋体"/>
          <w:sz w:val="24"/>
        </w:rPr>
        <w:t xml:space="preserve">份，采购代理机构存档 </w:t>
      </w:r>
      <w:r>
        <w:rPr>
          <w:rFonts w:hint="eastAsia" w:ascii="宋体" w:hAnsi="宋体" w:cs="宋体"/>
          <w:sz w:val="24"/>
          <w:u w:val="single"/>
        </w:rPr>
        <w:t xml:space="preserve">壹 </w:t>
      </w:r>
      <w:r>
        <w:rPr>
          <w:rFonts w:hint="eastAsia" w:ascii="宋体" w:hAnsi="宋体" w:cs="宋体"/>
          <w:sz w:val="24"/>
        </w:rPr>
        <w:t>份。</w:t>
      </w:r>
    </w:p>
    <w:p w14:paraId="1C947F59">
      <w:pPr>
        <w:pStyle w:val="6"/>
        <w:rPr>
          <w:rFonts w:hint="eastAsia" w:ascii="宋体" w:hAnsi="宋体" w:cs="宋体"/>
          <w:sz w:val="24"/>
        </w:rPr>
      </w:pPr>
    </w:p>
    <w:p w14:paraId="508B2D79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甲方：  （盖章）                    乙方：  （盖章）</w:t>
      </w:r>
    </w:p>
    <w:p w14:paraId="0D5426CC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法定代表人或其授权                   法定代表人或其授权</w:t>
      </w:r>
    </w:p>
    <w:p w14:paraId="68DC59F4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代理人： （签字）                    代理人： （签字）</w:t>
      </w:r>
    </w:p>
    <w:p w14:paraId="2FE75493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开户银行：                           开户银行：</w:t>
      </w:r>
    </w:p>
    <w:p w14:paraId="73C327C5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账号：                           账号：</w:t>
      </w:r>
    </w:p>
    <w:p w14:paraId="3E1E90BE">
      <w:pPr>
        <w:tabs>
          <w:tab w:val="left" w:pos="840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电话：                           电话：</w:t>
      </w:r>
    </w:p>
    <w:p w14:paraId="2844409D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 w:val="24"/>
        </w:rPr>
        <w:t>签订日期： 年  月  日            签订日期：  年  月  日</w:t>
      </w:r>
    </w:p>
    <w:p w14:paraId="57FF5312">
      <w:pPr>
        <w:rPr>
          <w:rFonts w:hint="eastAsia" w:ascii="宋体" w:hAnsi="宋体" w:eastAsia="宋体" w:cs="宋体"/>
        </w:rPr>
      </w:pPr>
    </w:p>
    <w:p w14:paraId="10340007">
      <w:bookmarkStart w:id="0" w:name="_GoBack"/>
      <w:bookmarkEnd w:id="0"/>
    </w:p>
    <w:sectPr>
      <w:footerReference r:id="rId5" w:type="default"/>
      <w:pgSz w:w="11900" w:h="16840"/>
      <w:pgMar w:top="1134" w:right="1134" w:bottom="1134" w:left="1134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2C7C1">
    <w:pPr>
      <w:pStyle w:val="2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3B6B7E"/>
    <w:multiLevelType w:val="singleLevel"/>
    <w:tmpl w:val="C73B6B7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3C0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6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2026-07-03T12:54:47Z</dcterms:created>
  <dc:creator>Administrator</dc:creator>
  <cp:lastModifiedBy>华夏国际-招标部</cp:lastModifiedBy>
  <dcterms:modified xsi:type="dcterms:W3CDTF">2026-07-03T12:55:05Z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9B713856D61C4C79A3C57582230D722C_12</vt:lpwstr>
  </property>
</Properties>
</file>