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版本号：HXGJXM2026-ZC-GK103520260703001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雁塔区划拨建设用地使用权出租面积勘测技术服务项目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HXGJXM2026-ZC-GK1035</w:t>
      </w:r>
      <w:r>
        <w:br/>
      </w:r>
      <w:r>
        <w:br/>
      </w:r>
      <w:r>
        <w:br/>
      </w:r>
    </w:p>
    <w:p>
      <w:pPr>
        <w:pStyle w:val="null3"/>
        <w:jc w:val="center"/>
        <w:outlineLvl w:val="2"/>
      </w:pPr>
      <w:r>
        <w:rPr>
          <w:rFonts w:ascii="仿宋_GB2312" w:hAnsi="仿宋_GB2312" w:cs="仿宋_GB2312" w:eastAsia="仿宋_GB2312"/>
          <w:sz w:val="28"/>
          <w:b/>
        </w:rPr>
        <w:t>西安市自然资源和规划局雁塔分局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西安市自然资源和规划局雁塔分局</w:t>
      </w:r>
      <w:r>
        <w:rPr>
          <w:rFonts w:ascii="仿宋_GB2312" w:hAnsi="仿宋_GB2312" w:cs="仿宋_GB2312" w:eastAsia="仿宋_GB2312"/>
        </w:rPr>
        <w:t>委托，拟对</w:t>
      </w:r>
      <w:r>
        <w:rPr>
          <w:rFonts w:ascii="仿宋_GB2312" w:hAnsi="仿宋_GB2312" w:cs="仿宋_GB2312" w:eastAsia="仿宋_GB2312"/>
        </w:rPr>
        <w:t>雁塔区划拨建设用地使用权出租面积勘测技术服务项目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雁塔区划拨建设用地使用权出租面积勘测技术服务项目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雁塔区划拨建设用地使用权出租面积勘测技术服务，配合分局收集、整理、分析相关用地资料，对划拨建设用地使用权出租地块进行实地勘测，测定出租建筑面积、出租地块的界址点坐标、权属界线及地类界线，计算实际出租分摊土地面积，绘制勘测定界图等相关测绘技术服务。具体内容详见第三章具体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采购包1（雁塔区划拨建设用地使用权出租面积勘测技术服务项目）：属于专门面向中小企业采购。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及被授权人投标截止日前一年内在本单位已缴存的至少一个月的社会保障资金凭证）；法定代表人直接参加投标，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信用记录代理机构查询结果为准）</w:t>
      </w:r>
    </w:p>
    <w:p>
      <w:pPr>
        <w:pStyle w:val="null3"/>
      </w:pPr>
      <w:r>
        <w:rPr>
          <w:rFonts w:ascii="仿宋_GB2312" w:hAnsi="仿宋_GB2312" w:cs="仿宋_GB2312" w:eastAsia="仿宋_GB2312"/>
        </w:rPr>
        <w:t>3、供应商资质：供应商具备测绘主管部门颁发的测绘资质乙级及以上资质（专业范围应含：工程测量、界线与不动产测绘）。</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029-85235604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陆文科、康敏茹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国家发展和改革委员会办公厅颁发的《关于招标代理服务收费有关问题的通知》（发改办价格[2003]857号）的有关规定执行。 服务费账户：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西安市自然资源和规划局雁塔分局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西安市自然资源和规划局雁塔分局</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服务成果的知识产权归甲方所有，未经甲方同意，乙方不得自用或许可他人使用。乙方应保证所实施内容涉及到的技术服务不会出现因第三方提出侵犯其知识产权等而引发的法律或经济纠纷，否则由乙方承担全部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联系人：陆文科、康敏茹</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雁塔区划拨建设用地使用权出租面积勘测技术服务，配合分局收集、整理、分析相关用地资料，对划拨建设用地使用权出租地块进行实地勘测，测定出租建筑面积、出租地块的界址点坐标、权属界线及地类界线，计算实际出租分摊土地面积，绘制勘测定界图等相关测绘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雁塔区划拨建设用地使用权出租面积勘测技术服务项目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标的名称：雁塔区划拨建设用地使用权出租面积勘测技术服务项目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105"/>
            </w:pPr>
            <w:r>
              <w:rPr>
                <w:rFonts w:ascii="仿宋_GB2312" w:hAnsi="仿宋_GB2312" w:cs="仿宋_GB2312" w:eastAsia="仿宋_GB2312"/>
                <w:b/>
                <w:color w:val="000000"/>
              </w:rPr>
              <w:t>一、</w:t>
            </w:r>
            <w:r>
              <w:rPr>
                <w:rFonts w:ascii="仿宋_GB2312" w:hAnsi="仿宋_GB2312" w:cs="仿宋_GB2312" w:eastAsia="仿宋_GB2312"/>
                <w:b/>
                <w:color w:val="000000"/>
              </w:rPr>
              <w:t>工作内容</w:t>
            </w:r>
          </w:p>
          <w:p>
            <w:pPr>
              <w:pStyle w:val="null3"/>
            </w:pPr>
            <w:r>
              <w:rPr>
                <w:rFonts w:ascii="仿宋_GB2312" w:hAnsi="仿宋_GB2312" w:cs="仿宋_GB2312" w:eastAsia="仿宋_GB2312"/>
                <w:color w:val="000000"/>
              </w:rPr>
              <w:t>配合分局收集、整理、分析相关用地资料，对划拨</w:t>
            </w:r>
            <w:r>
              <w:rPr>
                <w:rFonts w:ascii="仿宋_GB2312" w:hAnsi="仿宋_GB2312" w:cs="仿宋_GB2312" w:eastAsia="仿宋_GB2312"/>
                <w:color w:val="000000"/>
              </w:rPr>
              <w:t>建设用地</w:t>
            </w:r>
            <w:r>
              <w:rPr>
                <w:rFonts w:ascii="仿宋_GB2312" w:hAnsi="仿宋_GB2312" w:cs="仿宋_GB2312" w:eastAsia="仿宋_GB2312"/>
                <w:color w:val="000000"/>
              </w:rPr>
              <w:t>使用权出租地块进行实地勘测，测定出租建筑面积、出租地块的界址点坐标、权属界线及地类界线，计算实际出租分摊土地面积，绘制勘测定界图等相关测绘技术服务。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color w:val="000000"/>
              </w:rPr>
              <w:t>二、</w:t>
            </w:r>
            <w:r>
              <w:rPr>
                <w:rFonts w:ascii="仿宋_GB2312" w:hAnsi="仿宋_GB2312" w:cs="仿宋_GB2312" w:eastAsia="仿宋_GB2312"/>
                <w:b/>
                <w:color w:val="000000"/>
              </w:rPr>
              <w:t>功能与目标</w:t>
            </w:r>
          </w:p>
          <w:p>
            <w:pPr>
              <w:pStyle w:val="null3"/>
            </w:pPr>
            <w:r>
              <w:rPr>
                <w:rFonts w:ascii="仿宋_GB2312" w:hAnsi="仿宋_GB2312" w:cs="仿宋_GB2312" w:eastAsia="仿宋_GB2312"/>
                <w:color w:val="000000"/>
              </w:rPr>
              <w:t>核定出租土地面积，保障土地资产权益，承担划拨土地使用权出租所涉及的实地勘测与面积核定工作，为划拨用地出租上缴土地收益提供依据。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color w:val="000000"/>
              </w:rPr>
              <w:t>三</w:t>
            </w:r>
            <w:r>
              <w:rPr>
                <w:rFonts w:ascii="仿宋_GB2312" w:hAnsi="仿宋_GB2312" w:cs="仿宋_GB2312" w:eastAsia="仿宋_GB2312"/>
                <w:b/>
                <w:color w:val="000000"/>
              </w:rPr>
              <w:t>、</w:t>
            </w:r>
            <w:r>
              <w:rPr>
                <w:rFonts w:ascii="仿宋_GB2312" w:hAnsi="仿宋_GB2312" w:cs="仿宋_GB2312" w:eastAsia="仿宋_GB2312"/>
                <w:b/>
                <w:color w:val="000000"/>
              </w:rPr>
              <w:t>技术要求</w:t>
            </w:r>
          </w:p>
          <w:p>
            <w:pPr>
              <w:pStyle w:val="null3"/>
            </w:pPr>
            <w:r>
              <w:rPr>
                <w:rFonts w:ascii="仿宋_GB2312" w:hAnsi="仿宋_GB2312" w:cs="仿宋_GB2312" w:eastAsia="仿宋_GB2312"/>
                <w:color w:val="000000"/>
              </w:rPr>
              <w:t>符合国家、省、市相关文件及行业技术标准要求。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color w:val="000000"/>
              </w:rPr>
              <w:t>四</w:t>
            </w:r>
            <w:r>
              <w:rPr>
                <w:rFonts w:ascii="仿宋_GB2312" w:hAnsi="仿宋_GB2312" w:cs="仿宋_GB2312" w:eastAsia="仿宋_GB2312"/>
                <w:b/>
                <w:color w:val="000000"/>
              </w:rPr>
              <w:t>、</w:t>
            </w:r>
            <w:r>
              <w:rPr>
                <w:rFonts w:ascii="仿宋_GB2312" w:hAnsi="仿宋_GB2312" w:cs="仿宋_GB2312" w:eastAsia="仿宋_GB2312"/>
                <w:b/>
                <w:color w:val="000000"/>
              </w:rPr>
              <w:t>技术标准</w:t>
            </w:r>
          </w:p>
          <w:p>
            <w:pPr>
              <w:pStyle w:val="null3"/>
              <w:ind w:firstLine="480"/>
            </w:pPr>
            <w:r>
              <w:rPr>
                <w:rFonts w:ascii="仿宋_GB2312" w:hAnsi="仿宋_GB2312" w:cs="仿宋_GB2312" w:eastAsia="仿宋_GB2312"/>
                <w:color w:val="000000"/>
              </w:rPr>
              <w:t>(1) 《房产测量规范 第 1 单元 房产测量规定》（GB／T 17986.1—2000）；</w:t>
            </w:r>
          </w:p>
          <w:p>
            <w:pPr>
              <w:pStyle w:val="null3"/>
              <w:ind w:firstLine="480"/>
            </w:pPr>
            <w:r>
              <w:rPr>
                <w:rFonts w:ascii="仿宋_GB2312" w:hAnsi="仿宋_GB2312" w:cs="仿宋_GB2312" w:eastAsia="仿宋_GB2312"/>
                <w:color w:val="000000"/>
              </w:rPr>
              <w:t>(2) 《房产测量规范 第 2 单元 房产图图式》（GB／T 17986.2—2000）；</w:t>
            </w:r>
          </w:p>
          <w:p>
            <w:pPr>
              <w:pStyle w:val="null3"/>
              <w:ind w:firstLine="480"/>
            </w:pPr>
            <w:r>
              <w:rPr>
                <w:rFonts w:ascii="仿宋_GB2312" w:hAnsi="仿宋_GB2312" w:cs="仿宋_GB2312" w:eastAsia="仿宋_GB2312"/>
                <w:color w:val="000000"/>
              </w:rPr>
              <w:t>(3) 《国家基本比例尺地形图图式第一部分：1：500、1：1000、1：2000 地形图图式》</w:t>
            </w:r>
          </w:p>
          <w:p>
            <w:pPr>
              <w:pStyle w:val="null3"/>
              <w:ind w:firstLine="480"/>
            </w:pPr>
            <w:r>
              <w:rPr>
                <w:rFonts w:ascii="仿宋_GB2312" w:hAnsi="仿宋_GB2312" w:cs="仿宋_GB2312" w:eastAsia="仿宋_GB2312"/>
                <w:color w:val="000000"/>
              </w:rPr>
              <w:t>（GB/T20257.1-2017）；</w:t>
            </w:r>
          </w:p>
          <w:p>
            <w:pPr>
              <w:pStyle w:val="null3"/>
              <w:ind w:firstLine="480"/>
            </w:pPr>
            <w:r>
              <w:rPr>
                <w:rFonts w:ascii="仿宋_GB2312" w:hAnsi="仿宋_GB2312" w:cs="仿宋_GB2312" w:eastAsia="仿宋_GB2312"/>
                <w:color w:val="000000"/>
              </w:rPr>
              <w:t>(4) 《测绘成果质量检查与验收》（GB/T 24356-2023）；</w:t>
            </w:r>
          </w:p>
          <w:p>
            <w:pPr>
              <w:pStyle w:val="null3"/>
              <w:ind w:firstLine="480"/>
            </w:pPr>
            <w:r>
              <w:rPr>
                <w:rFonts w:ascii="仿宋_GB2312" w:hAnsi="仿宋_GB2312" w:cs="仿宋_GB2312" w:eastAsia="仿宋_GB2312"/>
                <w:color w:val="000000"/>
              </w:rPr>
              <w:t>(5) 《地籍调查规程》（GB/T 42547-2023）；</w:t>
            </w:r>
          </w:p>
          <w:p>
            <w:pPr>
              <w:pStyle w:val="null3"/>
              <w:ind w:firstLine="480"/>
            </w:pPr>
            <w:r>
              <w:rPr>
                <w:rFonts w:ascii="仿宋_GB2312" w:hAnsi="仿宋_GB2312" w:cs="仿宋_GB2312" w:eastAsia="仿宋_GB2312"/>
                <w:color w:val="000000"/>
              </w:rPr>
              <w:t>(6) 《土地利用现状分类》（GB/T 21010-2017）；</w:t>
            </w:r>
          </w:p>
          <w:p>
            <w:pPr>
              <w:pStyle w:val="null3"/>
              <w:ind w:firstLine="480"/>
            </w:pPr>
            <w:r>
              <w:rPr>
                <w:rFonts w:ascii="仿宋_GB2312" w:hAnsi="仿宋_GB2312" w:cs="仿宋_GB2312" w:eastAsia="仿宋_GB2312"/>
                <w:color w:val="000000"/>
              </w:rPr>
              <w:t>(7) 《城市测量规范》（CJJ/T 8-2011）；</w:t>
            </w:r>
          </w:p>
          <w:p>
            <w:pPr>
              <w:pStyle w:val="null3"/>
              <w:ind w:firstLine="480"/>
            </w:pPr>
            <w:r>
              <w:rPr>
                <w:rFonts w:ascii="仿宋_GB2312" w:hAnsi="仿宋_GB2312" w:cs="仿宋_GB2312" w:eastAsia="仿宋_GB2312"/>
                <w:color w:val="000000"/>
              </w:rPr>
              <w:t>(8) 《全球定位系统实时动态测量(RTK)技术规范》（CH/T 2009-2010）；</w:t>
            </w:r>
          </w:p>
          <w:p>
            <w:pPr>
              <w:pStyle w:val="null3"/>
              <w:ind w:firstLine="480"/>
            </w:pPr>
            <w:r>
              <w:rPr>
                <w:rFonts w:ascii="仿宋_GB2312" w:hAnsi="仿宋_GB2312" w:cs="仿宋_GB2312" w:eastAsia="仿宋_GB2312"/>
                <w:color w:val="000000"/>
              </w:rPr>
              <w:t>(9) 《低空数字航摄与数据处理规范》（GB∕T 39612-2020）；</w:t>
            </w:r>
          </w:p>
          <w:p>
            <w:pPr>
              <w:pStyle w:val="null3"/>
              <w:ind w:firstLine="480"/>
            </w:pPr>
            <w:r>
              <w:rPr>
                <w:rFonts w:ascii="仿宋_GB2312" w:hAnsi="仿宋_GB2312" w:cs="仿宋_GB2312" w:eastAsia="仿宋_GB2312"/>
                <w:color w:val="000000"/>
              </w:rPr>
              <w:t>(10) 《倾斜数字航空摄影技术规程》（GB∕T 39610-2020）；</w:t>
            </w:r>
          </w:p>
          <w:p>
            <w:pPr>
              <w:pStyle w:val="null3"/>
              <w:ind w:firstLine="480"/>
            </w:pPr>
            <w:r>
              <w:rPr>
                <w:rFonts w:ascii="仿宋_GB2312" w:hAnsi="仿宋_GB2312" w:cs="仿宋_GB2312" w:eastAsia="仿宋_GB2312"/>
                <w:color w:val="000000"/>
              </w:rPr>
              <w:t>(11) 《测绘技术设计规定》(CH/T 1004-2005)；</w:t>
            </w:r>
          </w:p>
          <w:p>
            <w:pPr>
              <w:pStyle w:val="null3"/>
              <w:ind w:firstLine="480"/>
            </w:pPr>
            <w:r>
              <w:rPr>
                <w:rFonts w:ascii="仿宋_GB2312" w:hAnsi="仿宋_GB2312" w:cs="仿宋_GB2312" w:eastAsia="仿宋_GB2312"/>
                <w:color w:val="000000"/>
              </w:rPr>
              <w:t>(12) 《不动产权籍调查技术方案(试行)》国土资源部 2015 年 3 月 30 日；</w:t>
            </w:r>
          </w:p>
          <w:p>
            <w:pPr>
              <w:pStyle w:val="null3"/>
              <w:ind w:firstLine="480"/>
            </w:pPr>
            <w:r>
              <w:rPr>
                <w:rFonts w:ascii="仿宋_GB2312" w:hAnsi="仿宋_GB2312" w:cs="仿宋_GB2312" w:eastAsia="仿宋_GB2312"/>
                <w:color w:val="000000"/>
              </w:rPr>
              <w:t>(13) 《不动产登记数据库标准》TD∕T 1066-2021</w:t>
            </w:r>
            <w:r>
              <w:rPr>
                <w:rFonts w:ascii="仿宋_GB2312" w:hAnsi="仿宋_GB2312" w:cs="仿宋_GB2312" w:eastAsia="仿宋_GB2312"/>
                <w:color w:val="00000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color w:val="000000"/>
              </w:rPr>
              <w:t>五、本项目服务内容及暂定数量</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1"/>
              <w:gridCol w:w="486"/>
              <w:gridCol w:w="430"/>
              <w:gridCol w:w="305"/>
              <w:gridCol w:w="405"/>
              <w:gridCol w:w="405"/>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82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rFonts w:ascii="仿宋_GB2312" w:hAnsi="仿宋_GB2312" w:cs="仿宋_GB2312" w:eastAsia="仿宋_GB2312"/>
                      <w:sz w:val="19"/>
                      <w:b/>
                      <w:color w:val="000000"/>
                    </w:rPr>
                    <w:t>费用项目</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暂定数量</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计量单位</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综合单价</w:t>
                  </w:r>
                </w:p>
                <w:p>
                  <w:pPr>
                    <w:pStyle w:val="null3"/>
                    <w:jc w:val="center"/>
                  </w:pPr>
                  <w:r>
                    <w:rPr>
                      <w:rFonts w:ascii="仿宋_GB2312" w:hAnsi="仿宋_GB2312" w:cs="仿宋_GB2312" w:eastAsia="仿宋_GB2312"/>
                      <w:sz w:val="19"/>
                      <w:b/>
                      <w:color w:val="000000"/>
                    </w:rPr>
                    <w:t>最高限价</w:t>
                  </w:r>
                </w:p>
                <w:p>
                  <w:pPr>
                    <w:pStyle w:val="null3"/>
                    <w:jc w:val="center"/>
                  </w:pPr>
                  <w:r>
                    <w:rPr>
                      <w:rFonts w:ascii="仿宋_GB2312" w:hAnsi="仿宋_GB2312" w:cs="仿宋_GB2312" w:eastAsia="仿宋_GB2312"/>
                      <w:sz w:val="19"/>
                      <w:b/>
                      <w:color w:val="000000"/>
                    </w:rPr>
                    <w:t>（元）</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备注</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用地测量</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用地实测测量（实测界址点）</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点</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583.20</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0"/>
                  <w:vMerge/>
                  <w:tcBorders>
                    <w:top w:val="none" w:color="000000" w:sz="4"/>
                    <w:left w:val="single" w:color="000000" w:sz="4"/>
                    <w:bottom w:val="single" w:color="000000" w:sz="4"/>
                    <w:right w:val="single" w:color="000000" w:sz="4"/>
                  </w:tcBorders>
                </w:tcPr>
                <w:p/>
              </w:tc>
              <w:tc>
                <w:tcPr>
                  <w:tcW w:type="dxa" w:w="341"/>
                  <w:vMerge/>
                  <w:tcBorders>
                    <w:top w:val="none" w:color="000000" w:sz="4"/>
                    <w:left w:val="single" w:color="000000" w:sz="4"/>
                    <w:bottom w:val="single" w:color="000000" w:sz="4"/>
                    <w:right w:val="single" w:color="000000" w:sz="4"/>
                  </w:tcBorders>
                </w:tcP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用地地籍测量（不含地籍调查）</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280000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0.23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建筑测量</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一类</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230000.00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住宅用房</w:t>
                  </w:r>
                </w:p>
              </w:tc>
            </w:tr>
            <w:tr>
              <w:tc>
                <w:tcPr>
                  <w:tcW w:type="dxa" w:w="180"/>
                  <w:vMerge/>
                  <w:tcBorders>
                    <w:top w:val="none" w:color="000000" w:sz="4"/>
                    <w:left w:val="single" w:color="000000" w:sz="4"/>
                    <w:bottom w:val="single" w:color="000000" w:sz="4"/>
                    <w:right w:val="single" w:color="000000" w:sz="4"/>
                  </w:tcBorders>
                </w:tcPr>
                <w:p/>
              </w:tc>
              <w:tc>
                <w:tcPr>
                  <w:tcW w:type="dxa" w:w="341"/>
                  <w:vMerge/>
                  <w:tcBorders>
                    <w:top w:val="none" w:color="000000" w:sz="4"/>
                    <w:left w:val="single" w:color="000000" w:sz="4"/>
                    <w:bottom w:val="single" w:color="000000" w:sz="4"/>
                    <w:right w:val="single" w:color="000000" w:sz="4"/>
                  </w:tcBorders>
                </w:tcP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二类</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180000.00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商业用房</w:t>
                  </w:r>
                </w:p>
              </w:tc>
            </w:tr>
            <w:tr>
              <w:tc>
                <w:tcPr>
                  <w:tcW w:type="dxa" w:w="180"/>
                  <w:vMerge/>
                  <w:tcBorders>
                    <w:top w:val="none" w:color="000000" w:sz="4"/>
                    <w:left w:val="single" w:color="000000" w:sz="4"/>
                    <w:bottom w:val="single" w:color="000000" w:sz="4"/>
                    <w:right w:val="single" w:color="000000" w:sz="4"/>
                  </w:tcBorders>
                </w:tcPr>
                <w:p/>
              </w:tc>
              <w:tc>
                <w:tcPr>
                  <w:tcW w:type="dxa" w:w="341"/>
                  <w:vMerge/>
                  <w:tcBorders>
                    <w:top w:val="none" w:color="000000" w:sz="4"/>
                    <w:left w:val="single" w:color="000000" w:sz="4"/>
                    <w:bottom w:val="single" w:color="000000" w:sz="4"/>
                    <w:right w:val="single" w:color="000000" w:sz="4"/>
                  </w:tcBorders>
                </w:tcP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三类</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50000.00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多功能综合用房</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8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调查核实</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件</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3000.00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比对、套合用地范围；调查核实、拍照举证及分割非出租部分建筑面积；计算出租部分与总建筑面积比例等。</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color w:val="000000"/>
              </w:rPr>
              <w:t>备注：本项目以最终的服务内容及数量据实结算，项目结算金额=</w:t>
            </w:r>
            <w:r>
              <w:rPr>
                <w:rFonts w:ascii="仿宋_GB2312" w:hAnsi="仿宋_GB2312" w:cs="仿宋_GB2312" w:eastAsia="仿宋_GB2312"/>
                <w:color w:val="000000"/>
              </w:rPr>
              <w:t>中标</w:t>
            </w:r>
            <w:r>
              <w:rPr>
                <w:rFonts w:ascii="仿宋_GB2312" w:hAnsi="仿宋_GB2312" w:cs="仿宋_GB2312" w:eastAsia="仿宋_GB2312"/>
                <w:color w:val="000000"/>
              </w:rPr>
              <w:t>供应商</w:t>
            </w:r>
            <w:r>
              <w:rPr>
                <w:rFonts w:ascii="仿宋_GB2312" w:hAnsi="仿宋_GB2312" w:cs="仿宋_GB2312" w:eastAsia="仿宋_GB2312"/>
                <w:color w:val="000000"/>
              </w:rPr>
              <w:t>中标</w:t>
            </w:r>
            <w:r>
              <w:rPr>
                <w:rFonts w:ascii="仿宋_GB2312" w:hAnsi="仿宋_GB2312" w:cs="仿宋_GB2312" w:eastAsia="仿宋_GB2312"/>
                <w:color w:val="000000"/>
              </w:rPr>
              <w:t>综合单价×实际发生的数量。</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满足项目实施需要，确保项目顺利实施。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密要求：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1、验收：由西安市自然资源和规划局雁塔分局组织验收，成交供应商对本项目最终的服务质量负完全责任。 2、验收合格条件：符合国家标准和技术规格书及合同要求，符合招标文件、中标供应商的投标文件、澄清文件和中标通知书的要求等。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合同价款按项目进展进度分期付款，按照每季度工作量结算单进行支付（供应商在采购人办理各期付款的支付手续前，应向采购人出具结算单及等额的符合国家规定的发票;上述时间不包括采购人正常办理支付报批手续的时间），达到付款条件起10个工作日内，支付合同总金额的12.5%</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合同价款按项目进展进度分期付款，按照每季度工作量结算单进行支付（供应商在采购人办理各期付款的支付手续前，应向采购人出具结算单及等额的符合国家规定的发票;上述时间不包括采购人正常办理支付报批手续的时间），达到付款条件起10个工作日内，支付合同总金额的12.5%</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合同价款按项目进展进度分期付款，按照每季度工作量结算单进行支付（供应商在采购人办理各期付款的支付手续前，应向采购人出具结算单及等额的符合国家规定的发票;上述时间不包括采购人正常办理支付报批手续的时间），达到付款条件起10个工作日内，支付合同总金额的12.5%</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合同价款按项目进展进度分期付款，按照每季度工作量结算单进行支付（供应商在采购人办理各期付款的支付手续前，应向采购人出具结算单及等额的符合国家规定的发票;上述时间不包括采购人正常办理支付报批手续的时间），达到付款条件起10个工作日内，支付合同总金额的12.5%</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1.乙方提供的服务未达到甲方的预期要求，甲方有权拒收，并且乙方须向甲方方支付本合同总价5%的违约金的同时还必须按照甲方要求做出整改，直至验收合格。 2.乙方未能按本合同规定的时间提供服务，从逾期之日起每日按本合同总价3‰的数额向甲方支付违约金；逾期半个月以上的，甲方有权终止合同，由此造成的甲方经济损失由乙方承担。 3.甲方无正当理由拒绝接受服务，到期拒付服务款项的，甲方向乙方偿付本合同总价的5%的违约金。甲方逾期付款，则每日按本合同总价的 3‰向乙方偿付违约金（因行政和财政审批延误时间除外）。 4.其它违约责任按《中华人民共和国民法典》处理。 （二）解决争议的方法：执行本合同过程中发生争议，由当事人双方协商解决。协商不成，可向甲方所在地人民法院提起诉讼。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实施：（1）成交供应商应在合同签订后尽快安排人员与采购单位就服务工作进行安排、部署。（2）若因成交供应商原因未能在服务期内完成合同规定的义务，由此对采购人造成的延误和一切损失，由成交供应商承担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主体资格：提供合格有效的法人或者其他组织的营业执照等证明文件，自然人的身份证明；（供应商是法人或其他组织的应提供营业执照等证明文件，供应商是自然人的应提供有效的自然人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投标文件截止时间不足一年的可提供成立后任意时段的资产负债表）】或【财政部门认可的政府采购专业担保机构出具的担保函】或【在投标截止日期前三个月内其基本开户银行出具的资信证明（附开户许可证或开户备案证明或基本存款账户信息）】,以上形式的证明资料提供任何一种即可。 3、税收证明：提供递交投标文件截止日前一年内任意一个月的依法缴纳税收的纳税证明或完税证明（完税证明应有税务机关或代收机关的公章或业务专用章）。依法免税或无须缴纳税收的供应商，应提供相关证明材料。 4、社保证明：提供递交投标文件截止日前一年内任意一个月的社会保障资金缴存单据或社保机构开具的社会保险参保缴费情况证明，依法不需要缴纳社会保障资金的单位应提供相关证明材料。 5、承诺：提供具有履行合同所必需的设备和专业技术能力的承诺。 6、书面声明：提供参加政府采购活动前3年内，在经营活动中没有重大违法记录的书面声明。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投标文件截止时间不足一年的可提供成立后任意时段的资产负债表）】或【财政部门认可的政府采购专业担保机构出具的担保函】或【在投标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法定代表人授权书（附法定代表人、被授权人身份证复印件及及被授权人投标截止日前一年内在本单位已缴存的至少一个月的社会保障资金凭证）；法定代表人直接参加投标，须提供法定代表人身份证明。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信用记录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供应商具备测绘主管部门颁发的测绘资质乙级及以上资质（专业范围应含：工程测量、界线与不动产测绘）。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中小企业声明函 其它资料.docx 供应商承诺书.docx 资格证明文件.docx 投标方案说明书.docx 分项报价表.docx 本项目拟投入人员汇总表.docx 投标函 残疾人福利性单位声明函 标的清单 投标文件封面 商务条款偏离表.docx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投标文件的格式</w:t>
            </w:r>
          </w:p>
        </w:tc>
        <w:tc>
          <w:tcPr>
            <w:tcW w:type="dxa" w:w="3322"/>
          </w:tcPr>
          <w:p>
            <w:pPr>
              <w:pStyle w:val="null3"/>
            </w:pPr>
            <w:r>
              <w:rPr>
                <w:rFonts w:ascii="仿宋_GB2312" w:hAnsi="仿宋_GB2312" w:cs="仿宋_GB2312" w:eastAsia="仿宋_GB2312"/>
              </w:rPr>
              <w:t>符招标文件中投标文件相关格式要求。</w:t>
            </w:r>
          </w:p>
        </w:tc>
        <w:tc>
          <w:tcPr>
            <w:tcW w:type="dxa" w:w="1661"/>
          </w:tcPr>
          <w:p>
            <w:pPr>
              <w:pStyle w:val="null3"/>
            </w:pPr>
            <w:r>
              <w:rPr>
                <w:rFonts w:ascii="仿宋_GB2312" w:hAnsi="仿宋_GB2312" w:cs="仿宋_GB2312" w:eastAsia="仿宋_GB2312"/>
              </w:rPr>
              <w:t>开标一览表 中小企业声明函 其它资料.docx 供应商承诺书.docx 资格证明文件.docx 投标方案说明书.docx 分项报价表.docx 本项目拟投入人员汇总表.docx 投标函 残疾人福利性单位声明函 标的清单 投标文件封面 商务条款偏离表.docx 监狱企业的证明文件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按招标文件要求报价，不得提交选择性报价，且每轮报价不超过采购预算金额及最高限价。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商务条款偏离表.docx 服务应答表.docx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满足招标文件中要求的服务期限。</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中小企业声明函 其它资料.docx 供应商承诺书.docx 资格证明文件.docx 投标方案说明书.docx 分项报价表.docx 本项目拟投入人员汇总表.docx 投标函 残疾人福利性单位声明函 标的清单 投标文件封面 商务条款偏离表.docx 监狱企业的证明文件 服务应答表.docx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包括：①项目前期资料收集、分析；②项目区域现状及问题分析；③工作目标；④工作进度计划；⑤工作流程等。方案各部分内容全面详细、阐述条理清晰详尽符合本项需求得10分；以上评审内容每缺一项扣2分；评审内容有缺陷（缺陷是指：内容粗略、逻辑混乱、描述过于简单、与项目特点不匹配、凭空编造、逻辑漏洞、出现常识性错误、存在不适用项目实际情况的情形或只有标题没有实质性内容等）的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根据供应商提供的保障措施，包括：①项目实施过程质量保证措施；②项目成果质量保证措施；③安全保障措施等方面进行综合评分。 方案各部分内容全面详细、阐述条理清晰详尽符合本项需求得6分；以上评审内容每缺一项扣2分；评审内容有缺陷（缺陷是指：内容粗略、逻辑混乱、描述过于简单、与项目特点不匹配、凭空编造、逻辑漏洞、出现常识性错误、存在不适用项目实际情况的情形或只有标题没有实质性内容等）的扣（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1、拟派项目负责人具有注册测绘师资格证书（在本单位注册），得2分；具有测绘类专业高级职称证书的，得2分；其他不计分，本项满分4分。 2、拟派项目人员（除项目负责人外）：具备中级及以上测绘类专业职称证书的，每提供一个符合要求的人员得1.5分，满分15分。 注：以上内容须提供拟派人员的有效证明材料（含身份证、相关证书、在本年度本单位为其已缴存的至少一个月的社会保险参保缴费证明），未提供证明材料或提供不完整的均不计分。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主要设备配备</w:t>
            </w:r>
          </w:p>
        </w:tc>
        <w:tc>
          <w:tcPr>
            <w:tcW w:type="dxa" w:w="2492"/>
          </w:tcPr>
          <w:p>
            <w:pPr>
              <w:pStyle w:val="null3"/>
            </w:pPr>
            <w:r>
              <w:rPr>
                <w:rFonts w:ascii="仿宋_GB2312" w:hAnsi="仿宋_GB2312" w:cs="仿宋_GB2312" w:eastAsia="仿宋_GB2312"/>
              </w:rPr>
              <w:t>供应商针对本项目提供项目实施所需的主要设备（全站仪和GNSS）配备情况。对供应商投入的两个主要设备数量进行评审： 1、各5台及以上的，得10分； 2、各4台的，得8分； 3、各3台的，得5分； 4、各2台的，得2分； 5、其他不得分。 备注：自有设备，须提供购置发票；租赁设备，须提供租赁协议。未提供证明材料的，不计入有效数量。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根据供应商提供的保密措施，包括：①保密承诺和相关措施；②档案管理制度；③数据安全保密措施等方面进行综合评分。 方案各部分内容全面详细、阐述条理清晰详尽符合本项需求得6分；以上评审内容每缺一项扣2分；评审内容有缺陷（缺陷是指：内容粗略、逻辑混乱、描述过于简单、与项目特点不匹配、凭空编造、逻辑漏洞、出现常识性错误、存在不适用项目实际情况的情形或只有标题没有实质性内容等）的扣（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根据供应商提供的重难点分析及解决方案，包括：①重难点分析；②合理化建议；③应急措施。 方案各部分内容全面详细、阐述条理清晰详尽符合本项需求得6分；以上评审内容每缺一项扣2分；评审内容有缺陷（缺陷是指：内容粗略、逻辑混乱、描述过于简单、与项目特点不匹配、凭空编造、逻辑漏洞、出现常识性错误、存在不适用项目实际情况的情形或只有标题没有实质性内容等）的扣（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针对供应商提供的售后服务承诺，包括：①售后服务流程；②售后服务机构与人员设立；③售后服务范围期限及服务响应计划；④服务承诺等方面进行综合评分。 方案各部分内容全面详细、阐述条理清晰详尽符合本项需求得12分；以上评审内容每缺一项扣3分；评审内容有缺陷（缺陷是指：内容粗略、逻辑混乱、描述过于简单、与项目特点不匹配、凭空编造、逻辑漏洞、出现常识性错误、存在不适用项目实际情况的情形或只有标题没有实质性内容等）的扣（0-3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提供供应商具有2023年4月1日至今（以合同签订日期为准）的类似项目业绩，每提供一份有效业绩得3分，满分15分。（备注：业绩证明以响应文件中所附合同复印件加盖公章为准。）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提供供应商有效期内的ISO9001质量管理体系认证证书、ISO45001职业健康安全管理体系认证证书、ISO14001环境管理体系认证证书、ISO27001信息安全管理体系认证证书。每提供一个有效证书得1.5分，满分6分。（备注：以响应文件中所附证书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2.满足招标文件实质性要求且报价最低的供应商的价格为评标基准价，其价格分为满分10分。 3.投标报价得分=（评标基准价/投标报价）×10的公式计算得分。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