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版本号：陕融招字-2026-0504号.1B220260717001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⾼真空⾼温封管热处理装置及超⾼真空物理⽓相沉积设备及⾼通量电化学液相沉积与测试系统（原采购包1）（三次）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陕融招字-2026-0504号.1B2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⾼真空⾼温封管热处理装置及超⾼真空物理⽓相沉积设备及⾼通量电化学液相沉积与测试系统（原采购包1）（三次）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陕融招字-2026-0504号.1B2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⾼真空⾼温封管热处理装置及超⾼真空物理⽓相沉积设备及⾼通量电化学液相沉积与测试系统（原采购包1）（三次）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高真空高温封管热处理装置及超高真空物理气相沉积设备及高通量电化学液相沉积与测试系统（原采购包1）（三次），本次采购为1个采购包，采购包1：高真空高温封管热处理装置。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采购包1（高真空高温封管热处理装置）：属于专门面向中小企业采购。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真空高温封管热处理装置及超高真空物理气相沉积设备及高通量电化学液相沉积与测试系统（原采购包1）（三次），本次采购为1个采购包，采购包1：高真空高温封管热处理装置。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高真空高温封管热处理装置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标的名称：高真空高温封管热处理装置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1396"/>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加热及温控系统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机械泵</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分子泵机组</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水冷机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氢氧焰熔封机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玻璃管真空封管机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加热及温控系统参数要求：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炉膛：高温耐火隔热材料，耐火度</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设备长期稳定工作温度≥1700℃</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最高工作温度≥1800℃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2.高温炉管：炉管内径≥Φ60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，加热区长度≥250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保温区域≥100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炉管总长度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3.控制方式：PID自动控温，多段程序控温，可设置程序段数≥20段（满足复杂烧结工艺）；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控温精度：≤±1℃，</w:t>
            </w:r>
            <w:r>
              <w:rPr>
                <w:rFonts w:ascii="仿宋_GB2312" w:hAnsi="仿宋_GB2312" w:cs="仿宋_GB2312" w:eastAsia="仿宋_GB2312"/>
                <w:sz w:val="21"/>
                <w:color w:val="000000"/>
              </w:rPr>
              <w:t>升温速率连续可调范围为0.1</w:t>
            </w:r>
            <w:r>
              <w:rPr>
                <w:rFonts w:ascii="仿宋_GB2312" w:hAnsi="仿宋_GB2312" w:cs="仿宋_GB2312" w:eastAsia="仿宋_GB2312"/>
                <w:sz w:val="21"/>
                <w:color w:val="000000"/>
              </w:rPr>
              <w:t>~</w:t>
            </w:r>
            <w:r>
              <w:rPr>
                <w:rFonts w:ascii="仿宋_GB2312" w:hAnsi="仿宋_GB2312" w:cs="仿宋_GB2312" w:eastAsia="仿宋_GB2312"/>
                <w:sz w:val="21"/>
                <w:color w:val="000000"/>
              </w:rPr>
              <w:t>10℃/min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5.1过热断电：炉膛温度≥1850℃时，系统在200ms内切断主加热电源；</w:t>
            </w:r>
          </w:p>
          <w:p>
            <w:pPr>
              <w:pStyle w:val="null3"/>
              <w:jc w:val="both"/>
            </w:pPr>
            <w:r>
              <w:rPr>
                <w:rFonts w:ascii="仿宋_GB2312" w:hAnsi="仿宋_GB2312" w:cs="仿宋_GB2312" w:eastAsia="仿宋_GB2312"/>
                <w:sz w:val="21"/>
                <w:color w:val="000000"/>
              </w:rPr>
              <w:t>5.2断偶保护：任一热电偶信号中断或异常（开路、短路或超量程），系统立即停机并锁定操作界面；</w:t>
            </w:r>
          </w:p>
          <w:p>
            <w:pPr>
              <w:pStyle w:val="null3"/>
              <w:jc w:val="both"/>
            </w:pPr>
            <w:r>
              <w:rPr>
                <w:rFonts w:ascii="仿宋_GB2312" w:hAnsi="仿宋_GB2312" w:cs="仿宋_GB2312" w:eastAsia="仿宋_GB2312"/>
                <w:sz w:val="21"/>
                <w:color w:val="000000"/>
              </w:rPr>
              <w:t>5.3过流保护：加热电流超过额定值110%时，断路器须在50 ms内动作，并记录故障电流波形；</w:t>
            </w:r>
          </w:p>
          <w:p>
            <w:pPr>
              <w:pStyle w:val="null3"/>
            </w:pPr>
            <w:r>
              <w:rPr>
                <w:rFonts w:ascii="仿宋_GB2312" w:hAnsi="仿宋_GB2312" w:cs="仿宋_GB2312" w:eastAsia="仿宋_GB2312"/>
                <w:sz w:val="21"/>
                <w:color w:val="000000"/>
              </w:rPr>
              <w:t>5.4故障自诊断：记录故障类型、发生时间、温度曲线、电源状态，存储容量≥1000条。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二、高真空系统参数要求：</w:t>
            </w:r>
          </w:p>
          <w:p>
            <w:pPr>
              <w:pStyle w:val="null3"/>
              <w:jc w:val="both"/>
            </w:pPr>
            <w:r>
              <w:rPr>
                <w:rFonts w:ascii="仿宋_GB2312" w:hAnsi="仿宋_GB2312" w:cs="仿宋_GB2312" w:eastAsia="仿宋_GB2312"/>
                <w:sz w:val="21"/>
                <w:color w:val="000000"/>
              </w:rPr>
              <w:t>（一）机械泵</w:t>
            </w:r>
          </w:p>
          <w:p>
            <w:pPr>
              <w:pStyle w:val="null3"/>
              <w:jc w:val="both"/>
            </w:pPr>
            <w:r>
              <w:rPr>
                <w:rFonts w:ascii="仿宋_GB2312" w:hAnsi="仿宋_GB2312" w:cs="仿宋_GB2312" w:eastAsia="仿宋_GB2312"/>
                <w:sz w:val="21"/>
                <w:color w:val="000000"/>
              </w:rPr>
              <w:t>1.抽气速率：≥3</w:t>
            </w:r>
            <w:r>
              <w:rPr>
                <w:rFonts w:ascii="仿宋_GB2312" w:hAnsi="仿宋_GB2312" w:cs="仿宋_GB2312" w:eastAsia="仿宋_GB2312"/>
                <w:sz w:val="21"/>
                <w:color w:val="000000"/>
              </w:rPr>
              <w:t>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真空保持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（二）分子泵机组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涡轮分子泵+前级泵机组，抽气速率</w:t>
            </w:r>
            <w:r>
              <w:rPr>
                <w:rFonts w:ascii="仿宋_GB2312" w:hAnsi="仿宋_GB2312" w:cs="仿宋_GB2312" w:eastAsia="仿宋_GB2312"/>
                <w:sz w:val="21"/>
                <w:color w:val="000000"/>
              </w:rPr>
              <w:t>≥100</w:t>
            </w:r>
            <w:r>
              <w:rPr>
                <w:rFonts w:ascii="仿宋_GB2312" w:hAnsi="仿宋_GB2312" w:cs="仿宋_GB2312" w:eastAsia="仿宋_GB2312"/>
                <w:sz w:val="21"/>
                <w:color w:val="000000"/>
              </w:rPr>
              <w:t>L/s</w:t>
            </w:r>
            <w:r>
              <w:rPr>
                <w:rFonts w:ascii="仿宋_GB2312" w:hAnsi="仿宋_GB2312" w:cs="仿宋_GB2312" w:eastAsia="仿宋_GB2312"/>
                <w:sz w:val="21"/>
                <w:color w:val="000000"/>
              </w:rPr>
              <w:t>、分子泵机组转速≥40000rpm；</w:t>
            </w:r>
          </w:p>
          <w:p>
            <w:pPr>
              <w:pStyle w:val="null3"/>
              <w:jc w:val="both"/>
            </w:pPr>
            <w:r>
              <w:rPr>
                <w:rFonts w:ascii="仿宋_GB2312" w:hAnsi="仿宋_GB2312" w:cs="仿宋_GB2312" w:eastAsia="仿宋_GB2312"/>
                <w:sz w:val="21"/>
                <w:color w:val="000000"/>
              </w:rPr>
              <w:t>2.分子泵</w:t>
            </w:r>
            <w:r>
              <w:rPr>
                <w:rFonts w:ascii="仿宋_GB2312" w:hAnsi="仿宋_GB2312" w:cs="仿宋_GB2312" w:eastAsia="仿宋_GB2312"/>
                <w:sz w:val="21"/>
                <w:color w:val="000000"/>
              </w:rPr>
              <w:t>额定电压220V，频率50Hz；</w:t>
            </w:r>
          </w:p>
          <w:p>
            <w:pPr>
              <w:pStyle w:val="null3"/>
              <w:jc w:val="both"/>
            </w:pPr>
            <w:r>
              <w:rPr>
                <w:rFonts w:ascii="仿宋_GB2312" w:hAnsi="仿宋_GB2312" w:cs="仿宋_GB2312" w:eastAsia="仿宋_GB2312"/>
                <w:sz w:val="21"/>
                <w:color w:val="000000"/>
              </w:rPr>
              <w:t>3.真空系统模块化集成，所有泵组、管道、传感器集中安装于一体化不锈钢框架内，预留标准接口；配备数字真空计与彩色触摸屏操作面板；底座配置制式滚轮，承重≥250kg。</w:t>
            </w:r>
          </w:p>
          <w:p>
            <w:pPr>
              <w:pStyle w:val="null3"/>
              <w:jc w:val="both"/>
            </w:pPr>
            <w:r>
              <w:rPr>
                <w:rFonts w:ascii="仿宋_GB2312" w:hAnsi="仿宋_GB2312" w:cs="仿宋_GB2312" w:eastAsia="仿宋_GB2312"/>
                <w:sz w:val="21"/>
                <w:color w:val="000000"/>
              </w:rPr>
              <w:t>（三）水冷机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.水冷机额定电压380V，频率50Hz；</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冷却方式：风冷式，</w:t>
            </w: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25KW，冷却循环水流量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 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水温</w:t>
            </w:r>
            <w:r>
              <w:rPr>
                <w:rFonts w:ascii="仿宋_GB2312" w:hAnsi="仿宋_GB2312" w:cs="仿宋_GB2312" w:eastAsia="仿宋_GB2312"/>
                <w:sz w:val="21"/>
                <w:color w:val="000000"/>
              </w:rPr>
              <w:t>≤</w:t>
            </w:r>
            <w:r>
              <w:rPr>
                <w:rFonts w:ascii="仿宋_GB2312" w:hAnsi="仿宋_GB2312" w:cs="仿宋_GB2312" w:eastAsia="仿宋_GB2312"/>
                <w:sz w:val="21"/>
                <w:color w:val="000000"/>
              </w:rPr>
              <w:t>30℃，控温精度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水箱容量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150L</w:t>
            </w:r>
            <w:r>
              <w:rPr>
                <w:rFonts w:ascii="仿宋_GB2312" w:hAnsi="仿宋_GB2312" w:cs="仿宋_GB2312" w:eastAsia="仿宋_GB2312"/>
                <w:sz w:val="21"/>
                <w:color w:val="000000"/>
              </w:rPr>
              <w:t>，</w:t>
            </w:r>
            <w:r>
              <w:rPr>
                <w:rFonts w:ascii="仿宋_GB2312" w:hAnsi="仿宋_GB2312" w:cs="仿宋_GB2312" w:eastAsia="仿宋_GB2312"/>
                <w:sz w:val="21"/>
                <w:color w:val="000000"/>
              </w:rPr>
              <w:t>水泵扬程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5.1超温断电：冷却水出口温度≥35℃时，系统在100 ms内切断主泵电源并启动声光报警；</w:t>
            </w:r>
          </w:p>
          <w:p>
            <w:pPr>
              <w:pStyle w:val="null3"/>
              <w:jc w:val="both"/>
            </w:pPr>
            <w:r>
              <w:rPr>
                <w:rFonts w:ascii="仿宋_GB2312" w:hAnsi="仿宋_GB2312" w:cs="仿宋_GB2312" w:eastAsia="仿宋_GB2312"/>
                <w:sz w:val="21"/>
                <w:color w:val="000000"/>
              </w:rPr>
              <w:t>5.2低压报警：循环水压力≤0.08 MPa时，声光报警+操作界面弹窗提示，5 s后自动停机；</w:t>
            </w:r>
          </w:p>
          <w:p>
            <w:pPr>
              <w:pStyle w:val="null3"/>
              <w:jc w:val="both"/>
            </w:pPr>
            <w:r>
              <w:rPr>
                <w:rFonts w:ascii="仿宋_GB2312" w:hAnsi="仿宋_GB2312" w:cs="仿宋_GB2312" w:eastAsia="仿宋_GB2312"/>
                <w:sz w:val="21"/>
                <w:color w:val="000000"/>
              </w:rPr>
              <w:t>5.3过流/过载保护：电机电流超限110%时，50 ms内动作并记录故障电流波形；</w:t>
            </w:r>
          </w:p>
          <w:p>
            <w:pPr>
              <w:pStyle w:val="null3"/>
            </w:pPr>
            <w:r>
              <w:rPr>
                <w:rFonts w:ascii="仿宋_GB2312" w:hAnsi="仿宋_GB2312" w:cs="仿宋_GB2312" w:eastAsia="仿宋_GB2312"/>
                <w:sz w:val="21"/>
                <w:color w:val="000000"/>
              </w:rPr>
              <w:t>5.4报警信号：声光报警或操作界面报警。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三、真空/气氛封管系统参数要求：</w:t>
            </w:r>
          </w:p>
          <w:p>
            <w:pPr>
              <w:pStyle w:val="null3"/>
              <w:jc w:val="both"/>
            </w:pPr>
            <w:r>
              <w:rPr>
                <w:rFonts w:ascii="仿宋_GB2312" w:hAnsi="仿宋_GB2312" w:cs="仿宋_GB2312" w:eastAsia="仿宋_GB2312"/>
                <w:sz w:val="21"/>
                <w:color w:val="000000"/>
              </w:rPr>
              <w:t>（一）氢氧焰熔封机</w:t>
            </w:r>
          </w:p>
          <w:p>
            <w:pPr>
              <w:pStyle w:val="null3"/>
              <w:jc w:val="both"/>
            </w:pPr>
            <w:r>
              <w:rPr>
                <w:rFonts w:ascii="仿宋_GB2312" w:hAnsi="仿宋_GB2312" w:cs="仿宋_GB2312" w:eastAsia="仿宋_GB2312"/>
                <w:sz w:val="21"/>
                <w:color w:val="000000"/>
              </w:rPr>
              <w:t xml:space="preserve">1.燃气比例：氢氧混合气体体积比 </w:t>
            </w:r>
            <w:r>
              <w:rPr>
                <w:rFonts w:ascii="仿宋_GB2312" w:hAnsi="仿宋_GB2312" w:cs="仿宋_GB2312" w:eastAsia="仿宋_GB2312"/>
                <w:sz w:val="21"/>
                <w:color w:val="000000"/>
              </w:rPr>
              <w:t>2:1；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2.氢氧焰产气量≥1000L/h，火焰温度≥2500℃；</w:t>
            </w:r>
          </w:p>
          <w:p>
            <w:pPr>
              <w:pStyle w:val="null3"/>
              <w:jc w:val="both"/>
            </w:pPr>
            <w:r>
              <w:rPr>
                <w:rFonts w:ascii="仿宋_GB2312" w:hAnsi="仿宋_GB2312" w:cs="仿宋_GB2312" w:eastAsia="仿宋_GB2312"/>
                <w:sz w:val="21"/>
                <w:color w:val="000000"/>
              </w:rPr>
              <w:t>3.安全防护机制：</w:t>
            </w:r>
            <w:r>
              <w:rPr>
                <w:rFonts w:ascii="仿宋_GB2312" w:hAnsi="仿宋_GB2312" w:cs="仿宋_GB2312" w:eastAsia="仿宋_GB2312"/>
                <w:sz w:val="21"/>
                <w:color w:val="000000"/>
              </w:rPr>
              <w:t>高低压保护、低压报警、回火防止，</w:t>
            </w:r>
            <w:r>
              <w:rPr>
                <w:rFonts w:ascii="仿宋_GB2312" w:hAnsi="仿宋_GB2312" w:cs="仿宋_GB2312" w:eastAsia="仿宋_GB2312"/>
                <w:sz w:val="21"/>
                <w:color w:val="000000"/>
              </w:rPr>
              <w:t>声光报警或操作界面报警</w:t>
            </w:r>
            <w:r>
              <w:rPr>
                <w:rFonts w:ascii="仿宋_GB2312" w:hAnsi="仿宋_GB2312" w:cs="仿宋_GB2312" w:eastAsia="仿宋_GB2312"/>
                <w:sz w:val="21"/>
                <w:color w:val="000000"/>
              </w:rPr>
              <w:t>提示。</w:t>
            </w:r>
          </w:p>
          <w:p>
            <w:pPr>
              <w:pStyle w:val="null3"/>
              <w:jc w:val="both"/>
            </w:pPr>
            <w:r>
              <w:rPr>
                <w:rFonts w:ascii="仿宋_GB2312" w:hAnsi="仿宋_GB2312" w:cs="仿宋_GB2312" w:eastAsia="仿宋_GB2312"/>
                <w:sz w:val="21"/>
                <w:color w:val="000000"/>
              </w:rPr>
              <w:t>（二）玻璃管真空封管机</w:t>
            </w:r>
          </w:p>
          <w:p>
            <w:pPr>
              <w:pStyle w:val="null3"/>
              <w:jc w:val="both"/>
            </w:pPr>
            <w:r>
              <w:rPr>
                <w:rFonts w:ascii="仿宋_GB2312" w:hAnsi="仿宋_GB2312" w:cs="仿宋_GB2312" w:eastAsia="仿宋_GB2312"/>
                <w:sz w:val="21"/>
                <w:color w:val="000000"/>
              </w:rPr>
              <w:t>1.空载极限真空度：≤5×10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2.抽气机组配置：高真空抽气机组，对空气名义抽速需与腔体容积匹配，快速达到试验要求的高真空环境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3.气氛控制功能：支持真空状态下惰性气氛回填，气氛纯度与充气压力可调控。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旋转封管转速范围：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35rpm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5.兼容管径：Φ30或Φ45mm的玻璃管或石英管。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接采购人书面通知后35个日历日完成供货。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 （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 （3）本项目可兼投不兼中，供应商可参与多个包投标，但只能成为一个包的第一中标候选人；若已成为一个包的第一中标候选人，在后续包中再次排名得分第一则不能成为第一中标候选人，评标顺序按照包顺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完全符合、响应招标文件要求，没有负偏离的得32分；“▲”参数（共9项）负偏离一项扣2.5分，非“▲”参数（共19项）负偏离一项扣0.5分，扣完为止。 【备注：所有标注“▲”的参数均须提供佐证材料，佐证材料包括：国家认可的第三方检测机构出具的检测报告、技术白皮书、官网功能截图任意一种，经评审专家审定得分。未提供不得分。】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根据项目实际需求，提供完整详细的项目实施方案。内容包含①供货组织及进度安排②供货运输方案及安装调试方案。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三、赋分依据（满分4分） ①产品性能、使用寿命及效果：每完全满足一个评审标准得1分，满分2分；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2、可实施性及针对性：切合本项目实际情况，实施步骤清晰、内容科学合理。 三、赋分依据（满分2分） ①培训计划：每完全满足一个评审标准得0.5分，满分1分； ②培训内容:每完全满足一个评审标准得0.5分，满分1分。 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