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9"/>
        <w:jc w:val="center"/>
        <w:outlineLvl w:val="1"/>
        <w:rPr>
          <w:rFonts w:hint="eastAsia" w:ascii="仿宋" w:hAnsi="仿宋" w:eastAsia="仿宋" w:cs="仿宋"/>
        </w:rPr>
      </w:pPr>
      <w:r>
        <w:rPr>
          <w:rFonts w:hint="eastAsia" w:ascii="仿宋" w:hAnsi="仿宋" w:eastAsia="仿宋" w:cs="仿宋"/>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供 货 合 同</w:t>
      </w:r>
    </w:p>
    <w:p w14:paraId="695635FD">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bCs/>
          <w:sz w:val="24"/>
        </w:rPr>
        <w:t>“工业数据采集实训室建设项目”</w:t>
      </w:r>
      <w:r>
        <w:rPr>
          <w:rFonts w:hint="eastAsia" w:ascii="仿宋" w:hAnsi="仿宋" w:eastAsia="仿宋" w:cs="仿宋"/>
          <w:snapToGrid w:val="0"/>
          <w:kern w:val="0"/>
          <w:sz w:val="24"/>
        </w:rPr>
        <w:t>（项目编号：</w:t>
      </w:r>
      <w:r>
        <w:rPr>
          <w:rFonts w:hint="eastAsia" w:ascii="仿宋" w:hAnsi="仿宋" w:eastAsia="仿宋" w:cs="仿宋"/>
          <w:sz w:val="24"/>
        </w:rPr>
        <w:t>SNJZ-2026-126）</w:t>
      </w:r>
      <w:r>
        <w:rPr>
          <w:rFonts w:hint="eastAsia" w:ascii="仿宋" w:hAnsi="仿宋" w:eastAsia="仿宋" w:cs="仿宋"/>
          <w:snapToGrid w:val="0"/>
          <w:kern w:val="0"/>
          <w:sz w:val="24"/>
        </w:rPr>
        <w:t>,由陕西教育招标有限责任公司组织招标采购,</w:t>
      </w:r>
      <w:r>
        <w:rPr>
          <w:rFonts w:hint="eastAsia" w:ascii="仿宋" w:hAnsi="仿宋" w:eastAsia="仿宋" w:cs="仿宋"/>
          <w:snapToGrid w:val="0"/>
          <w:kern w:val="0"/>
          <w:sz w:val="24"/>
          <w:u w:val="single"/>
        </w:rPr>
        <w:t xml:space="preserve">   （采购人）</w:t>
      </w:r>
      <w:r>
        <w:rPr>
          <w:rFonts w:hint="eastAsia" w:ascii="仿宋" w:hAnsi="仿宋" w:eastAsia="仿宋" w:cs="仿宋"/>
          <w:b/>
          <w:sz w:val="24"/>
          <w:u w:val="single"/>
        </w:rPr>
        <w:t xml:space="preserve"> </w:t>
      </w:r>
      <w:r>
        <w:rPr>
          <w:rFonts w:hint="eastAsia" w:ascii="仿宋" w:hAnsi="仿宋" w:eastAsia="仿宋" w:cs="仿宋"/>
          <w:sz w:val="24"/>
        </w:rPr>
        <w:t>(以下简称“买方”)</w:t>
      </w:r>
      <w:r>
        <w:rPr>
          <w:rFonts w:hint="eastAsia" w:ascii="仿宋" w:hAnsi="仿宋" w:eastAsia="仿宋" w:cs="仿宋"/>
          <w:snapToGrid w:val="0"/>
          <w:kern w:val="0"/>
          <w:sz w:val="24"/>
        </w:rPr>
        <w:t>确定</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u w:val="single"/>
        </w:rPr>
        <w:t xml:space="preserve">中标人名称  </w:t>
      </w:r>
      <w:r>
        <w:rPr>
          <w:rFonts w:hint="eastAsia" w:ascii="仿宋" w:hAnsi="仿宋" w:eastAsia="仿宋" w:cs="仿宋"/>
          <w:snapToGrid w:val="0"/>
          <w:kern w:val="0"/>
          <w:sz w:val="24"/>
        </w:rPr>
        <w:t>（以下简称“卖方”）</w:t>
      </w:r>
      <w:r>
        <w:rPr>
          <w:rFonts w:hint="eastAsia" w:ascii="仿宋" w:hAnsi="仿宋" w:eastAsia="仿宋" w:cs="仿宋"/>
          <w:kern w:val="0"/>
          <w:sz w:val="24"/>
        </w:rPr>
        <w:t>为中标供应商。</w:t>
      </w:r>
    </w:p>
    <w:p w14:paraId="65DD9FD9">
      <w:pPr>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依据《中华人民共和国民法典》和《中华人民共和国政府采购法》，经双方协商，于</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日按下述条款和条件签署本合同。</w:t>
      </w:r>
    </w:p>
    <w:p w14:paraId="6A9110C0">
      <w:pPr>
        <w:pStyle w:val="12"/>
        <w:spacing w:line="360" w:lineRule="auto"/>
        <w:ind w:firstLine="480"/>
        <w:rPr>
          <w:rFonts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(以下简称“合同价”)提供上述货物及服务。</w:t>
      </w:r>
    </w:p>
    <w:p w14:paraId="2F70CF0D">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本合同在此声明如下：</w:t>
      </w:r>
    </w:p>
    <w:p w14:paraId="5DD8199F">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0BC75E80">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63BC7084">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⑴ 合同通用条款；</w:t>
      </w:r>
    </w:p>
    <w:p w14:paraId="658A1565">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⑵ 合同条款附件；</w:t>
      </w:r>
    </w:p>
    <w:p w14:paraId="7B241499">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⑶ 中标通知书；</w:t>
      </w:r>
    </w:p>
    <w:p w14:paraId="223CB136">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⑷ 招标文件；</w:t>
      </w:r>
    </w:p>
    <w:p w14:paraId="47C0B736">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⑸ 投标文件。</w:t>
      </w:r>
    </w:p>
    <w:p w14:paraId="313B60A1">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kern w:val="0"/>
          <w:sz w:val="24"/>
        </w:rPr>
        <w:t>5.</w:t>
      </w:r>
      <w:r>
        <w:rPr>
          <w:rFonts w:hint="eastAsia" w:ascii="仿宋" w:hAnsi="仿宋" w:eastAsia="仿宋" w:cs="仿宋"/>
          <w:snapToGrid w:val="0"/>
          <w:kern w:val="0"/>
          <w:sz w:val="24"/>
        </w:rPr>
        <w:t>本合同一式</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份，其中，买方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份，卖方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份，鉴证方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壹 </w:t>
      </w:r>
      <w:r>
        <w:rPr>
          <w:rFonts w:hint="eastAsia" w:ascii="仿宋" w:hAnsi="仿宋" w:eastAsia="仿宋" w:cs="仿宋"/>
          <w:snapToGrid w:val="0"/>
          <w:kern w:val="0"/>
          <w:sz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A2C39C1">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买方名称：</w:t>
            </w:r>
          </w:p>
          <w:p w14:paraId="47544365">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买方地址：</w:t>
            </w:r>
          </w:p>
          <w:p w14:paraId="7A79E2DA">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电    话：</w:t>
            </w:r>
          </w:p>
          <w:p w14:paraId="1B9E1AE7">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传    真：</w:t>
            </w:r>
          </w:p>
          <w:p w14:paraId="11DC9C29">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邮    编：</w:t>
            </w:r>
          </w:p>
          <w:p w14:paraId="0F505F29">
            <w:pPr>
              <w:autoSpaceDE w:val="0"/>
              <w:autoSpaceDN w:val="0"/>
              <w:spacing w:line="339" w:lineRule="auto"/>
              <w:rPr>
                <w:rFonts w:ascii="仿宋" w:hAnsi="仿宋" w:eastAsia="仿宋" w:cs="仿宋"/>
                <w:kern w:val="0"/>
                <w:sz w:val="24"/>
              </w:rPr>
            </w:pPr>
          </w:p>
          <w:p w14:paraId="16E6EC29">
            <w:pPr>
              <w:autoSpaceDE w:val="0"/>
              <w:autoSpaceDN w:val="0"/>
              <w:spacing w:line="339" w:lineRule="auto"/>
              <w:rPr>
                <w:rFonts w:ascii="仿宋" w:hAnsi="仿宋" w:eastAsia="仿宋" w:cs="仿宋"/>
                <w:kern w:val="0"/>
                <w:sz w:val="24"/>
              </w:rPr>
            </w:pPr>
          </w:p>
          <w:p w14:paraId="5E7317F1">
            <w:pPr>
              <w:autoSpaceDE w:val="0"/>
              <w:autoSpaceDN w:val="0"/>
              <w:spacing w:line="339" w:lineRule="auto"/>
              <w:rPr>
                <w:rFonts w:ascii="仿宋" w:hAnsi="仿宋" w:eastAsia="仿宋" w:cs="仿宋"/>
                <w:kern w:val="0"/>
                <w:sz w:val="24"/>
              </w:rPr>
            </w:pPr>
            <w:r>
              <w:rPr>
                <w:rFonts w:hint="eastAsia" w:ascii="仿宋" w:hAnsi="仿宋" w:eastAsia="仿宋" w:cs="仿宋"/>
                <w:kern w:val="0"/>
                <w:sz w:val="24"/>
              </w:rPr>
              <w:t>买方代表签字：</w:t>
            </w:r>
          </w:p>
          <w:p w14:paraId="740C2328">
            <w:pPr>
              <w:autoSpaceDE w:val="0"/>
              <w:autoSpaceDN w:val="0"/>
              <w:spacing w:line="339" w:lineRule="auto"/>
              <w:rPr>
                <w:rFonts w:ascii="仿宋" w:hAnsi="仿宋" w:eastAsia="仿宋" w:cs="仿宋"/>
                <w:kern w:val="0"/>
                <w:sz w:val="24"/>
              </w:rPr>
            </w:pPr>
          </w:p>
          <w:p w14:paraId="2EBFCB75">
            <w:pPr>
              <w:spacing w:line="339" w:lineRule="auto"/>
              <w:rPr>
                <w:rFonts w:ascii="仿宋" w:hAnsi="仿宋" w:eastAsia="仿宋" w:cs="仿宋"/>
                <w:kern w:val="0"/>
                <w:sz w:val="24"/>
              </w:rPr>
            </w:pPr>
            <w:r>
              <w:rPr>
                <w:rFonts w:hint="eastAsia" w:ascii="仿宋" w:hAnsi="仿宋" w:eastAsia="仿宋" w:cs="仿宋"/>
                <w:spacing w:val="7"/>
                <w:kern w:val="0"/>
                <w:sz w:val="24"/>
              </w:rPr>
              <w:t>买 方 盖 章</w:t>
            </w:r>
            <w:r>
              <w:rPr>
                <w:rFonts w:hint="eastAsia" w:ascii="仿宋" w:hAnsi="仿宋" w:eastAsia="仿宋" w:cs="仿宋"/>
                <w:kern w:val="0"/>
                <w:sz w:val="24"/>
              </w:rPr>
              <w:t>：</w:t>
            </w:r>
          </w:p>
        </w:tc>
        <w:tc>
          <w:tcPr>
            <w:tcW w:w="4196" w:type="dxa"/>
          </w:tcPr>
          <w:p w14:paraId="33912CB6">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卖方名称：</w:t>
            </w:r>
          </w:p>
          <w:p w14:paraId="7805C171">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卖方地址：</w:t>
            </w:r>
          </w:p>
          <w:p w14:paraId="630753E1">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电    话：</w:t>
            </w:r>
          </w:p>
          <w:p w14:paraId="1934187C">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传    真：</w:t>
            </w:r>
          </w:p>
          <w:p w14:paraId="35E2CFBC">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邮    编：</w:t>
            </w:r>
          </w:p>
          <w:p w14:paraId="114A510D">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开户银行：</w:t>
            </w:r>
          </w:p>
          <w:p w14:paraId="1A268249">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帐    号：</w:t>
            </w:r>
          </w:p>
          <w:p w14:paraId="64A933E1">
            <w:pPr>
              <w:autoSpaceDE w:val="0"/>
              <w:autoSpaceDN w:val="0"/>
              <w:spacing w:line="339" w:lineRule="auto"/>
              <w:ind w:firstLine="240" w:firstLineChars="100"/>
              <w:rPr>
                <w:rFonts w:ascii="仿宋" w:hAnsi="仿宋" w:eastAsia="仿宋" w:cs="仿宋"/>
                <w:kern w:val="0"/>
                <w:sz w:val="24"/>
              </w:rPr>
            </w:pPr>
            <w:r>
              <w:rPr>
                <w:rFonts w:hint="eastAsia" w:ascii="仿宋" w:hAnsi="仿宋" w:eastAsia="仿宋" w:cs="仿宋"/>
                <w:kern w:val="0"/>
                <w:sz w:val="24"/>
              </w:rPr>
              <w:t>卖方代表签字：</w:t>
            </w:r>
          </w:p>
          <w:p w14:paraId="1599FFAA">
            <w:pPr>
              <w:autoSpaceDE w:val="0"/>
              <w:autoSpaceDN w:val="0"/>
              <w:spacing w:line="339" w:lineRule="auto"/>
              <w:ind w:firstLine="240" w:firstLineChars="100"/>
              <w:rPr>
                <w:rFonts w:ascii="仿宋" w:hAnsi="仿宋" w:eastAsia="仿宋" w:cs="仿宋"/>
                <w:kern w:val="0"/>
                <w:sz w:val="24"/>
              </w:rPr>
            </w:pPr>
          </w:p>
          <w:p w14:paraId="5AEA4E23">
            <w:pPr>
              <w:spacing w:line="339" w:lineRule="auto"/>
              <w:ind w:firstLine="254" w:firstLineChars="100"/>
              <w:rPr>
                <w:rFonts w:ascii="仿宋" w:hAnsi="仿宋" w:eastAsia="仿宋" w:cs="仿宋"/>
                <w:b/>
                <w:sz w:val="24"/>
              </w:rPr>
            </w:pPr>
            <w:r>
              <w:rPr>
                <w:rFonts w:hint="eastAsia" w:ascii="仿宋" w:hAnsi="仿宋" w:eastAsia="仿宋" w:cs="仿宋"/>
                <w:spacing w:val="7"/>
                <w:kern w:val="0"/>
                <w:sz w:val="24"/>
              </w:rPr>
              <w:t>卖 方 盖 章</w:t>
            </w:r>
            <w:r>
              <w:rPr>
                <w:rFonts w:hint="eastAsia" w:ascii="仿宋" w:hAnsi="仿宋" w:eastAsia="仿宋" w:cs="仿宋"/>
                <w:kern w:val="0"/>
                <w:sz w:val="24"/>
              </w:rPr>
              <w:t>：</w:t>
            </w:r>
          </w:p>
        </w:tc>
      </w:tr>
    </w:tbl>
    <w:p w14:paraId="3BC2145C">
      <w:pPr>
        <w:spacing w:before="240" w:beforeLines="100" w:line="420" w:lineRule="exact"/>
        <w:ind w:firstLine="482" w:firstLineChars="200"/>
        <w:rPr>
          <w:rFonts w:hint="eastAsia" w:ascii="仿宋" w:hAnsi="仿宋" w:eastAsia="仿宋" w:cs="仿宋"/>
          <w:sz w:val="24"/>
        </w:rPr>
      </w:pPr>
      <w:bookmarkStart w:id="0" w:name="_GoBack"/>
      <w:r>
        <w:rPr>
          <w:rFonts w:hint="eastAsia" w:ascii="仿宋" w:hAnsi="仿宋" w:eastAsia="仿宋" w:cs="仿宋"/>
          <w:b/>
          <w:bCs/>
          <w:sz w:val="24"/>
        </w:rPr>
        <w:t>鉴证方名称</w:t>
      </w:r>
      <w:r>
        <w:rPr>
          <w:rFonts w:hint="eastAsia" w:ascii="仿宋" w:hAnsi="仿宋" w:eastAsia="仿宋" w:cs="仿宋"/>
          <w:sz w:val="24"/>
        </w:rPr>
        <w:t>：陕西教育招标有限责任公司（鉴证方</w:t>
      </w:r>
      <w:r>
        <w:rPr>
          <w:rFonts w:hint="eastAsia" w:ascii="仿宋" w:hAnsi="仿宋" w:eastAsia="仿宋" w:cs="仿宋"/>
          <w:spacing w:val="7"/>
          <w:kern w:val="0"/>
          <w:sz w:val="24"/>
        </w:rPr>
        <w:t>盖章</w:t>
      </w:r>
      <w:r>
        <w:rPr>
          <w:rFonts w:hint="eastAsia" w:ascii="仿宋" w:hAnsi="仿宋" w:eastAsia="仿宋" w:cs="仿宋"/>
          <w:sz w:val="24"/>
        </w:rPr>
        <w:t>）</w:t>
      </w:r>
    </w:p>
    <w:p w14:paraId="3D9881AB">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鉴证方地址</w:t>
      </w:r>
      <w:r>
        <w:rPr>
          <w:rFonts w:hint="eastAsia" w:ascii="仿宋" w:hAnsi="仿宋" w:eastAsia="仿宋" w:cs="仿宋"/>
          <w:sz w:val="24"/>
        </w:rPr>
        <w:t xml:space="preserve">：西安市太白南路181号西部电子社区A座B区401  </w:t>
      </w:r>
    </w:p>
    <w:p w14:paraId="1E77BA58">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邮编</w:t>
      </w:r>
      <w:r>
        <w:rPr>
          <w:rFonts w:hint="eastAsia" w:ascii="仿宋" w:hAnsi="仿宋" w:eastAsia="仿宋" w:cs="仿宋"/>
          <w:sz w:val="24"/>
        </w:rPr>
        <w:t>：710065</w:t>
      </w:r>
    </w:p>
    <w:p w14:paraId="2A583F72">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电话</w:t>
      </w:r>
      <w:r>
        <w:rPr>
          <w:rFonts w:hint="eastAsia" w:ascii="仿宋" w:hAnsi="仿宋" w:eastAsia="仿宋" w:cs="仿宋"/>
          <w:sz w:val="24"/>
        </w:rPr>
        <w:t>：029-88224929</w:t>
      </w:r>
    </w:p>
    <w:p w14:paraId="4A578B76">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传真</w:t>
      </w:r>
      <w:r>
        <w:rPr>
          <w:rFonts w:hint="eastAsia" w:ascii="仿宋" w:hAnsi="仿宋" w:eastAsia="仿宋" w:cs="仿宋"/>
          <w:sz w:val="24"/>
        </w:rPr>
        <w:t>：029-88222461</w:t>
      </w:r>
    </w:p>
    <w:bookmarkEnd w:id="0"/>
    <w:p w14:paraId="3FC4A2CD">
      <w:pPr>
        <w:autoSpaceDE w:val="0"/>
        <w:autoSpaceDN w:val="0"/>
        <w:adjustRightIn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br w:type="page"/>
      </w:r>
      <w:r>
        <w:rPr>
          <w:rFonts w:hint="eastAsia" w:ascii="仿宋" w:hAnsi="仿宋" w:eastAsia="仿宋" w:cs="仿宋"/>
          <w:b/>
          <w:kern w:val="0"/>
          <w:sz w:val="24"/>
        </w:rPr>
        <w:t>1.定义</w:t>
      </w:r>
    </w:p>
    <w:p w14:paraId="08B93FD5">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本合同下列术语应解释为：</w:t>
      </w:r>
    </w:p>
    <w:p w14:paraId="082DEF03">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6)“买方”系指合同中所述购买货物和服务的单位。</w:t>
      </w:r>
    </w:p>
    <w:p w14:paraId="378DB991">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9)“天”指日历天数。</w:t>
      </w:r>
    </w:p>
    <w:p w14:paraId="44434D0B">
      <w:pPr>
        <w:spacing w:line="440" w:lineRule="exact"/>
        <w:ind w:firstLine="482" w:firstLineChars="200"/>
        <w:rPr>
          <w:rFonts w:ascii="仿宋" w:hAnsi="仿宋" w:eastAsia="仿宋" w:cs="仿宋"/>
          <w:b/>
          <w:sz w:val="24"/>
        </w:rPr>
      </w:pPr>
      <w:r>
        <w:rPr>
          <w:rFonts w:hint="eastAsia" w:ascii="仿宋" w:hAnsi="仿宋" w:eastAsia="仿宋" w:cs="仿宋"/>
          <w:b/>
          <w:sz w:val="24"/>
        </w:rPr>
        <w:t>2.适用性</w:t>
      </w:r>
    </w:p>
    <w:p w14:paraId="369AA287">
      <w:pPr>
        <w:spacing w:line="440" w:lineRule="exact"/>
        <w:ind w:firstLine="480" w:firstLineChars="200"/>
        <w:rPr>
          <w:rFonts w:ascii="仿宋" w:hAnsi="仿宋" w:eastAsia="仿宋" w:cs="仿宋"/>
          <w:sz w:val="24"/>
        </w:rPr>
      </w:pPr>
      <w:r>
        <w:rPr>
          <w:rFonts w:hint="eastAsia" w:ascii="仿宋" w:hAnsi="仿宋" w:eastAsia="仿宋" w:cs="仿宋"/>
          <w:sz w:val="24"/>
        </w:rPr>
        <w:t>2.1 本合同条款适用于没有被本合同其他部分的条款所取代的范围。</w:t>
      </w:r>
    </w:p>
    <w:p w14:paraId="7930D8F6">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3.技术规格</w:t>
      </w:r>
    </w:p>
    <w:p w14:paraId="27BA75E7">
      <w:pPr>
        <w:spacing w:line="440" w:lineRule="exact"/>
        <w:ind w:firstLine="470" w:firstLineChars="196"/>
        <w:rPr>
          <w:rFonts w:ascii="仿宋" w:hAnsi="仿宋" w:eastAsia="仿宋" w:cs="仿宋"/>
          <w:b/>
          <w:kern w:val="0"/>
          <w:sz w:val="24"/>
        </w:rPr>
      </w:pPr>
      <w:r>
        <w:rPr>
          <w:rFonts w:hint="eastAsia" w:ascii="仿宋" w:hAnsi="仿宋" w:eastAsia="仿宋" w:cs="仿宋"/>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3.2 除非技术规格中另有规定，计量单位均采用中华人民共和国法定计量单位。</w:t>
      </w:r>
    </w:p>
    <w:p w14:paraId="4DCF289F">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4.专利权</w:t>
      </w:r>
    </w:p>
    <w:p w14:paraId="615644C4">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5.</w:t>
      </w:r>
      <w:r>
        <w:rPr>
          <w:rFonts w:hint="eastAsia" w:ascii="仿宋" w:hAnsi="仿宋" w:eastAsia="仿宋" w:cs="仿宋"/>
          <w:sz w:val="24"/>
        </w:rPr>
        <w:t xml:space="preserve"> </w:t>
      </w:r>
      <w:r>
        <w:rPr>
          <w:rFonts w:hint="eastAsia" w:ascii="仿宋" w:hAnsi="仿宋" w:eastAsia="仿宋" w:cs="仿宋"/>
          <w:b/>
          <w:kern w:val="0"/>
          <w:sz w:val="24"/>
        </w:rPr>
        <w:t>质保期</w:t>
      </w:r>
    </w:p>
    <w:p w14:paraId="2BD8B2F9">
      <w:pPr>
        <w:adjustRightInd w:val="0"/>
        <w:snapToGrid w:val="0"/>
        <w:spacing w:line="440" w:lineRule="exact"/>
        <w:ind w:firstLine="480" w:firstLineChars="200"/>
        <w:rPr>
          <w:rFonts w:hint="eastAsia" w:ascii="仿宋" w:hAnsi="仿宋" w:eastAsia="仿宋" w:cs="仿宋"/>
          <w:sz w:val="24"/>
        </w:rPr>
      </w:pPr>
      <w:r>
        <w:rPr>
          <w:rFonts w:hint="eastAsia" w:ascii="仿宋" w:hAnsi="仿宋" w:eastAsia="仿宋" w:cs="仿宋"/>
          <w:kern w:val="0"/>
          <w:sz w:val="24"/>
        </w:rPr>
        <w:t>5.1</w:t>
      </w:r>
      <w:r>
        <w:rPr>
          <w:rFonts w:hint="eastAsia" w:ascii="仿宋" w:hAnsi="仿宋" w:eastAsia="仿宋" w:cs="仿宋"/>
          <w:sz w:val="24"/>
        </w:rPr>
        <w:t>货物的质保期自验收合格之日起不少于</w:t>
      </w:r>
      <w:r>
        <w:rPr>
          <w:rFonts w:hint="eastAsia" w:ascii="仿宋" w:hAnsi="仿宋" w:eastAsia="仿宋" w:cs="仿宋"/>
          <w:sz w:val="24"/>
          <w:u w:val="single"/>
          <w:lang w:val="en-US" w:eastAsia="zh-CN"/>
        </w:rPr>
        <w:t>36</w:t>
      </w:r>
      <w:r>
        <w:rPr>
          <w:rFonts w:hint="eastAsia" w:ascii="仿宋" w:hAnsi="仿宋" w:eastAsia="仿宋" w:cs="仿宋"/>
          <w:sz w:val="24"/>
        </w:rPr>
        <w:t>个月。</w:t>
      </w:r>
    </w:p>
    <w:p w14:paraId="265201A4">
      <w:pPr>
        <w:adjustRightInd w:val="0"/>
        <w:snapToGrid w:val="0"/>
        <w:spacing w:line="440" w:lineRule="exact"/>
        <w:ind w:firstLine="480" w:firstLineChars="200"/>
        <w:rPr>
          <w:rFonts w:hint="eastAsia" w:ascii="仿宋" w:hAnsi="仿宋" w:eastAsia="仿宋" w:cs="仿宋"/>
          <w:sz w:val="24"/>
          <w:lang w:eastAsia="zh-CN"/>
        </w:rPr>
      </w:pPr>
      <w:r>
        <w:rPr>
          <w:rFonts w:hint="eastAsia" w:ascii="仿宋" w:hAnsi="仿宋" w:eastAsia="仿宋" w:cs="仿宋"/>
          <w:sz w:val="24"/>
        </w:rPr>
        <w:t>5.2 工业接入与建模平台、工业可视化平台均采用永久授权方式，支持采购人在本地服务器或指定环境进行私有化部署。合同价已包含上述软件的授权、部署及正常使用费用，卖方不得另行收取年费、订阅费、平台使用费或授权维持费。自项目验收合格之日起，卖方免费提供不少于5年的软件版本升级和安全补丁服务</w:t>
      </w:r>
      <w:r>
        <w:rPr>
          <w:rFonts w:hint="eastAsia" w:ascii="仿宋" w:hAnsi="仿宋" w:eastAsia="仿宋" w:cs="仿宋"/>
          <w:sz w:val="24"/>
          <w:lang w:eastAsia="zh-CN"/>
        </w:rPr>
        <w:t>。</w:t>
      </w:r>
    </w:p>
    <w:p w14:paraId="6ADCDD1A">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6.</w:t>
      </w:r>
      <w:r>
        <w:rPr>
          <w:rFonts w:hint="eastAsia" w:ascii="仿宋" w:hAnsi="仿宋" w:eastAsia="仿宋" w:cs="仿宋"/>
          <w:sz w:val="24"/>
        </w:rPr>
        <w:t xml:space="preserve"> </w:t>
      </w:r>
      <w:r>
        <w:rPr>
          <w:rFonts w:hint="eastAsia" w:ascii="仿宋" w:hAnsi="仿宋" w:eastAsia="仿宋" w:cs="仿宋"/>
          <w:b/>
          <w:kern w:val="0"/>
          <w:sz w:val="24"/>
        </w:rPr>
        <w:t>运输及安装调试</w:t>
      </w:r>
    </w:p>
    <w:p w14:paraId="7FDC9471">
      <w:pPr>
        <w:adjustRightInd w:val="0"/>
        <w:snapToGrid w:val="0"/>
        <w:spacing w:line="440" w:lineRule="exact"/>
        <w:ind w:firstLine="480" w:firstLineChars="200"/>
        <w:rPr>
          <w:rFonts w:ascii="仿宋" w:hAnsi="仿宋" w:eastAsia="仿宋" w:cs="仿宋"/>
          <w:sz w:val="24"/>
        </w:rPr>
      </w:pPr>
      <w:r>
        <w:rPr>
          <w:rFonts w:hint="eastAsia" w:ascii="仿宋" w:hAnsi="仿宋" w:eastAsia="仿宋" w:cs="仿宋"/>
          <w:kern w:val="0"/>
          <w:sz w:val="24"/>
        </w:rPr>
        <w:t>6.1</w:t>
      </w:r>
      <w:r>
        <w:rPr>
          <w:rFonts w:hint="eastAsia" w:ascii="仿宋" w:hAnsi="仿宋" w:eastAsia="仿宋" w:cs="仿宋"/>
          <w:sz w:val="24"/>
        </w:rPr>
        <w:t>所有货物必须运输至项目地点，卖方负责所有设备的运输、保险、安装、调试。</w:t>
      </w:r>
    </w:p>
    <w:p w14:paraId="115ACD78">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7.</w:t>
      </w:r>
      <w:r>
        <w:rPr>
          <w:rFonts w:hint="eastAsia" w:ascii="仿宋" w:hAnsi="仿宋" w:eastAsia="仿宋" w:cs="仿宋"/>
          <w:sz w:val="24"/>
        </w:rPr>
        <w:t xml:space="preserve"> </w:t>
      </w:r>
      <w:r>
        <w:rPr>
          <w:rFonts w:hint="eastAsia" w:ascii="仿宋" w:hAnsi="仿宋" w:eastAsia="仿宋" w:cs="仿宋"/>
          <w:b/>
          <w:kern w:val="0"/>
          <w:sz w:val="24"/>
        </w:rPr>
        <w:t>货物的验收</w:t>
      </w:r>
    </w:p>
    <w:p w14:paraId="029EBA19">
      <w:pPr>
        <w:spacing w:line="440" w:lineRule="exact"/>
        <w:ind w:firstLine="470" w:firstLineChars="196"/>
        <w:rPr>
          <w:rFonts w:ascii="仿宋" w:hAnsi="仿宋" w:eastAsia="仿宋" w:cs="仿宋"/>
          <w:kern w:val="0"/>
          <w:sz w:val="24"/>
        </w:rPr>
      </w:pPr>
      <w:r>
        <w:rPr>
          <w:rFonts w:hint="eastAsia" w:ascii="仿宋" w:hAnsi="仿宋" w:eastAsia="仿宋" w:cs="仿宋"/>
          <w:kern w:val="0"/>
          <w:sz w:val="24"/>
        </w:rPr>
        <w:t xml:space="preserve">7.1 验收按招标文件“第三章 </w:t>
      </w:r>
      <w:r>
        <w:rPr>
          <w:rFonts w:hint="eastAsia" w:ascii="仿宋" w:hAnsi="仿宋" w:eastAsia="仿宋" w:cs="仿宋"/>
          <w:kern w:val="0"/>
          <w:sz w:val="24"/>
          <w:lang w:eastAsia="zh-Hans"/>
        </w:rPr>
        <w:t>招标项目技术、服务、商务及其他要求</w:t>
      </w:r>
      <w:r>
        <w:rPr>
          <w:rFonts w:hint="eastAsia" w:ascii="仿宋" w:hAnsi="仿宋" w:eastAsia="仿宋" w:cs="仿宋"/>
          <w:kern w:val="0"/>
          <w:sz w:val="24"/>
        </w:rPr>
        <w:t>”执行。</w:t>
      </w:r>
    </w:p>
    <w:p w14:paraId="594826D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7.2 合同条款第7.1条的规定不能免除卖方在本合同项下的保证义务或其他义务。</w:t>
      </w:r>
    </w:p>
    <w:p w14:paraId="0141ADE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8.伴随服务</w:t>
      </w:r>
    </w:p>
    <w:p w14:paraId="67664A0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1）实施或监督所供货物的现场组装和/或试运行；</w:t>
      </w:r>
    </w:p>
    <w:p w14:paraId="7BE8A65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2）提供货物组装和/或维修所需的工具；</w:t>
      </w:r>
    </w:p>
    <w:p w14:paraId="4498077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3）为所供货物的每一适当的单台设备提供详细的操作和维护手册；</w:t>
      </w:r>
    </w:p>
    <w:p w14:paraId="3BB12D2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8.5 对于售后服务工作不到位，故意推诿、拖延，造成不良影响或不按规定粘贴联系单的投标人，将报请</w:t>
      </w:r>
      <w:r>
        <w:rPr>
          <w:rFonts w:hint="eastAsia" w:ascii="仿宋" w:hAnsi="仿宋" w:eastAsia="仿宋" w:cs="仿宋"/>
          <w:sz w:val="24"/>
        </w:rPr>
        <w:t>相关部门</w:t>
      </w:r>
      <w:r>
        <w:rPr>
          <w:rFonts w:hint="eastAsia" w:ascii="仿宋" w:hAnsi="仿宋" w:eastAsia="仿宋" w:cs="仿宋"/>
          <w:kern w:val="0"/>
          <w:sz w:val="24"/>
        </w:rPr>
        <w:t>按有关规定进行处理。</w:t>
      </w:r>
    </w:p>
    <w:p w14:paraId="62F6A3B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9.备品备件</w:t>
      </w:r>
    </w:p>
    <w:p w14:paraId="46B0EDD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9.1 卖方可能被要求提供下列与备品备件有关的材料、通知和资料：</w:t>
      </w:r>
    </w:p>
    <w:p w14:paraId="2B0F081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9.2 卖方应按“合同条款”与“技术规格与要求”中的规定提供所需的备品备件。</w:t>
      </w:r>
    </w:p>
    <w:p w14:paraId="191978C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10.质量保证</w:t>
      </w:r>
    </w:p>
    <w:p w14:paraId="157E1BE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11.索赔</w:t>
      </w:r>
    </w:p>
    <w:p w14:paraId="64D2AE9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w:t>
      </w:r>
      <w:r>
        <w:rPr>
          <w:rFonts w:hint="eastAsia" w:ascii="仿宋" w:hAnsi="仿宋" w:eastAsia="仿宋" w:cs="仿宋"/>
          <w:kern w:val="0"/>
          <w:sz w:val="24"/>
          <w:lang w:val="en-US" w:eastAsia="zh-CN"/>
        </w:rPr>
        <w:t>下·</w:t>
      </w:r>
      <w:r>
        <w:rPr>
          <w:rFonts w:hint="eastAsia" w:ascii="仿宋" w:hAnsi="仿宋" w:eastAsia="仿宋" w:cs="仿宋"/>
          <w:kern w:val="0"/>
          <w:sz w:val="24"/>
        </w:rPr>
        <w:t>中扣回索赔金额。</w:t>
      </w:r>
    </w:p>
    <w:p w14:paraId="65029A7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12.付款</w:t>
      </w:r>
    </w:p>
    <w:p w14:paraId="093F23DA">
      <w:pPr>
        <w:spacing w:line="440" w:lineRule="exact"/>
        <w:ind w:firstLine="480" w:firstLineChars="200"/>
        <w:rPr>
          <w:rFonts w:ascii="仿宋" w:hAnsi="仿宋" w:eastAsia="仿宋" w:cs="仿宋"/>
          <w:kern w:val="0"/>
          <w:sz w:val="24"/>
        </w:rPr>
      </w:pPr>
      <w:r>
        <w:rPr>
          <w:rFonts w:hint="eastAsia" w:ascii="仿宋" w:hAnsi="仿宋" w:eastAsia="仿宋" w:cs="仿宋"/>
          <w:sz w:val="24"/>
        </w:rPr>
        <w:t>12.1</w:t>
      </w:r>
      <w:r>
        <w:rPr>
          <w:rFonts w:hint="eastAsia" w:ascii="仿宋" w:hAnsi="仿宋" w:eastAsia="仿宋" w:cs="仿宋"/>
          <w:kern w:val="0"/>
          <w:sz w:val="24"/>
        </w:rPr>
        <w:t>按招标文件“第三章 商务条款”执行。</w:t>
      </w:r>
    </w:p>
    <w:p w14:paraId="7C3B40AD">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13.价格</w:t>
      </w:r>
    </w:p>
    <w:p w14:paraId="5B44248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14.变更指令</w:t>
      </w:r>
    </w:p>
    <w:p w14:paraId="12D4D53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1）本合同项下提供的货物是专为买方制造时，变更图纸、设计或规格；</w:t>
      </w:r>
    </w:p>
    <w:p w14:paraId="7EDD146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2）运输或包装的方法；</w:t>
      </w:r>
    </w:p>
    <w:p w14:paraId="086478C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3）交货地点；</w:t>
      </w:r>
    </w:p>
    <w:p w14:paraId="3624A4D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4）卖方提供的服务。</w:t>
      </w:r>
    </w:p>
    <w:p w14:paraId="3B024732">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15.合同修改</w:t>
      </w:r>
    </w:p>
    <w:p w14:paraId="5E1F609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16.转让</w:t>
      </w:r>
    </w:p>
    <w:p w14:paraId="2CA977F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16.1 未经买方事先书面同意，卖方不得部分转让或全部转让其应履行的合同义务。</w:t>
      </w:r>
    </w:p>
    <w:p w14:paraId="7C4EAC8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17.分包</w:t>
      </w:r>
    </w:p>
    <w:p w14:paraId="6DB7F4B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18.卖方履约延误</w:t>
      </w:r>
    </w:p>
    <w:p w14:paraId="3DCAD9C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18.1 卖方应按照合同中规定的交货时间和服务要求按时交货和提供服务。</w:t>
      </w:r>
    </w:p>
    <w:p w14:paraId="7CA5F79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19.误期赔偿费</w:t>
      </w:r>
    </w:p>
    <w:p w14:paraId="4419EEC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20.违约终止合同</w:t>
      </w:r>
    </w:p>
    <w:p w14:paraId="3A65D3E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2）如果卖方未能履行合同规定的其它任何义务。</w:t>
      </w:r>
    </w:p>
    <w:p w14:paraId="40F0F0A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21.不可抗力</w:t>
      </w:r>
    </w:p>
    <w:p w14:paraId="0BE7EDE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21.3 因合同一方迟延履行合同后发生不可抗力的，不能免除迟延履行方的相应责任。</w:t>
      </w:r>
    </w:p>
    <w:p w14:paraId="30591C9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22.因破产而终止合同</w:t>
      </w:r>
    </w:p>
    <w:p w14:paraId="01C2BB1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23.因买方的便利而终止合同</w:t>
      </w:r>
    </w:p>
    <w:p w14:paraId="7512799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1）仅对部分货物按照原来的合同价格和条款予以接受；或</w:t>
      </w:r>
    </w:p>
    <w:p w14:paraId="76DFB0E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24.因其他原因而终止合同</w:t>
      </w:r>
    </w:p>
    <w:p w14:paraId="29DF5B3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25.争议的解决</w:t>
      </w:r>
    </w:p>
    <w:p w14:paraId="4E831C6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25.2 仲裁裁决应为最终裁决，对双方均具有约束力。</w:t>
      </w:r>
    </w:p>
    <w:p w14:paraId="64327EC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25.3 仲裁费除仲裁机关另有裁决外均应由败诉方负担。</w:t>
      </w:r>
    </w:p>
    <w:p w14:paraId="7227C7C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25.4 在仲裁期间，除正在进行仲裁的部分外，本合同其它部分应继续执行。</w:t>
      </w:r>
    </w:p>
    <w:p w14:paraId="3083E150">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26.适用法律</w:t>
      </w:r>
    </w:p>
    <w:p w14:paraId="108EBCF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26.1 本合同应按照中华人民共和国的现行法律进行解释。</w:t>
      </w:r>
    </w:p>
    <w:p w14:paraId="7C765BC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27.通知</w:t>
      </w:r>
    </w:p>
    <w:p w14:paraId="32C272E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27.2 通知以送到日期或通知书的生效日期为生效日期，两者中以晚的一个日期为准。</w:t>
      </w:r>
    </w:p>
    <w:p w14:paraId="4AAA5722">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28.税款</w:t>
      </w:r>
    </w:p>
    <w:p w14:paraId="7D6E769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29.合同生效</w:t>
      </w:r>
    </w:p>
    <w:p w14:paraId="040236B5">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29.1 本合同应在买卖双方共同签字并盖章后生效。</w:t>
      </w:r>
    </w:p>
    <w:p w14:paraId="170A909E">
      <w:pPr>
        <w:pStyle w:val="5"/>
        <w:spacing w:after="0" w:line="440" w:lineRule="exact"/>
        <w:ind w:left="0" w:leftChars="0" w:firstLine="0" w:firstLineChars="0"/>
        <w:rPr>
          <w:rFonts w:ascii="仿宋" w:hAnsi="仿宋" w:eastAsia="仿宋" w:cs="仿宋"/>
          <w:kern w:val="0"/>
          <w:sz w:val="24"/>
        </w:rPr>
      </w:pPr>
    </w:p>
    <w:p w14:paraId="4FC971F8">
      <w:pPr>
        <w:spacing w:line="440" w:lineRule="exact"/>
        <w:rPr>
          <w:rFonts w:ascii="仿宋" w:hAnsi="仿宋" w:eastAsia="仿宋" w:cs="仿宋"/>
          <w:sz w:val="24"/>
        </w:rPr>
      </w:pPr>
      <w:r>
        <w:rPr>
          <w:rFonts w:hint="eastAsia" w:ascii="仿宋" w:hAnsi="仿宋" w:eastAsia="仿宋" w:cs="仿宋"/>
          <w:kern w:val="0"/>
          <w:sz w:val="24"/>
        </w:rPr>
        <w:t>本合同为参考格式，最终合同将结合《招标文件》要求《投标文件》承诺及采购人要求综合制定。</w:t>
      </w:r>
    </w:p>
    <w:p w14:paraId="73D5BDCB"/>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22194FE5"/>
    <w:rsid w:val="2F29064A"/>
    <w:rsid w:val="31CA1417"/>
    <w:rsid w:val="33802EC6"/>
    <w:rsid w:val="40DF7AC3"/>
    <w:rsid w:val="513F68D6"/>
    <w:rsid w:val="6A4E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 w:type="paragraph" w:customStyle="1" w:styleId="12">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5470</Words>
  <Characters>5743</Characters>
  <Lines>0</Lines>
  <Paragraphs>0</Paragraphs>
  <TotalTime>0</TotalTime>
  <ScaleCrop>false</ScaleCrop>
  <LinksUpToDate>false</LinksUpToDate>
  <CharactersWithSpaces>5885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2026-07-20T03:23:40Z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