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版本号：ZCTH2026-06-06120260622001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留坝县2025年生物多样性保护与可持续利用及生态修复治理项目（森林有害生物防控）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ZCTH2026-06-061</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留坝县2025年生物多样性保护与可持续利用及生态修复治理项目（森林有害生物防控）</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ZCTH2026-06-061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留坝县2025年生物多样性保护与可持续利用及生态修复治理项目（森林有害生物防控）</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留坝县2025年生物多样性保护与可持续利用及生态修复治理项目（森林有害生物防控）,具体详见招标文件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采购包1（留坝县2025年生物多样性保护与可持续利用及生态修复治理项目（森林有害生物防控））：属于专门面向中小企业采购。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2、供应商资质：供应商须具备陕西省林学会颁发的林业有害生物防治资质证书（丁级及以上）（业务范围包含林业有害生物防治作业）</w:t>
      </w:r>
    </w:p>
    <w:p>
      <w:pPr>
        <w:pStyle w:val="null3"/>
      </w:pPr>
      <w:r>
        <w:rPr>
          <w:rFonts w:ascii="仿宋_GB2312" w:hAnsi="仿宋_GB2312" w:cs="仿宋_GB2312" w:eastAsia="仿宋_GB2312"/>
        </w:rPr>
        <w:t>3、企业信用：供应商不得为“信用中国”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货物类标准，以中标金额为基数按差额定率累进法计算收取，由中标人在领取中标通知书之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汉中市生态环境局留坝分局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地址：陕西省西安市高新区锦业一路52号宝德云谷B座14层1408室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留坝县2025年生物多样性保护与可持续利用及生态修复治理项目（森林有害生物防控）,具体详见招标文件。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3,050,000.00</w:t>
      </w:r>
    </w:p>
    <w:p>
      <w:pPr>
        <w:pStyle w:val="null3"/>
      </w:pPr>
      <w:r>
        <w:rPr>
          <w:rFonts w:ascii="仿宋_GB2312" w:hAnsi="仿宋_GB2312" w:cs="仿宋_GB2312" w:eastAsia="仿宋_GB2312"/>
        </w:rPr>
        <w:t>采购包最高限价（元）: 3,050,000.00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留坝县2025年生物多样性保护与可持续利用及生态修复治理项目（森林有害生物防控）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标的名称：留坝县2025年生物多样性保护与可持续利用及生态修复治理项目（森林有害生物防控）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FF"/>
              </w:rPr>
              <w:t>一、项目概况</w:t>
            </w:r>
          </w:p>
          <w:p>
            <w:pPr>
              <w:pStyle w:val="null3"/>
            </w:pPr>
            <w:r>
              <w:rPr>
                <w:rFonts w:ascii="仿宋_GB2312" w:hAnsi="仿宋_GB2312" w:cs="仿宋_GB2312" w:eastAsia="仿宋_GB2312"/>
                <w:color w:val="0000FF"/>
              </w:rPr>
              <w:t>县域有林地松林松材线虫病防控，除治枯死松树</w:t>
            </w:r>
            <w:r>
              <w:rPr>
                <w:rFonts w:ascii="仿宋_GB2312" w:hAnsi="仿宋_GB2312" w:cs="仿宋_GB2312" w:eastAsia="仿宋_GB2312"/>
                <w:color w:val="0000FF"/>
              </w:rPr>
              <w:t>1.5</w:t>
            </w:r>
            <w:r>
              <w:rPr>
                <w:rFonts w:ascii="仿宋_GB2312" w:hAnsi="仿宋_GB2312" w:cs="仿宋_GB2312" w:eastAsia="仿宋_GB2312"/>
                <w:color w:val="0000FF"/>
              </w:rPr>
              <w:t>6</w:t>
            </w:r>
            <w:r>
              <w:rPr>
                <w:rFonts w:ascii="仿宋_GB2312" w:hAnsi="仿宋_GB2312" w:cs="仿宋_GB2312" w:eastAsia="仿宋_GB2312"/>
                <w:color w:val="0000FF"/>
              </w:rPr>
              <w:t>万余株，媒介昆虫防治</w:t>
            </w:r>
            <w:r>
              <w:rPr>
                <w:rFonts w:ascii="仿宋_GB2312" w:hAnsi="仿宋_GB2312" w:cs="仿宋_GB2312" w:eastAsia="仿宋_GB2312"/>
                <w:color w:val="0000FF"/>
              </w:rPr>
              <w:t>(实施飞机化学喷雾防治1500亩，生物防治1000管，悬挂诱捕器100套)，打孔注药预防3.25万支</w:t>
            </w:r>
            <w:r>
              <w:rPr>
                <w:rFonts w:ascii="仿宋_GB2312" w:hAnsi="仿宋_GB2312" w:cs="仿宋_GB2312" w:eastAsia="仿宋_GB2312"/>
                <w:color w:val="0000FF"/>
              </w:rPr>
              <w:t>。</w:t>
            </w:r>
          </w:p>
          <w:p>
            <w:pPr>
              <w:pStyle w:val="null3"/>
              <w:jc w:val="both"/>
            </w:pPr>
            <w:r>
              <w:rPr>
                <w:rFonts w:ascii="仿宋_GB2312" w:hAnsi="仿宋_GB2312" w:cs="仿宋_GB2312" w:eastAsia="仿宋_GB2312"/>
                <w:b/>
                <w:color w:val="0000FF"/>
              </w:rPr>
              <w:t>二、采购内容及要求</w:t>
            </w:r>
          </w:p>
          <w:p>
            <w:pPr>
              <w:pStyle w:val="null3"/>
              <w:jc w:val="both"/>
            </w:pPr>
            <w:r>
              <w:rPr>
                <w:rFonts w:ascii="仿宋_GB2312" w:hAnsi="仿宋_GB2312" w:cs="仿宋_GB2312" w:eastAsia="仿宋_GB2312"/>
                <w:b/>
                <w:color w:val="0000FF"/>
              </w:rPr>
              <w:t>（一）枯死松树除治</w:t>
            </w:r>
          </w:p>
          <w:p>
            <w:pPr>
              <w:pStyle w:val="null3"/>
              <w:ind w:firstLine="400"/>
              <w:jc w:val="both"/>
            </w:pPr>
            <w:r>
              <w:rPr>
                <w:rFonts w:ascii="仿宋_GB2312" w:hAnsi="仿宋_GB2312" w:cs="仿宋_GB2312" w:eastAsia="仿宋_GB2312"/>
                <w:color w:val="0000FF"/>
              </w:rPr>
              <w:t>对日常监测和春秋季普查发现的枯倒、风折、枯死、濒死松树全部进行采伐清理，并销毁，</w:t>
            </w:r>
            <w:r>
              <w:rPr>
                <w:rFonts w:ascii="仿宋_GB2312" w:hAnsi="仿宋_GB2312" w:cs="仿宋_GB2312" w:eastAsia="仿宋_GB2312"/>
                <w:color w:val="0000FF"/>
              </w:rPr>
              <w:t>计划除治</w:t>
            </w:r>
            <w:r>
              <w:rPr>
                <w:rFonts w:ascii="仿宋_GB2312" w:hAnsi="仿宋_GB2312" w:cs="仿宋_GB2312" w:eastAsia="仿宋_GB2312"/>
                <w:color w:val="0000FF"/>
              </w:rPr>
              <w:t>1.56万余株</w:t>
            </w:r>
            <w:r>
              <w:rPr>
                <w:rFonts w:ascii="仿宋_GB2312" w:hAnsi="仿宋_GB2312" w:cs="仿宋_GB2312" w:eastAsia="仿宋_GB2312"/>
                <w:color w:val="0000FF"/>
              </w:rPr>
              <w:t>。</w:t>
            </w:r>
          </w:p>
          <w:p>
            <w:pPr>
              <w:pStyle w:val="null3"/>
              <w:jc w:val="both"/>
            </w:pPr>
            <w:r>
              <w:rPr>
                <w:rFonts w:ascii="仿宋_GB2312" w:hAnsi="仿宋_GB2312" w:cs="仿宋_GB2312" w:eastAsia="仿宋_GB2312"/>
                <w:color w:val="0000FF"/>
              </w:rPr>
              <w:t>1.除治方式</w:t>
            </w:r>
          </w:p>
          <w:p>
            <w:pPr>
              <w:pStyle w:val="null3"/>
              <w:ind w:firstLine="400"/>
              <w:jc w:val="both"/>
            </w:pPr>
            <w:r>
              <w:rPr>
                <w:rFonts w:ascii="仿宋_GB2312" w:hAnsi="仿宋_GB2312" w:cs="仿宋_GB2312" w:eastAsia="仿宋_GB2312"/>
                <w:color w:val="0000FF"/>
              </w:rPr>
              <w:t>采取集中除治和即死即清方式，对枯死松树发生区域内所有枯倒、风折、枯死、濒死松树进行除治。</w:t>
            </w:r>
          </w:p>
          <w:p>
            <w:pPr>
              <w:pStyle w:val="null3"/>
              <w:jc w:val="both"/>
            </w:pPr>
            <w:r>
              <w:rPr>
                <w:rFonts w:ascii="仿宋_GB2312" w:hAnsi="仿宋_GB2312" w:cs="仿宋_GB2312" w:eastAsia="仿宋_GB2312"/>
                <w:color w:val="0000FF"/>
              </w:rPr>
              <w:t>2.枯死松树处理</w:t>
            </w:r>
          </w:p>
          <w:p>
            <w:pPr>
              <w:pStyle w:val="null3"/>
              <w:ind w:firstLine="400"/>
              <w:jc w:val="both"/>
            </w:pPr>
            <w:r>
              <w:rPr>
                <w:rFonts w:ascii="仿宋_GB2312" w:hAnsi="仿宋_GB2312" w:cs="仿宋_GB2312" w:eastAsia="仿宋_GB2312"/>
                <w:color w:val="0000FF"/>
              </w:rPr>
              <w:t>结合我县地形及疫点分布情况，枯死松树采用烧毁处理的方式。松树伐倒后，将主干切割成</w:t>
            </w:r>
            <w:r>
              <w:rPr>
                <w:rFonts w:ascii="仿宋_GB2312" w:hAnsi="仿宋_GB2312" w:cs="仿宋_GB2312" w:eastAsia="仿宋_GB2312"/>
                <w:color w:val="0000FF"/>
              </w:rPr>
              <w:t>1—2m长的段木，对直径1cm以上的枝桠、树皮和厚度1cm以上的木块必须全部清理集中就近烧毁，按照当日采伐当日就地烧毁的要求进行处置，确保烧毁彻底和用火安全。</w:t>
            </w:r>
          </w:p>
          <w:p>
            <w:pPr>
              <w:pStyle w:val="null3"/>
              <w:jc w:val="both"/>
            </w:pPr>
            <w:r>
              <w:rPr>
                <w:rFonts w:ascii="仿宋_GB2312" w:hAnsi="仿宋_GB2312" w:cs="仿宋_GB2312" w:eastAsia="仿宋_GB2312"/>
                <w:color w:val="0000FF"/>
              </w:rPr>
              <w:t>3.伐桩处理</w:t>
            </w:r>
          </w:p>
          <w:p>
            <w:pPr>
              <w:pStyle w:val="null3"/>
              <w:ind w:firstLine="400"/>
              <w:jc w:val="both"/>
            </w:pPr>
            <w:r>
              <w:rPr>
                <w:rFonts w:ascii="仿宋_GB2312" w:hAnsi="仿宋_GB2312" w:cs="仿宋_GB2312" w:eastAsia="仿宋_GB2312"/>
                <w:color w:val="0000FF"/>
              </w:rPr>
              <w:t>枯死松树伐倒后，要立即处理伐桩，其高度距离地面不得超过</w:t>
            </w:r>
            <w:r>
              <w:rPr>
                <w:rFonts w:ascii="仿宋_GB2312" w:hAnsi="仿宋_GB2312" w:cs="仿宋_GB2312" w:eastAsia="仿宋_GB2312"/>
                <w:color w:val="0000FF"/>
              </w:rPr>
              <w:t>5cm，剥去伐桩树皮，使用钢丝直径≥0.17毫米，网目数≥16目的锻压钢丝网罩覆盖伐桩，并将钢丝网罩严密固定在伐桩上。</w:t>
            </w:r>
          </w:p>
          <w:p>
            <w:pPr>
              <w:pStyle w:val="null3"/>
              <w:jc w:val="both"/>
            </w:pPr>
            <w:r>
              <w:rPr>
                <w:rFonts w:ascii="仿宋_GB2312" w:hAnsi="仿宋_GB2312" w:cs="仿宋_GB2312" w:eastAsia="仿宋_GB2312"/>
                <w:b/>
                <w:color w:val="0000FF"/>
              </w:rPr>
              <w:t>（二）媒介昆虫防治</w:t>
            </w:r>
          </w:p>
          <w:p>
            <w:pPr>
              <w:pStyle w:val="null3"/>
              <w:jc w:val="both"/>
            </w:pPr>
            <w:r>
              <w:rPr>
                <w:rFonts w:ascii="仿宋_GB2312" w:hAnsi="仿宋_GB2312" w:cs="仿宋_GB2312" w:eastAsia="仿宋_GB2312"/>
                <w:color w:val="0000FF"/>
              </w:rPr>
              <w:t>1.化学防治</w:t>
            </w:r>
          </w:p>
          <w:p>
            <w:pPr>
              <w:pStyle w:val="null3"/>
              <w:ind w:firstLine="400"/>
              <w:jc w:val="both"/>
            </w:pPr>
            <w:r>
              <w:rPr>
                <w:rFonts w:ascii="仿宋_GB2312" w:hAnsi="仿宋_GB2312" w:cs="仿宋_GB2312" w:eastAsia="仿宋_GB2312"/>
                <w:color w:val="0000FF"/>
              </w:rPr>
              <w:t>在连片分布的松林内采取无人机喷药，计划药剂防治面积共计</w:t>
            </w:r>
            <w:r>
              <w:rPr>
                <w:rFonts w:ascii="仿宋_GB2312" w:hAnsi="仿宋_GB2312" w:cs="仿宋_GB2312" w:eastAsia="仿宋_GB2312"/>
                <w:color w:val="0000FF"/>
              </w:rPr>
              <w:t>0.15万亩。防治时间在媒介昆虫羽化初期和第一次喷药防治的药剂持效期末，选用高效低毒、环境友好的缓释型药剂2%噻虫啉微囊悬浮剂，另外加入飞防植保作业专用沉降剂—壹品松脂，提升噻虫啉对松褐天牛毒杀效率，连续喷药2次开展防治，以降低媒介昆虫虫口密度。</w:t>
            </w:r>
          </w:p>
          <w:p>
            <w:pPr>
              <w:pStyle w:val="null3"/>
              <w:jc w:val="both"/>
            </w:pPr>
            <w:r>
              <w:rPr>
                <w:rFonts w:ascii="仿宋_GB2312" w:hAnsi="仿宋_GB2312" w:cs="仿宋_GB2312" w:eastAsia="仿宋_GB2312"/>
                <w:color w:val="0000FF"/>
              </w:rPr>
              <w:t>2.生物防治</w:t>
            </w:r>
          </w:p>
          <w:p>
            <w:pPr>
              <w:pStyle w:val="null3"/>
              <w:ind w:firstLine="400"/>
              <w:jc w:val="both"/>
            </w:pPr>
            <w:r>
              <w:rPr>
                <w:rFonts w:ascii="仿宋_GB2312" w:hAnsi="仿宋_GB2312" w:cs="仿宋_GB2312" w:eastAsia="仿宋_GB2312"/>
                <w:color w:val="0000FF"/>
              </w:rPr>
              <w:t>在马道镇、青桥驿镇、武关驿镇松林密度较高、人为活动频繁的地段区域，投放天牛、吉丁虫等蛀干害虫的捕食性天敌花绒寄甲</w:t>
            </w:r>
            <w:r>
              <w:rPr>
                <w:rFonts w:ascii="仿宋_GB2312" w:hAnsi="仿宋_GB2312" w:cs="仿宋_GB2312" w:eastAsia="仿宋_GB2312"/>
                <w:color w:val="0000FF"/>
              </w:rPr>
              <w:t>1000管，每管约20头，大幅度提高该松林区域及毗邻地段内花绒寄甲的种群密度，达到“以虫治虫”的目的，将有效减少松褐天牛数量，确保松林资源安全。</w:t>
            </w:r>
          </w:p>
          <w:p>
            <w:pPr>
              <w:pStyle w:val="null3"/>
              <w:jc w:val="both"/>
            </w:pPr>
            <w:r>
              <w:rPr>
                <w:rFonts w:ascii="仿宋_GB2312" w:hAnsi="仿宋_GB2312" w:cs="仿宋_GB2312" w:eastAsia="仿宋_GB2312"/>
                <w:color w:val="0000FF"/>
              </w:rPr>
              <w:t>3.悬挂诱捕器监测</w:t>
            </w:r>
          </w:p>
          <w:p>
            <w:pPr>
              <w:pStyle w:val="null3"/>
              <w:ind w:firstLine="400"/>
              <w:jc w:val="both"/>
            </w:pPr>
            <w:r>
              <w:rPr>
                <w:rFonts w:ascii="仿宋_GB2312" w:hAnsi="仿宋_GB2312" w:cs="仿宋_GB2312" w:eastAsia="仿宋_GB2312"/>
                <w:color w:val="0000FF"/>
              </w:rPr>
              <w:t>根据留坝县松树资源分布和森林有害生物发生地点及范围，为了更好地掌握各监测点松褐天牛成虫数量变化情况，了解松褐天牛成虫的活动规律，</w:t>
            </w:r>
            <w:r>
              <w:rPr>
                <w:rFonts w:ascii="仿宋_GB2312" w:hAnsi="仿宋_GB2312" w:cs="仿宋_GB2312" w:eastAsia="仿宋_GB2312"/>
                <w:color w:val="0000FF"/>
              </w:rPr>
              <w:t>5—9月拟在马道镇、武关驿镇内松材线虫等发生的重点区域内挂设松褐天牛诱捕器进行监测，真正发挥出诱捕器的监测和诱杀作用，共挂设松褐天牛诱捕器100个，每2月更换一次诱芯，每间隔10天左右收集一次成虫进行记录并销毁。</w:t>
            </w:r>
          </w:p>
          <w:p>
            <w:pPr>
              <w:pStyle w:val="null3"/>
              <w:jc w:val="both"/>
            </w:pPr>
            <w:r>
              <w:rPr>
                <w:rFonts w:ascii="仿宋_GB2312" w:hAnsi="仿宋_GB2312" w:cs="仿宋_GB2312" w:eastAsia="仿宋_GB2312"/>
                <w:b/>
                <w:color w:val="0000FF"/>
              </w:rPr>
              <w:t>（三）打孔注药预防</w:t>
            </w:r>
          </w:p>
          <w:p>
            <w:pPr>
              <w:pStyle w:val="null3"/>
              <w:ind w:firstLine="400"/>
              <w:jc w:val="both"/>
            </w:pPr>
            <w:r>
              <w:rPr>
                <w:rFonts w:ascii="仿宋_GB2312" w:hAnsi="仿宋_GB2312" w:cs="仿宋_GB2312" w:eastAsia="仿宋_GB2312"/>
                <w:color w:val="0000FF"/>
              </w:rPr>
              <w:t>在重点防控松林区域，对松树林木计划采取注射药剂甲维盐</w:t>
            </w:r>
            <w:r>
              <w:rPr>
                <w:rFonts w:ascii="仿宋_GB2312" w:hAnsi="仿宋_GB2312" w:cs="仿宋_GB2312" w:eastAsia="仿宋_GB2312"/>
                <w:color w:val="0000FF"/>
              </w:rPr>
              <w:t>3.25万支，打孔注药预防1.3万余株，预防媒介昆虫对松树的侵害。</w:t>
            </w:r>
          </w:p>
          <w:p>
            <w:pPr>
              <w:pStyle w:val="null3"/>
              <w:jc w:val="both"/>
            </w:pPr>
            <w:r>
              <w:rPr>
                <w:rFonts w:ascii="仿宋_GB2312" w:hAnsi="仿宋_GB2312" w:cs="仿宋_GB2312" w:eastAsia="仿宋_GB2312"/>
                <w:b/>
                <w:color w:val="0000FF"/>
              </w:rPr>
              <w:t>三、商务条款</w:t>
            </w:r>
          </w:p>
          <w:p>
            <w:pPr>
              <w:pStyle w:val="null3"/>
              <w:jc w:val="both"/>
            </w:pPr>
            <w:r>
              <w:rPr>
                <w:rFonts w:ascii="仿宋_GB2312" w:hAnsi="仿宋_GB2312" w:cs="仿宋_GB2312" w:eastAsia="仿宋_GB2312"/>
                <w:color w:val="0000FF"/>
              </w:rPr>
              <w:t>1.服务期限</w:t>
            </w:r>
          </w:p>
          <w:p>
            <w:pPr>
              <w:pStyle w:val="null3"/>
              <w:jc w:val="both"/>
            </w:pPr>
            <w:r>
              <w:rPr>
                <w:rFonts w:ascii="仿宋_GB2312" w:hAnsi="仿宋_GB2312" w:cs="仿宋_GB2312" w:eastAsia="仿宋_GB2312"/>
                <w:color w:val="0000FF"/>
              </w:rPr>
              <w:t>自合同签订之日起至</w:t>
            </w:r>
            <w:r>
              <w:rPr>
                <w:rFonts w:ascii="仿宋_GB2312" w:hAnsi="仿宋_GB2312" w:cs="仿宋_GB2312" w:eastAsia="仿宋_GB2312"/>
                <w:color w:val="0000FF"/>
              </w:rPr>
              <w:t>2026</w:t>
            </w:r>
            <w:r>
              <w:rPr>
                <w:rFonts w:ascii="仿宋_GB2312" w:hAnsi="仿宋_GB2312" w:cs="仿宋_GB2312" w:eastAsia="仿宋_GB2312"/>
                <w:color w:val="0000FF"/>
              </w:rPr>
              <w:t>年</w:t>
            </w:r>
            <w:r>
              <w:rPr>
                <w:rFonts w:ascii="仿宋_GB2312" w:hAnsi="仿宋_GB2312" w:cs="仿宋_GB2312" w:eastAsia="仿宋_GB2312"/>
                <w:color w:val="0000FF"/>
              </w:rPr>
              <w:t>12</w:t>
            </w:r>
            <w:r>
              <w:rPr>
                <w:rFonts w:ascii="仿宋_GB2312" w:hAnsi="仿宋_GB2312" w:cs="仿宋_GB2312" w:eastAsia="仿宋_GB2312"/>
                <w:color w:val="0000FF"/>
              </w:rPr>
              <w:t>月底完成</w:t>
            </w:r>
          </w:p>
          <w:p>
            <w:pPr>
              <w:pStyle w:val="null3"/>
              <w:jc w:val="both"/>
            </w:pPr>
            <w:r>
              <w:rPr>
                <w:rFonts w:ascii="仿宋_GB2312" w:hAnsi="仿宋_GB2312" w:cs="仿宋_GB2312" w:eastAsia="仿宋_GB2312"/>
                <w:color w:val="0000FF"/>
              </w:rPr>
              <w:t>2.服务地点</w:t>
            </w:r>
          </w:p>
          <w:p>
            <w:pPr>
              <w:pStyle w:val="null3"/>
              <w:jc w:val="both"/>
            </w:pPr>
            <w:r>
              <w:rPr>
                <w:rFonts w:ascii="仿宋_GB2312" w:hAnsi="仿宋_GB2312" w:cs="仿宋_GB2312" w:eastAsia="仿宋_GB2312"/>
                <w:color w:val="0000FF"/>
              </w:rPr>
              <w:t>汉中市留坝县</w:t>
            </w:r>
          </w:p>
          <w:p>
            <w:pPr>
              <w:pStyle w:val="null3"/>
              <w:jc w:val="both"/>
            </w:pPr>
            <w:r>
              <w:rPr>
                <w:rFonts w:ascii="仿宋_GB2312" w:hAnsi="仿宋_GB2312" w:cs="仿宋_GB2312" w:eastAsia="仿宋_GB2312"/>
                <w:color w:val="0000FF"/>
              </w:rPr>
              <w:t>3.质量标准</w:t>
            </w:r>
          </w:p>
          <w:p>
            <w:pPr>
              <w:pStyle w:val="null3"/>
              <w:jc w:val="both"/>
            </w:pPr>
            <w:r>
              <w:rPr>
                <w:rFonts w:ascii="仿宋_GB2312" w:hAnsi="仿宋_GB2312" w:cs="仿宋_GB2312" w:eastAsia="仿宋_GB2312"/>
                <w:sz w:val="22"/>
                <w:color w:val="0000FF"/>
              </w:rPr>
              <w:t>达到国家及行业质量验收合格标准</w:t>
            </w:r>
          </w:p>
          <w:p>
            <w:pPr>
              <w:pStyle w:val="null3"/>
              <w:jc w:val="both"/>
            </w:pPr>
            <w:r>
              <w:rPr>
                <w:rFonts w:ascii="仿宋_GB2312" w:hAnsi="仿宋_GB2312" w:cs="仿宋_GB2312" w:eastAsia="仿宋_GB2312"/>
                <w:color w:val="0000FF"/>
              </w:rPr>
              <w:t>4.付款方式</w:t>
            </w:r>
          </w:p>
          <w:p>
            <w:pPr>
              <w:pStyle w:val="null3"/>
              <w:jc w:val="left"/>
            </w:pPr>
            <w:r>
              <w:rPr>
                <w:rFonts w:ascii="仿宋_GB2312" w:hAnsi="仿宋_GB2312" w:cs="仿宋_GB2312" w:eastAsia="仿宋_GB2312"/>
                <w:sz w:val="19"/>
                <w:color w:val="0000FF"/>
              </w:rPr>
              <w:t>（</w:t>
            </w:r>
            <w:r>
              <w:rPr>
                <w:rFonts w:ascii="仿宋_GB2312" w:hAnsi="仿宋_GB2312" w:cs="仿宋_GB2312" w:eastAsia="仿宋_GB2312"/>
                <w:sz w:val="19"/>
                <w:color w:val="0000FF"/>
              </w:rPr>
              <w:t>1）合同签订后，达到付款条件起 30 日内，采购人支付合同总金额的40%；</w:t>
            </w:r>
          </w:p>
          <w:p>
            <w:pPr>
              <w:pStyle w:val="null3"/>
              <w:jc w:val="both"/>
            </w:pPr>
            <w:r>
              <w:rPr>
                <w:rFonts w:ascii="仿宋_GB2312" w:hAnsi="仿宋_GB2312" w:cs="仿宋_GB2312" w:eastAsia="仿宋_GB2312"/>
                <w:sz w:val="19"/>
                <w:color w:val="0000FF"/>
              </w:rPr>
              <w:t>（</w:t>
            </w:r>
            <w:r>
              <w:rPr>
                <w:rFonts w:ascii="仿宋_GB2312" w:hAnsi="仿宋_GB2312" w:cs="仿宋_GB2312" w:eastAsia="仿宋_GB2312"/>
                <w:sz w:val="19"/>
                <w:color w:val="0000FF"/>
              </w:rPr>
              <w:t>2）项目完成后并经采购人验收合格后，达到付款条件起 30 日内，采购人支付合同总金额的40.00%。</w:t>
            </w:r>
          </w:p>
          <w:p>
            <w:pPr>
              <w:pStyle w:val="null3"/>
            </w:pPr>
            <w:r>
              <w:rPr>
                <w:rFonts w:ascii="仿宋_GB2312" w:hAnsi="仿宋_GB2312" w:cs="仿宋_GB2312" w:eastAsia="仿宋_GB2312"/>
                <w:sz w:val="19"/>
                <w:color w:val="0000FF"/>
              </w:rPr>
              <w:t>（</w:t>
            </w:r>
            <w:r>
              <w:rPr>
                <w:rFonts w:ascii="仿宋_GB2312" w:hAnsi="仿宋_GB2312" w:cs="仿宋_GB2312" w:eastAsia="仿宋_GB2312"/>
                <w:sz w:val="19"/>
                <w:color w:val="0000FF"/>
              </w:rPr>
              <w:t>3）项目审计完成后，支付合同总金额的20%。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进度款，项目完成后并经采购人验收合格后，达到付款条件起30个工作日内，支付合同总金额的40.0%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进度款，项目审计完成后，达到付款条件起30个工作日内，支付合同总金额的20.0%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采购人有权对供应商违约行为进行核实，对核实确认的违约行为向供应商追究责任并主张赔偿。</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会计师事务所出具的完整的2025年度审计报告（成立时间至提交投标文件递交截止时间不足一年的可提供成立后任意时段的资产负债表），或提交投标文件递交时间截止前6个月内银行出具的资信证明，或信用担保机构出具的投标担保函，（以上三种形式的资料提供任何一种即可）；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供应商须具备陕西省林学会颁发的林业有害生物防治资质证书（丁级及以上）（业务范围包含林业有害生物防治作业）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供应商提交的相关说明和证明材料，应当加盖供应商（法定名称）电子印章，相关供应商应于30分钟内（含30分钟）按评标委员会要求提供相应证明材料，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6.服务承诺.docx 7.业绩.docx 开标一览表 4.应急处置方案.docx 中小企业声明函 商务应答表 服务内容及服务要求应答表 5.项目团队配置.docx 1.项目实施方案.docx 供应商应提交的相关资格证明材料.docx 2.保障措施.docx 供应商认为需要提供的其他资料.docx 投标函 残疾人福利性单位声明函 3.重点难点分析及解决方案.docx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对“服务期限、服务地点、质量标准、付款方式”条款进行响应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对招标文件“第三章 招标项目技术、服务、商务及其他要求第 3.2.2条”各项条款进行响应</w:t>
            </w:r>
          </w:p>
        </w:tc>
        <w:tc>
          <w:tcPr>
            <w:tcW w:type="dxa" w:w="1661"/>
          </w:tcPr>
          <w:p>
            <w:pPr>
              <w:pStyle w:val="null3"/>
            </w:pPr>
            <w:r>
              <w:rPr>
                <w:rFonts w:ascii="仿宋_GB2312" w:hAnsi="仿宋_GB2312" w:cs="仿宋_GB2312" w:eastAsia="仿宋_GB2312"/>
              </w:rPr>
              <w:t>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针对本项目提供的需求制定合理的方案，包括但不限于以下内容①项目认知分析；②松材线虫病疫木除治目标及除治区域现状分析；③成果资料收集整理措施；④除治成效方案。 以上内容均完整的，得满分12分，每有一条内容缺项的，扣3分；内容中每有一处不完整或有缺陷或与项目不匹配的，扣1.5分，扣完为止。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针对本项目提供的需求制定合理的方案，包括但不限于以下内容①质量保障措施；②进度保障措施；③安全保障措施。 以上内容均完整的，得满分9分，每有一条内容缺项的，扣3分；内容中每有一处不完整或有缺陷或与项目不匹配的，扣1.5分，扣完为止。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2.保障措施.docx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以上内容均完整的，得满分7分，每有一条内容缺项的，扣3.5分；内容中每有一处不完整或有缺陷或与项目不匹配的，扣1.75分，扣完为止。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应急组织机构②应急响应流程③作业过程中突发状况的应急处理方案④应急保障措施。以上内容均完整的，得满分12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4.应急处置方案.docx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项目拟投入专业人员，12人及以上得15分，8（含）-12人得10分，5（含）-8人得5分，5人以下或未提供不得分。注：人员以提供身份证正反面复印件为准。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5.项目团队配置.docx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承诺落实安全管理制度，制定防火应急预案，明确禁火期和极端天气停产规定。承诺作业人员工伤保险和人身意外险购买率达100%，配备必要的劳动防护用品，得6分。 2.合同履约进度承诺： 承诺严格按照合同约定时间节点完成阶段性除治任务，按月提交工作进度报告，得6分。 3.设备配置承诺： 承诺配备满足本项目要求的关键设备（包括但不限于无人机、诱捕器、打孔注药设备等）满足作业需求，得6分。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供应商具有2023年1月1日至投标文件递交截止时间（以合同签订时间为准）类似项目业绩，以协议书（合同）复印件为准，每提供一个得3.5分，最高得7分。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详见附件：1.项目实施方案.docx</w:t>
      </w:r>
    </w:p>
    <w:p>
      <w:pPr>
        <w:pStyle w:val="null3"/>
        <w:ind w:firstLine="960"/>
      </w:pPr>
      <w:r>
        <w:rPr>
          <w:rFonts w:ascii="仿宋_GB2312" w:hAnsi="仿宋_GB2312" w:cs="仿宋_GB2312" w:eastAsia="仿宋_GB2312"/>
        </w:rPr>
        <w:t>详见附件：2.保障措施.docx</w:t>
      </w:r>
    </w:p>
    <w:p>
      <w:pPr>
        <w:pStyle w:val="null3"/>
        <w:ind w:firstLine="960"/>
      </w:pPr>
      <w:r>
        <w:rPr>
          <w:rFonts w:ascii="仿宋_GB2312" w:hAnsi="仿宋_GB2312" w:cs="仿宋_GB2312" w:eastAsia="仿宋_GB2312"/>
        </w:rPr>
        <w:t>详见附件：3.重点难点分析及解决方案.docx</w:t>
      </w:r>
    </w:p>
    <w:p>
      <w:pPr>
        <w:pStyle w:val="null3"/>
        <w:ind w:firstLine="960"/>
      </w:pPr>
      <w:r>
        <w:rPr>
          <w:rFonts w:ascii="仿宋_GB2312" w:hAnsi="仿宋_GB2312" w:cs="仿宋_GB2312" w:eastAsia="仿宋_GB2312"/>
        </w:rPr>
        <w:t>详见附件：4.应急处置方案.docx</w:t>
      </w:r>
    </w:p>
    <w:p>
      <w:pPr>
        <w:pStyle w:val="null3"/>
        <w:ind w:firstLine="960"/>
      </w:pPr>
      <w:r>
        <w:rPr>
          <w:rFonts w:ascii="仿宋_GB2312" w:hAnsi="仿宋_GB2312" w:cs="仿宋_GB2312" w:eastAsia="仿宋_GB2312"/>
        </w:rPr>
        <w:t>详见附件：5.项目团队配置.docx</w:t>
      </w:r>
    </w:p>
    <w:p>
      <w:pPr>
        <w:pStyle w:val="null3"/>
        <w:ind w:firstLine="960"/>
      </w:pPr>
      <w:r>
        <w:rPr>
          <w:rFonts w:ascii="仿宋_GB2312" w:hAnsi="仿宋_GB2312" w:cs="仿宋_GB2312" w:eastAsia="仿宋_GB2312"/>
        </w:rPr>
        <w:t>详见附件：6.服务承诺.docx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