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版本号：OTXA-262023126020260604001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台湾同胞历史文化寻根行相关配套服务采购项目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OTXA-2620231260</w:t>
      </w:r>
      <w:r>
        <w:br/>
      </w:r>
      <w:r>
        <w:br/>
      </w:r>
      <w:r>
        <w:br/>
      </w:r>
    </w:p>
    <w:p>
      <w:pPr>
        <w:pStyle w:val="null3"/>
        <w:jc w:val="center"/>
        <w:outlineLvl w:val="2"/>
      </w:pPr>
      <w:r>
        <w:rPr>
          <w:rFonts w:ascii="仿宋_GB2312" w:hAnsi="仿宋_GB2312" w:cs="仿宋_GB2312" w:eastAsia="仿宋_GB2312"/>
          <w:sz w:val="28"/>
          <w:b/>
        </w:rPr>
        <w:t>省委对台办机关</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省委对台办机关</w:t>
      </w:r>
      <w:r>
        <w:rPr>
          <w:rFonts w:ascii="仿宋_GB2312" w:hAnsi="仿宋_GB2312" w:cs="仿宋_GB2312" w:eastAsia="仿宋_GB2312"/>
        </w:rPr>
        <w:t>委托，拟对</w:t>
      </w:r>
      <w:r>
        <w:rPr>
          <w:rFonts w:ascii="仿宋_GB2312" w:hAnsi="仿宋_GB2312" w:cs="仿宋_GB2312" w:eastAsia="仿宋_GB2312"/>
        </w:rPr>
        <w:t>台湾同胞历史文化寻根行相关配套服务采购项目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OTXA-2620231260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台湾同胞历史文化寻根行相关配套服务采购项目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台湾同胞历史文化寻根行相关配套服务采购项目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采购包1（台湾同胞历史文化寻根行相关配套服务采购项目）：属于专门面向中小企业采购。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2、法人代表授权书：法人代表授权书（原件）；</w:t>
      </w:r>
    </w:p>
    <w:p>
      <w:pPr>
        <w:pStyle w:val="null3"/>
      </w:pPr>
      <w:r>
        <w:rPr>
          <w:rFonts w:ascii="仿宋_GB2312" w:hAnsi="仿宋_GB2312" w:cs="仿宋_GB2312" w:eastAsia="仿宋_GB2312"/>
        </w:rPr>
        <w:t>3、财务状况报告：提供2024年至今任意一年度经审计的财务报告；/或提交响应文件截止时间前六个月内其基本账户开户银行出具的资信证明（附开户许可证或开户备案证明）；/或财政部门认可的政府采购专业担保机构出具的投标担保函（以上三种形式的资料提供任何一种即可）；</w:t>
      </w:r>
    </w:p>
    <w:p>
      <w:pPr>
        <w:pStyle w:val="null3"/>
      </w:pPr>
      <w:r>
        <w:rPr>
          <w:rFonts w:ascii="仿宋_GB2312" w:hAnsi="仿宋_GB2312" w:cs="仿宋_GB2312" w:eastAsia="仿宋_GB2312"/>
        </w:rPr>
        <w:t>4、税收缴纳证明：依法缴纳税收的良好记录（提供截止至开标时间12个月内任一月份的缴费凭据或完税证明，依法免税的单位应提供相关证明材料）；</w:t>
      </w:r>
    </w:p>
    <w:p>
      <w:pPr>
        <w:pStyle w:val="null3"/>
      </w:pPr>
      <w:r>
        <w:rPr>
          <w:rFonts w:ascii="仿宋_GB2312" w:hAnsi="仿宋_GB2312" w:cs="仿宋_GB2312" w:eastAsia="仿宋_GB2312"/>
        </w:rPr>
        <w:t>5、社会保障资金缴纳证明：依法缴纳社会保障资金的良好记录（提供截止至开标时间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7、信用查询：查询渠道：“信用中国”网站（www.creditchina.gov.vn）、中国政府采购网（www.ccgp.gov.vn）；以现场查询为准。 截止时点：谈判截止时间；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省委对台办机关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西安市雁塔区小寨路街道兴善寺东街57号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029-63906706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李小艺、孙翊轩、张强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029-89585662转805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采购包1：2,458,100.00元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开户名称：东方（西安）国际招标有限公司</w:t>
            </w:r>
          </w:p>
          <w:p>
            <w:pPr>
              <w:pStyle w:val="null3"/>
            </w:pPr>
            <w:r>
              <w:rPr>
                <w:rFonts w:ascii="仿宋_GB2312" w:hAnsi="仿宋_GB2312" w:cs="仿宋_GB2312" w:eastAsia="仿宋_GB2312"/>
              </w:rPr>
              <w:t>开户银行：招商银行股份有限公司西安神舟四路支行</w:t>
            </w:r>
          </w:p>
          <w:p>
            <w:pPr>
              <w:pStyle w:val="null3"/>
            </w:pPr>
            <w:r>
              <w:rPr>
                <w:rFonts w:ascii="仿宋_GB2312" w:hAnsi="仿宋_GB2312" w:cs="仿宋_GB2312" w:eastAsia="仿宋_GB2312"/>
              </w:rPr>
              <w:t>银行账号：129910095710606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省委对台办机关</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省委对台办机关</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省委对台办机关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联系人：李小艺、孙翊轩、张强</w:t>
      </w:r>
    </w:p>
    <w:p>
      <w:pPr>
        <w:pStyle w:val="null3"/>
      </w:pPr>
      <w:r>
        <w:rPr>
          <w:rFonts w:ascii="仿宋_GB2312" w:hAnsi="仿宋_GB2312" w:cs="仿宋_GB2312" w:eastAsia="仿宋_GB2312"/>
        </w:rPr>
        <w:t>联系电话：029-89585662转805</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台湾同胞历史文化寻根行相关配套服务采购项目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2,458,100.00</w:t>
      </w:r>
    </w:p>
    <w:p>
      <w:pPr>
        <w:pStyle w:val="null3"/>
      </w:pPr>
      <w:r>
        <w:rPr>
          <w:rFonts w:ascii="仿宋_GB2312" w:hAnsi="仿宋_GB2312" w:cs="仿宋_GB2312" w:eastAsia="仿宋_GB2312"/>
        </w:rPr>
        <w:t>采购包最高限价（元）: 2,458,100.00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住宿餐饮等相关配套服务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2,458,100.00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标的名称：住宿餐饮等相关配套服务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single"/>
                <w:left w:val="single"/>
                <w:bottom w:val="single"/>
                <w:right w:val="single"/>
                <w:insideH w:val="single"/>
                <w:insideV w:val="single"/>
              </w:tblBorders>
            </w:tblPr>
            <w:tblGrid>
              <w:gridCol w:w="390"/>
              <w:gridCol w:w="746"/>
              <w:gridCol w:w="568"/>
              <w:gridCol w:w="284"/>
              <w:gridCol w:w="284"/>
              <w:gridCol w:w="278"/>
            </w:tblGrid>
            <w:tr>
              <w:tc>
                <w:tcPr>
                  <w:tcW w:type="dxa" w:w="2550"/>
                  <w:gridSpan w:val="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由省台办邀请台湾参访团队24个共720人，工作人员20人</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住 宿</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房型</w:t>
                  </w:r>
                </w:p>
              </w:tc>
              <w:tc>
                <w:tcPr>
                  <w:tcW w:type="dxa" w:w="85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数量（间）</w:t>
                  </w:r>
                </w:p>
              </w:tc>
              <w:tc>
                <w:tcPr>
                  <w:tcW w:type="dxa" w:w="56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天数（天）</w:t>
                  </w:r>
                </w:p>
              </w:tc>
            </w:tr>
            <w:tr>
              <w:tc>
                <w:tcPr>
                  <w:tcW w:type="dxa" w:w="390"/>
                  <w:vMerge/>
                  <w:tcBorders>
                    <w:top w:val="none" w:color="000000" w:sz="4"/>
                    <w:left w:val="singl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标间</w:t>
                  </w:r>
                </w:p>
              </w:tc>
              <w:tc>
                <w:tcPr>
                  <w:tcW w:type="dxa" w:w="85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372</w:t>
                  </w:r>
                </w:p>
              </w:tc>
              <w:tc>
                <w:tcPr>
                  <w:tcW w:type="dxa" w:w="56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390"/>
                  <w:vMerge/>
                  <w:tcBorders>
                    <w:top w:val="none" w:color="000000" w:sz="4"/>
                    <w:left w:val="singl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标间（工作人员）</w:t>
                  </w:r>
                </w:p>
              </w:tc>
              <w:tc>
                <w:tcPr>
                  <w:tcW w:type="dxa" w:w="85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56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餐    饮</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类型</w:t>
                  </w:r>
                </w:p>
              </w:tc>
              <w:tc>
                <w:tcPr>
                  <w:tcW w:type="dxa" w:w="85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数量（人）</w:t>
                  </w:r>
                </w:p>
              </w:tc>
              <w:tc>
                <w:tcPr>
                  <w:tcW w:type="dxa" w:w="56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天数（天）</w:t>
                  </w:r>
                </w:p>
              </w:tc>
            </w:tr>
            <w:tr>
              <w:tc>
                <w:tcPr>
                  <w:tcW w:type="dxa" w:w="390"/>
                  <w:vMerge/>
                  <w:tcBorders>
                    <w:top w:val="none" w:color="000000" w:sz="4"/>
                    <w:left w:val="singl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日常用餐</w:t>
                  </w:r>
                </w:p>
              </w:tc>
              <w:tc>
                <w:tcPr>
                  <w:tcW w:type="dxa" w:w="85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720</w:t>
                  </w:r>
                  <w:r>
                    <w:rPr>
                      <w:rFonts w:ascii="仿宋_GB2312" w:hAnsi="仿宋_GB2312" w:cs="仿宋_GB2312" w:eastAsia="仿宋_GB2312"/>
                      <w:sz w:val="21"/>
                    </w:rPr>
                    <w:t>　</w:t>
                  </w:r>
                </w:p>
              </w:tc>
              <w:tc>
                <w:tcPr>
                  <w:tcW w:type="dxa" w:w="56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color w:val="000000"/>
                    </w:rPr>
                    <w:t>（含午餐、晚餐）　</w:t>
                  </w:r>
                </w:p>
              </w:tc>
            </w:tr>
            <w:tr>
              <w:tc>
                <w:tcPr>
                  <w:tcW w:type="dxa" w:w="390"/>
                  <w:vMerge/>
                  <w:tcBorders>
                    <w:top w:val="none" w:color="000000" w:sz="4"/>
                    <w:left w:val="singl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工作餐叙（办宴请）</w:t>
                  </w:r>
                </w:p>
              </w:tc>
              <w:tc>
                <w:tcPr>
                  <w:tcW w:type="dxa" w:w="85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56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次</w:t>
                  </w:r>
                </w:p>
              </w:tc>
            </w:tr>
            <w:tr>
              <w:tc>
                <w:tcPr>
                  <w:tcW w:type="dxa" w:w="390"/>
                  <w:vMerge w:val="restart"/>
                  <w:tcBorders>
                    <w:top w:val="none" w:color="000000" w:sz="4"/>
                    <w:left w:val="singl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租    车</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车型</w:t>
                  </w:r>
                </w:p>
              </w:tc>
              <w:tc>
                <w:tcPr>
                  <w:tcW w:type="dxa" w:w="85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数量（辆）</w:t>
                  </w:r>
                </w:p>
              </w:tc>
              <w:tc>
                <w:tcPr>
                  <w:tcW w:type="dxa" w:w="56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天数（天）</w:t>
                  </w:r>
                </w:p>
              </w:tc>
            </w:tr>
            <w:tr>
              <w:tc>
                <w:tcPr>
                  <w:tcW w:type="dxa" w:w="390"/>
                  <w:vMerge/>
                  <w:tcBorders>
                    <w:top w:val="none" w:color="000000" w:sz="4"/>
                    <w:left w:val="single" w:color="000000" w:sz="4"/>
                    <w:bottom w:val="none" w:color="000000" w:sz="4"/>
                    <w:right w:val="single" w:color="000000" w:sz="4"/>
                  </w:tcBorders>
                </w:tcPr>
                <w:p/>
              </w:tc>
              <w:tc>
                <w:tcPr>
                  <w:tcW w:type="dxa" w:w="746"/>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大巴车（38座）</w:t>
                  </w:r>
                </w:p>
              </w:tc>
              <w:tc>
                <w:tcPr>
                  <w:tcW w:type="dxa" w:w="852"/>
                  <w:gridSpan w:val="2"/>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w:t>
                  </w:r>
                  <w:r>
                    <w:rPr>
                      <w:rFonts w:ascii="仿宋_GB2312" w:hAnsi="仿宋_GB2312" w:cs="仿宋_GB2312" w:eastAsia="仿宋_GB2312"/>
                      <w:sz w:val="21"/>
                    </w:rPr>
                    <w:t>　</w:t>
                  </w:r>
                </w:p>
              </w:tc>
              <w:tc>
                <w:tcPr>
                  <w:tcW w:type="dxa" w:w="562"/>
                  <w:gridSpan w:val="2"/>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r>
                    <w:rPr>
                      <w:rFonts w:ascii="仿宋_GB2312" w:hAnsi="仿宋_GB2312" w:cs="仿宋_GB2312" w:eastAsia="仿宋_GB2312"/>
                      <w:sz w:val="21"/>
                    </w:rPr>
                    <w:t>　</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保    险</w:t>
                  </w:r>
                </w:p>
              </w:tc>
              <w:tc>
                <w:tcPr>
                  <w:tcW w:type="dxa" w:w="7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项目</w:t>
                  </w:r>
                </w:p>
              </w:tc>
              <w:tc>
                <w:tcPr>
                  <w:tcW w:type="dxa" w:w="852"/>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标准（元/人）</w:t>
                  </w:r>
                </w:p>
              </w:tc>
              <w:tc>
                <w:tcPr>
                  <w:tcW w:type="dxa" w:w="562"/>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人数（人）</w:t>
                  </w:r>
                </w:p>
              </w:tc>
            </w:tr>
            <w:tr>
              <w:tc>
                <w:tcPr>
                  <w:tcW w:type="dxa" w:w="390"/>
                  <w:vMerge/>
                  <w:tcBorders>
                    <w:top w:val="none" w:color="000000" w:sz="4"/>
                    <w:left w:val="singl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人身保险</w:t>
                  </w:r>
                </w:p>
              </w:tc>
              <w:tc>
                <w:tcPr>
                  <w:tcW w:type="dxa" w:w="85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r>
                    <w:rPr>
                      <w:rFonts w:ascii="仿宋_GB2312" w:hAnsi="仿宋_GB2312" w:cs="仿宋_GB2312" w:eastAsia="仿宋_GB2312"/>
                      <w:sz w:val="21"/>
                    </w:rPr>
                    <w:t>　</w:t>
                  </w:r>
                </w:p>
              </w:tc>
              <w:tc>
                <w:tcPr>
                  <w:tcW w:type="dxa" w:w="56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720</w:t>
                  </w:r>
                  <w:r>
                    <w:rPr>
                      <w:rFonts w:ascii="仿宋_GB2312" w:hAnsi="仿宋_GB2312" w:cs="仿宋_GB2312" w:eastAsia="仿宋_GB2312"/>
                      <w:sz w:val="21"/>
                    </w:rPr>
                    <w:t>　</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参 访</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参访</w:t>
                  </w:r>
                </w:p>
              </w:tc>
              <w:tc>
                <w:tcPr>
                  <w:tcW w:type="dxa" w:w="1414"/>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人数（人）</w:t>
                  </w:r>
                </w:p>
              </w:tc>
            </w:tr>
            <w:tr>
              <w:tc>
                <w:tcPr>
                  <w:tcW w:type="dxa" w:w="390"/>
                  <w:vMerge/>
                  <w:tcBorders>
                    <w:top w:val="none" w:color="000000" w:sz="4"/>
                    <w:left w:val="singl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城墙</w:t>
                  </w:r>
                </w:p>
              </w:tc>
              <w:tc>
                <w:tcPr>
                  <w:tcW w:type="dxa" w:w="1414"/>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720</w:t>
                  </w:r>
                </w:p>
              </w:tc>
            </w:tr>
            <w:tr>
              <w:tc>
                <w:tcPr>
                  <w:tcW w:type="dxa" w:w="390"/>
                  <w:vMerge/>
                  <w:tcBorders>
                    <w:top w:val="none" w:color="000000" w:sz="4"/>
                    <w:left w:val="singl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大雁塔</w:t>
                  </w:r>
                </w:p>
              </w:tc>
              <w:tc>
                <w:tcPr>
                  <w:tcW w:type="dxa" w:w="1414"/>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720</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导游服务</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　</w:t>
                  </w:r>
                </w:p>
              </w:tc>
              <w:tc>
                <w:tcPr>
                  <w:tcW w:type="dxa" w:w="85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人数（人）</w:t>
                  </w:r>
                </w:p>
              </w:tc>
              <w:tc>
                <w:tcPr>
                  <w:tcW w:type="dxa" w:w="56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天数（天）</w:t>
                  </w:r>
                </w:p>
              </w:tc>
            </w:tr>
            <w:tr>
              <w:tc>
                <w:tcPr>
                  <w:tcW w:type="dxa" w:w="390"/>
                  <w:vMerge/>
                  <w:tcBorders>
                    <w:top w:val="none" w:color="000000" w:sz="4"/>
                    <w:left w:val="singl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　</w:t>
                  </w:r>
                </w:p>
              </w:tc>
              <w:tc>
                <w:tcPr>
                  <w:tcW w:type="dxa" w:w="85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w:t>
                  </w:r>
                  <w:r>
                    <w:rPr>
                      <w:rFonts w:ascii="仿宋_GB2312" w:hAnsi="仿宋_GB2312" w:cs="仿宋_GB2312" w:eastAsia="仿宋_GB2312"/>
                      <w:sz w:val="21"/>
                    </w:rPr>
                    <w:t>　</w:t>
                  </w:r>
                </w:p>
              </w:tc>
              <w:tc>
                <w:tcPr>
                  <w:tcW w:type="dxa" w:w="562"/>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r>
                    <w:rPr>
                      <w:rFonts w:ascii="仿宋_GB2312" w:hAnsi="仿宋_GB2312" w:cs="仿宋_GB2312" w:eastAsia="仿宋_GB2312"/>
                      <w:sz w:val="21"/>
                    </w:rPr>
                    <w:t>　</w:t>
                  </w:r>
                </w:p>
              </w:tc>
            </w:tr>
            <w:tr>
              <w:tc>
                <w:tcPr>
                  <w:tcW w:type="dxa" w:w="3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其他</w:t>
                  </w: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物资</w:t>
                  </w:r>
                </w:p>
              </w:tc>
              <w:tc>
                <w:tcPr>
                  <w:tcW w:type="dxa" w:w="1414"/>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数量（份）</w:t>
                  </w:r>
                </w:p>
              </w:tc>
            </w:tr>
            <w:tr>
              <w:tc>
                <w:tcPr>
                  <w:tcW w:type="dxa" w:w="390"/>
                  <w:vMerge/>
                  <w:tcBorders>
                    <w:top w:val="none" w:color="000000" w:sz="4"/>
                    <w:left w:val="singl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防疫物资</w:t>
                  </w:r>
                </w:p>
                <w:p>
                  <w:pPr>
                    <w:pStyle w:val="null3"/>
                    <w:jc w:val="center"/>
                  </w:pPr>
                  <w:r>
                    <w:rPr>
                      <w:rFonts w:ascii="仿宋_GB2312" w:hAnsi="仿宋_GB2312" w:cs="仿宋_GB2312" w:eastAsia="仿宋_GB2312"/>
                      <w:sz w:val="21"/>
                    </w:rPr>
                    <w:t>手消、口罩、消毒湿巾、纸巾等</w:t>
                  </w:r>
                </w:p>
              </w:tc>
              <w:tc>
                <w:tcPr>
                  <w:tcW w:type="dxa" w:w="1414"/>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720</w:t>
                  </w:r>
                </w:p>
              </w:tc>
            </w:tr>
            <w:tr>
              <w:tc>
                <w:tcPr>
                  <w:tcW w:type="dxa" w:w="390"/>
                  <w:vMerge/>
                  <w:tcBorders>
                    <w:top w:val="none" w:color="000000" w:sz="4"/>
                    <w:left w:val="singl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防雨物资</w:t>
                  </w:r>
                  <w:r>
                    <w:rPr>
                      <w:rFonts w:ascii="仿宋_GB2312" w:hAnsi="仿宋_GB2312" w:cs="仿宋_GB2312" w:eastAsia="仿宋_GB2312"/>
                      <w:sz w:val="21"/>
                    </w:rPr>
                    <w:t>（包括但不限于</w:t>
                  </w:r>
                  <w:r>
                    <w:rPr>
                      <w:rFonts w:ascii="仿宋_GB2312" w:hAnsi="仿宋_GB2312" w:cs="仿宋_GB2312" w:eastAsia="仿宋_GB2312"/>
                      <w:sz w:val="21"/>
                    </w:rPr>
                    <w:t>雨伞、雨衣套装（纯色）、防滑雨靴（纯色）</w:t>
                  </w:r>
                  <w:r>
                    <w:rPr>
                      <w:rFonts w:ascii="仿宋_GB2312" w:hAnsi="仿宋_GB2312" w:cs="仿宋_GB2312" w:eastAsia="仿宋_GB2312"/>
                      <w:sz w:val="21"/>
                    </w:rPr>
                    <w:t>）</w:t>
                  </w:r>
                </w:p>
              </w:tc>
              <w:tc>
                <w:tcPr>
                  <w:tcW w:type="dxa" w:w="1414"/>
                  <w:gridSpan w:val="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720</w:t>
                  </w:r>
                </w:p>
              </w:tc>
            </w:tr>
            <w:tr>
              <w:tc>
                <w:tcPr>
                  <w:tcW w:type="dxa" w:w="390"/>
                  <w:vMerge/>
                  <w:tcBorders>
                    <w:top w:val="none" w:color="000000" w:sz="4"/>
                    <w:left w:val="single" w:color="000000" w:sz="4"/>
                    <w:bottom w:val="single" w:color="000000" w:sz="4"/>
                    <w:right w:val="single" w:color="000000" w:sz="4"/>
                  </w:tcBorders>
                </w:tcPr>
                <w:p/>
              </w:tc>
              <w:tc>
                <w:tcPr>
                  <w:tcW w:type="dxa" w:w="2160"/>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接送机/站 服务</w:t>
                  </w:r>
                </w:p>
              </w:tc>
            </w:tr>
            <w:tr>
              <w:tc>
                <w:tcPr>
                  <w:tcW w:type="dxa" w:w="390"/>
                  <w:vMerge/>
                  <w:tcBorders>
                    <w:top w:val="none" w:color="000000" w:sz="4"/>
                    <w:left w:val="singl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物资</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人数（人）</w:t>
                  </w:r>
                </w:p>
              </w:tc>
              <w:tc>
                <w:tcPr>
                  <w:tcW w:type="dxa" w:w="56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数量（瓶）</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天数（天）</w:t>
                  </w:r>
                </w:p>
              </w:tc>
            </w:tr>
            <w:tr>
              <w:tc>
                <w:tcPr>
                  <w:tcW w:type="dxa" w:w="390"/>
                  <w:vMerge/>
                  <w:tcBorders>
                    <w:top w:val="none" w:color="000000" w:sz="4"/>
                    <w:left w:val="single" w:color="000000" w:sz="4"/>
                    <w:bottom w:val="single" w:color="000000" w:sz="4"/>
                    <w:right w:val="single" w:color="000000" w:sz="4"/>
                  </w:tcBorders>
                </w:tcPr>
                <w:p/>
              </w:tc>
              <w:tc>
                <w:tcPr>
                  <w:tcW w:type="dxa" w:w="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矿泉水（指定品牌）</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720</w:t>
                  </w:r>
                </w:p>
              </w:tc>
              <w:tc>
                <w:tcPr>
                  <w:tcW w:type="dxa" w:w="568"/>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1、住宿：</w:t>
            </w:r>
          </w:p>
          <w:p>
            <w:pPr>
              <w:pStyle w:val="null3"/>
            </w:pPr>
            <w:r>
              <w:rPr>
                <w:rFonts w:ascii="仿宋_GB2312" w:hAnsi="仿宋_GB2312" w:cs="仿宋_GB2312" w:eastAsia="仿宋_GB2312"/>
                <w:sz w:val="21"/>
              </w:rPr>
              <w:t>（1）所选酒店为四星级及以上旅游饭店，具备完整营业执照、卫生许可证，近三年无重大安全事故、卫生投诉及消防隐患。</w:t>
            </w:r>
          </w:p>
          <w:p>
            <w:pPr>
              <w:pStyle w:val="null3"/>
            </w:pPr>
            <w:r>
              <w:rPr>
                <w:rFonts w:ascii="仿宋_GB2312" w:hAnsi="仿宋_GB2312" w:cs="仿宋_GB2312" w:eastAsia="仿宋_GB2312"/>
                <w:sz w:val="21"/>
              </w:rPr>
              <w:t>（2）客房标准：套间配备卧室、卫浴，设施完备，含床品、办公桌椅、WiFi、24小时恒温热水、中央空调等。</w:t>
            </w:r>
          </w:p>
          <w:p>
            <w:pPr>
              <w:pStyle w:val="null3"/>
            </w:pPr>
            <w:r>
              <w:rPr>
                <w:rFonts w:ascii="仿宋_GB2312" w:hAnsi="仿宋_GB2312" w:cs="仿宋_GB2312" w:eastAsia="仿宋_GB2312"/>
                <w:sz w:val="21"/>
              </w:rPr>
              <w:t>（3）住宿标间面积≥25㎡，床品一客一换，客房每日定时深度清洁，提供洗漱用品、饮用水、纸巾等基础物资。</w:t>
            </w:r>
          </w:p>
          <w:p>
            <w:pPr>
              <w:pStyle w:val="null3"/>
            </w:pPr>
            <w:r>
              <w:rPr>
                <w:rFonts w:ascii="仿宋_GB2312" w:hAnsi="仿宋_GB2312" w:cs="仿宋_GB2312" w:eastAsia="仿宋_GB2312"/>
                <w:sz w:val="21"/>
              </w:rPr>
              <w:t>（4）配套服务：酒店包含自助早餐，提供24小时前台接待、行李搬运、安保巡逻、紧急报修服务，设置专属团队接待区域，预留充足停车位，保障团队入住、退房高效便捷，同步提供叫醒、衣物熨烫等增值服务。</w:t>
            </w:r>
          </w:p>
          <w:p>
            <w:pPr>
              <w:pStyle w:val="null3"/>
            </w:pPr>
            <w:r>
              <w:rPr>
                <w:rFonts w:ascii="仿宋_GB2312" w:hAnsi="仿宋_GB2312" w:cs="仿宋_GB2312" w:eastAsia="仿宋_GB2312"/>
                <w:sz w:val="21"/>
              </w:rPr>
              <w:t>（5）位置要求：酒店位于西安市六城区内，交通便利，距离行程景点、用餐地点便利，周边配套完善，无治安盲区。</w:t>
            </w:r>
          </w:p>
          <w:p>
            <w:pPr>
              <w:pStyle w:val="null3"/>
            </w:pPr>
            <w:r>
              <w:rPr>
                <w:rFonts w:ascii="仿宋_GB2312" w:hAnsi="仿宋_GB2312" w:cs="仿宋_GB2312" w:eastAsia="仿宋_GB2312"/>
                <w:sz w:val="21"/>
              </w:rPr>
              <w:t>2、餐饮：</w:t>
            </w:r>
          </w:p>
          <w:p>
            <w:pPr>
              <w:pStyle w:val="null3"/>
            </w:pPr>
            <w:r>
              <w:rPr>
                <w:rFonts w:ascii="仿宋_GB2312" w:hAnsi="仿宋_GB2312" w:cs="仿宋_GB2312" w:eastAsia="仿宋_GB2312"/>
                <w:sz w:val="21"/>
              </w:rPr>
              <w:t>（1）宴请地点至少提供两家以上方案，可容纳预计人数，交通便利，环境整洁，以特色菜系为主，菜品精致，含冷菜、热菜、主食、甜品等，配备专属服务人员，提供餐前引导、席间服务、餐后收尾全流程服务，满足商务接待礼仪标准。</w:t>
            </w:r>
          </w:p>
          <w:p>
            <w:pPr>
              <w:pStyle w:val="null3"/>
            </w:pPr>
            <w:r>
              <w:rPr>
                <w:rFonts w:ascii="仿宋_GB2312" w:hAnsi="仿宋_GB2312" w:cs="仿宋_GB2312" w:eastAsia="仿宋_GB2312"/>
                <w:sz w:val="21"/>
              </w:rPr>
              <w:t>（2）日常用餐标准：餐饮类型需具备陕西特色风味、菜品荤素搭配合理、营养均衡、工作餐种类丰富，工作餐方案至少提出两种供采购人选择。用餐场地宽敞整洁，可同时容纳预计人数就餐，配备充足桌椅、餐具，专人负责现场秩序维护与餐后清洁。</w:t>
            </w:r>
          </w:p>
          <w:p>
            <w:pPr>
              <w:pStyle w:val="null3"/>
            </w:pPr>
            <w:r>
              <w:rPr>
                <w:rFonts w:ascii="仿宋_GB2312" w:hAnsi="仿宋_GB2312" w:cs="仿宋_GB2312" w:eastAsia="仿宋_GB2312"/>
                <w:sz w:val="21"/>
              </w:rPr>
              <w:t>3、车辆：</w:t>
            </w:r>
          </w:p>
          <w:p>
            <w:pPr>
              <w:pStyle w:val="null3"/>
            </w:pPr>
            <w:r>
              <w:rPr>
                <w:rFonts w:ascii="仿宋_GB2312" w:hAnsi="仿宋_GB2312" w:cs="仿宋_GB2312" w:eastAsia="仿宋_GB2312"/>
                <w:sz w:val="21"/>
              </w:rPr>
              <w:t>（1）提供的所有车辆手续齐全，具备有效行驶证、营运证、保险单，车况良好，车内无异味、内饰整洁，座椅舒适无破损，配备空调、应急逃生工具。</w:t>
            </w:r>
          </w:p>
          <w:p>
            <w:pPr>
              <w:pStyle w:val="null3"/>
            </w:pPr>
            <w:r>
              <w:rPr>
                <w:rFonts w:ascii="仿宋_GB2312" w:hAnsi="仿宋_GB2312" w:cs="仿宋_GB2312" w:eastAsia="仿宋_GB2312"/>
                <w:sz w:val="21"/>
              </w:rPr>
              <w:t>（2）38座大巴车:旅游巴士，内饰整洁、座椅舒适，车内干净无异味；安全配套设施完备。</w:t>
            </w:r>
          </w:p>
          <w:p>
            <w:pPr>
              <w:pStyle w:val="null3"/>
            </w:pPr>
            <w:r>
              <w:rPr>
                <w:rFonts w:ascii="仿宋_GB2312" w:hAnsi="仿宋_GB2312" w:cs="仿宋_GB2312" w:eastAsia="仿宋_GB2312"/>
                <w:sz w:val="21"/>
              </w:rPr>
              <w:t>（3）驾驶员要求：驾驶员驾龄≥5年，持有对应车型驾驶证、从业资格证，无重大交通事故、酒驾、醉驾记录，熟悉本地路况及行程路线，着装规范、服务热情，准时准点接送，行车平稳安全，严格遵守交通规则。</w:t>
            </w:r>
          </w:p>
          <w:p>
            <w:pPr>
              <w:pStyle w:val="null3"/>
            </w:pPr>
            <w:r>
              <w:rPr>
                <w:rFonts w:ascii="仿宋_GB2312" w:hAnsi="仿宋_GB2312" w:cs="仿宋_GB2312" w:eastAsia="仿宋_GB2312"/>
                <w:sz w:val="21"/>
              </w:rPr>
              <w:t>（4）调度管理：设立专属车辆调度专员，全程统筹车辆排班、路线规划，提前规避拥堵路段，保障车辆准时到位，无迟到、漏接情况，车辆空闲时有序停放，专人看管，确保车辆及车内物品安全。</w:t>
            </w:r>
          </w:p>
          <w:p>
            <w:pPr>
              <w:pStyle w:val="null3"/>
            </w:pPr>
            <w:r>
              <w:rPr>
                <w:rFonts w:ascii="仿宋_GB2312" w:hAnsi="仿宋_GB2312" w:cs="仿宋_GB2312" w:eastAsia="仿宋_GB2312"/>
                <w:sz w:val="21"/>
              </w:rPr>
              <w:t>4、保险</w:t>
            </w:r>
          </w:p>
          <w:p>
            <w:pPr>
              <w:pStyle w:val="null3"/>
            </w:pPr>
            <w:r>
              <w:rPr>
                <w:rFonts w:ascii="仿宋_GB2312" w:hAnsi="仿宋_GB2312" w:cs="仿宋_GB2312" w:eastAsia="仿宋_GB2312"/>
                <w:sz w:val="21"/>
              </w:rPr>
              <w:t>选用国内正规保险公司，保险产品合规备案，保障额度充足，意外身故/伤残保额≥50万元/人，意外医疗保额≥5万元/人，含住院津贴、紧急医疗转运等增值服务。</w:t>
            </w:r>
          </w:p>
          <w:p>
            <w:pPr>
              <w:pStyle w:val="null3"/>
            </w:pPr>
            <w:r>
              <w:rPr>
                <w:rFonts w:ascii="仿宋_GB2312" w:hAnsi="仿宋_GB2312" w:cs="仿宋_GB2312" w:eastAsia="仿宋_GB2312"/>
                <w:sz w:val="21"/>
              </w:rPr>
              <w:t>5、参访：</w:t>
            </w:r>
          </w:p>
          <w:p>
            <w:pPr>
              <w:pStyle w:val="null3"/>
            </w:pPr>
            <w:r>
              <w:rPr>
                <w:rFonts w:ascii="仿宋_GB2312" w:hAnsi="仿宋_GB2312" w:cs="仿宋_GB2312" w:eastAsia="仿宋_GB2312"/>
                <w:sz w:val="21"/>
              </w:rPr>
              <w:t>（1）提前采购景点门票，确保团队无需排队购票，优先入园，门票真实有效，无假票、废票情况，针对景点特殊游览区域、演出项目，按需协调预约，保障游览权益。</w:t>
            </w:r>
          </w:p>
          <w:p>
            <w:pPr>
              <w:pStyle w:val="null3"/>
            </w:pPr>
            <w:r>
              <w:rPr>
                <w:rFonts w:ascii="仿宋_GB2312" w:hAnsi="仿宋_GB2312" w:cs="仿宋_GB2312" w:eastAsia="仿宋_GB2312"/>
                <w:sz w:val="21"/>
              </w:rPr>
              <w:t>（2）游览保障：提前与景点管理方对接，规划专属游览路线，避开客流高峰，合理分配游览时间，确保团队有序游览；协调景点内讲解设备、休息区域，保障游览过程顺利。</w:t>
            </w:r>
          </w:p>
          <w:p>
            <w:pPr>
              <w:pStyle w:val="null3"/>
            </w:pPr>
            <w:r>
              <w:rPr>
                <w:rFonts w:ascii="仿宋_GB2312" w:hAnsi="仿宋_GB2312" w:cs="仿宋_GB2312" w:eastAsia="仿宋_GB2312"/>
                <w:sz w:val="21"/>
              </w:rPr>
              <w:t>6、导游：</w:t>
            </w:r>
          </w:p>
          <w:p>
            <w:pPr>
              <w:pStyle w:val="null3"/>
            </w:pPr>
            <w:r>
              <w:rPr>
                <w:rFonts w:ascii="仿宋_GB2312" w:hAnsi="仿宋_GB2312" w:cs="仿宋_GB2312" w:eastAsia="仿宋_GB2312"/>
                <w:sz w:val="21"/>
              </w:rPr>
              <w:t>（1）所有导游持有国家级导游资格证，熟悉西安本地历史文化、景点典故，普通话标准流利，部分导游具备外语讲解能力，形象得体、服务意识强，无投诉记录。</w:t>
            </w:r>
          </w:p>
          <w:p>
            <w:pPr>
              <w:pStyle w:val="null3"/>
            </w:pPr>
            <w:r>
              <w:rPr>
                <w:rFonts w:ascii="仿宋_GB2312" w:hAnsi="仿宋_GB2312" w:cs="仿宋_GB2312" w:eastAsia="仿宋_GB2312"/>
                <w:sz w:val="21"/>
              </w:rPr>
              <w:t>（2）服务职责：导游提前熟悉全程行程，做好讲解准备，全程陪同引导，讲解内容专业详实；负责团队人员清点、行程衔接、突发情况处理，协助解决住宿、餐饮、出行等各类问题，每日提前确认次日行程安排，及时同步信息。</w:t>
            </w:r>
          </w:p>
          <w:p>
            <w:pPr>
              <w:pStyle w:val="null3"/>
            </w:pPr>
            <w:r>
              <w:rPr>
                <w:rFonts w:ascii="仿宋_GB2312" w:hAnsi="仿宋_GB2312" w:cs="仿宋_GB2312" w:eastAsia="仿宋_GB2312"/>
                <w:sz w:val="21"/>
              </w:rPr>
              <w:t>（3）团队管理：导游分组对接团队成员，每组配备1-2名导游，责任到人，确保全程无人员走失、无行程遗漏，高效落实各项接待服务。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2026年7月-2026年10月（具体时间以采购人指定为准）。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进度款，项目执行完毕并经甲方验收合格后，乙方提交完整结算清单，经甲乙双方核对确认无误，乙方开具等额合规增值税发票，甲方收到有效发票后，达到付款条件起30个工作日内，支付合同总金额的100.0%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陕西省政府采购供应商拒接政府采购领域商业贿赂承诺书.docx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法人代表授权书（原件）；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度经审计的财务报告；/或提交响应文件截止时间前六个月内其基本账户开户银行出具的资信证明（附开户许可证或开户备案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依法缴纳税收的良好记录（提供截止至开标时间12个月内任一月份的缴费凭据或完税证明，依法免税的单位应提供相关证明材料）；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依法缴纳社会保障资金的良好记录（提供截止至开标时间12个月内任一月份的缴费凭据或社保机构开具的社会保险参保缴费情况证明，依法不需要缴纳社会保障资金的单位应提供相关证明材料）；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截止时点：谈判截止时间； 信用信息查询记录和证据留存的具体方式：网上查询结果打印。 信用信息的使用规则：凡在截止时点内，列入失信被执行人、重大税收违法案件当事人名单、政府采购严重违法失信行为记录名单的供应商，其磋商响应视为无效。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服务要求响应程度</w:t>
            </w:r>
          </w:p>
        </w:tc>
        <w:tc>
          <w:tcPr>
            <w:tcW w:type="dxa" w:w="2492"/>
          </w:tcPr>
          <w:p>
            <w:pPr>
              <w:pStyle w:val="null3"/>
            </w:pPr>
            <w:r>
              <w:rPr>
                <w:rFonts w:ascii="仿宋_GB2312" w:hAnsi="仿宋_GB2312" w:cs="仿宋_GB2312" w:eastAsia="仿宋_GB2312"/>
              </w:rPr>
              <w:t>依据磋商响应文件所提供的磋商响应服务要求的响应程度，按差别赋分：完全满足磋商文件服务要求，得满分；服务要求一项不满足，扣1分；扣完为止，不计负分。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根据磋商响应文件提供的针对本项目的总体实施方案，方案内容涵盖本项目全部内容，至少包括①住宿服务标准；②整体进度计划安排；③保证服务质量措施等内容。 上述3方面内容中每有1项分析内容完整、与项目需求吻合全面、安排合理、有具体详细的闸述且符合项目要求的得3分，最高得9分；每缺少一项内容的扣3分，每有一处需求分析内容存在缺陷或不足的扣1分，扣完为止。 注：未提供总体实施方案相关材料，本项不得分。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拟提供酒店方案</w:t>
            </w:r>
          </w:p>
        </w:tc>
        <w:tc>
          <w:tcPr>
            <w:tcW w:type="dxa" w:w="2492"/>
          </w:tcPr>
          <w:p>
            <w:pPr>
              <w:pStyle w:val="null3"/>
            </w:pPr>
            <w:r>
              <w:rPr>
                <w:rFonts w:ascii="仿宋_GB2312" w:hAnsi="仿宋_GB2312" w:cs="仿宋_GB2312" w:eastAsia="仿宋_GB2312"/>
              </w:rPr>
              <w:t>根据磋商响应文件所提供的酒店服务方案，包括但不限于①住宿地点选择及交通情况；②住宿房间安排布局；③住宿卫生环境；④住宿安全保障措施等内容。 上述4方面内容中每有1项分析内容完整、有具体详细的闸述且符合项目要求的得3分，最高得12分；每缺少一项内容的扣3分，每有一处需求分析内容存在缺陷或不足的扣2分，扣完为止。 注：未提供酒店服务相关材料，本项不得分。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拟提供车辆方案</w:t>
            </w:r>
          </w:p>
        </w:tc>
        <w:tc>
          <w:tcPr>
            <w:tcW w:type="dxa" w:w="2492"/>
          </w:tcPr>
          <w:p>
            <w:pPr>
              <w:pStyle w:val="null3"/>
            </w:pPr>
            <w:r>
              <w:rPr>
                <w:rFonts w:ascii="仿宋_GB2312" w:hAnsi="仿宋_GB2312" w:cs="仿宋_GB2312" w:eastAsia="仿宋_GB2312"/>
              </w:rPr>
              <w:t>根据磋商响应文件所提供的车辆服务，包括但不限于①服务人员（司机）配备情况；②所提供的车辆数量、型号、手续（保险等）、新旧等情况；③其他可调配的车型等内容。 上述3方面内容中每有1项分析内容完整、针对性强、有具体详细的闸述且符合项目要求的得3分，最高得9分；每缺少一项内容的扣3分，每有一处需求分析内容存在缺陷或不足的扣 1分，扣完为止。 注：未提供车辆服务方案相关材料，本项不得分。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餐饮方案</w:t>
            </w:r>
          </w:p>
        </w:tc>
        <w:tc>
          <w:tcPr>
            <w:tcW w:type="dxa" w:w="2492"/>
          </w:tcPr>
          <w:p>
            <w:pPr>
              <w:pStyle w:val="null3"/>
            </w:pPr>
            <w:r>
              <w:rPr>
                <w:rFonts w:ascii="仿宋_GB2312" w:hAnsi="仿宋_GB2312" w:cs="仿宋_GB2312" w:eastAsia="仿宋_GB2312"/>
              </w:rPr>
              <w:t>根据磋商响应文件所提供的餐饮就餐方案，包括但不限于①就餐地点、环境；②食品质量保障；③菜品搭配方案等内容。 上述3方面内容中每有1项分析内容完整、针对性强、搭配合理、有具体详细的闸述且符合项目要求的得3分，最高得9分；每缺少一项内容的扣3分，每有一处需求分析内容存在缺陷或不足的扣1分，扣完为止。 注：未提供餐饮就餐相关材料，本项不得分。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参访方案</w:t>
            </w:r>
          </w:p>
        </w:tc>
        <w:tc>
          <w:tcPr>
            <w:tcW w:type="dxa" w:w="2492"/>
          </w:tcPr>
          <w:p>
            <w:pPr>
              <w:pStyle w:val="null3"/>
            </w:pPr>
            <w:r>
              <w:rPr>
                <w:rFonts w:ascii="仿宋_GB2312" w:hAnsi="仿宋_GB2312" w:cs="仿宋_GB2312" w:eastAsia="仿宋_GB2312"/>
              </w:rPr>
              <w:t>根据磋商响应文件所提供的参访方案，包括但不限于①景点参访流程；②导游配备情况；③参访景点可提供其他服务等内容。 上述3方面内容中每有1项分析内容完整、针对性强、有具体详细的闸述且符合项目要求的得3分，最高得9分；每缺少一项内容的扣3分，每有一处需求分析内容存在缺陷或不足的扣 2分，扣完为止。 注：未提供参访方案相关材料，本项不得分。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其他物资配备方案</w:t>
            </w:r>
          </w:p>
        </w:tc>
        <w:tc>
          <w:tcPr>
            <w:tcW w:type="dxa" w:w="2492"/>
          </w:tcPr>
          <w:p>
            <w:pPr>
              <w:pStyle w:val="null3"/>
            </w:pPr>
            <w:r>
              <w:rPr>
                <w:rFonts w:ascii="仿宋_GB2312" w:hAnsi="仿宋_GB2312" w:cs="仿宋_GB2312" w:eastAsia="仿宋_GB2312"/>
              </w:rPr>
              <w:t>根据磋商响应文件所提供的其他物资配备方案，包括但不限于①配备饮用水品牌、数量；②防疫、防雨物资；③拟提供保险方案等内容。 上述3方面内容中每有1项分析内容完整、针对性强、有具体详细的闸述且符合项目要求的得2分，最高得6分；每缺少一项内容的扣2分，每有一处需求分析内容存在缺陷或不足的扣 1分，扣完为止。 注：未提供其他物资配备相关材料，本项不得分。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根据磋商响应文件所提供的服务团队方案，包括但不限于①人员岗位分配；②人员管理制度；③人员资质经验；④项目负责人等内容。 上述4方面内容中每有1项分析内容完整、岗位职责清晰、有具体详细的闸述且符合项目要求的得1.5分，最高得6分；每缺少一项内容的扣1.5分，每有一处需求分析内容存在缺陷或不足的扣0.5分，扣完为止。 注：未提供服务团队相关材料，本项不得分。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根据磋商响应文件提供的针对本项目的突发事件应急预案方案，方案内容涵盖本项目全部内容，至少包括①突发交通事故、火灾、食物中毒等情况；②所有可能会发生的事故及对策等内容。 上述2方面内容中每有1项分析内容完整、与项目需求吻合全面、安排合理、有具体详细的闸述且符合项目要求的得2分，最高得4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针对本项目的除文件要求外的其他相关增值服务承诺（格式自拟）、内容包括但不限于：严格按照相关技术规范、标准及甲方要求提供服务及相关其他保障甲方需求的承诺，提供得3分；未提供本项不得分。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满足磋商文件商务条款得3分，一项不满足本项不得分。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依据磋商响应文件提供的2024年1月1日起至今，磋商响应单位类似实施案例证明材料（以合同复印件为准，合同复印件至少含能反映采购内容页、双方签字盖章页等）每提供一份完整的业绩证明材料，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最低评审价为评审基准价，得15分。 2.按（评审基准价/评审价×15）的公式计算价格得分。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详见附件：合作协议.docx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