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版本号：SXXZ-ZB-202600720260526001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印刷设备采购项目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SXXZ-ZB-2026007</w:t>
      </w:r>
      <w:r>
        <w:br/>
      </w:r>
      <w:r>
        <w:br/>
      </w:r>
      <w:r>
        <w:br/>
      </w:r>
    </w:p>
    <w:p>
      <w:pPr>
        <w:pStyle w:val="null3"/>
        <w:jc w:val="center"/>
        <w:outlineLvl w:val="2"/>
      </w:pPr>
      <w:r>
        <w:rPr>
          <w:rFonts w:ascii="仿宋_GB2312" w:hAnsi="仿宋_GB2312" w:cs="仿宋_GB2312" w:eastAsia="仿宋_GB2312"/>
          <w:sz w:val="28"/>
          <w:b/>
        </w:rPr>
        <w:t>中共陕西省委机要印务中心</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中共陕西省委机要印务中心</w:t>
      </w:r>
      <w:r>
        <w:rPr>
          <w:rFonts w:ascii="仿宋_GB2312" w:hAnsi="仿宋_GB2312" w:cs="仿宋_GB2312" w:eastAsia="仿宋_GB2312"/>
        </w:rPr>
        <w:t>委托，拟对</w:t>
      </w:r>
      <w:r>
        <w:rPr>
          <w:rFonts w:ascii="仿宋_GB2312" w:hAnsi="仿宋_GB2312" w:cs="仿宋_GB2312" w:eastAsia="仿宋_GB2312"/>
        </w:rPr>
        <w:t>印刷设备采购项目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SXXZ-ZB-2026007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印刷设备采购项目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本次采购内容包括：数码印刷机2台。计算机直接制版机（CTP）1台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1、具有独立承担民事责任能力的法人、其他组织或自然人：法人或者其他组织须提供营业执照等证明文件 , 自然人须提供身份证明，供应商需在项目电子化交易系统中按要求上传相应证明文件并进行电子签章。</w:t>
      </w:r>
    </w:p>
    <w:p>
      <w:pPr>
        <w:pStyle w:val="null3"/>
      </w:pPr>
      <w:r>
        <w:rPr>
          <w:rFonts w:ascii="仿宋_GB2312" w:hAnsi="仿宋_GB2312" w:cs="仿宋_GB2312" w:eastAsia="仿宋_GB2312"/>
        </w:rPr>
        <w:t>2、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4、社保缴纳凭证：自2025年10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凭证：自2025年10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财务状况报告：提供2024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p>
      <w:pPr>
        <w:pStyle w:val="null3"/>
      </w:pPr>
      <w:r>
        <w:rPr>
          <w:rFonts w:ascii="仿宋_GB2312" w:hAnsi="仿宋_GB2312" w:cs="仿宋_GB2312" w:eastAsia="仿宋_GB2312"/>
        </w:rPr>
        <w:t>7、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1、具有独立承担民事责任能力的法人、其他组织或自然人：法人或者其他组织须提供营业执照等证明文件 , 自然人须提供身份证明，投标人需在项目电子化交易系统中按要求上传相应证明文件并进行电子签章。</w:t>
      </w:r>
    </w:p>
    <w:p>
      <w:pPr>
        <w:pStyle w:val="null3"/>
      </w:pPr>
      <w:r>
        <w:rPr>
          <w:rFonts w:ascii="仿宋_GB2312" w:hAnsi="仿宋_GB2312" w:cs="仿宋_GB2312" w:eastAsia="仿宋_GB2312"/>
        </w:rPr>
        <w:t>2、参加本次政府采购活动前3年内在经营活动中没有重大违法记录的书面声明：参加本次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3、具有履行合同所必需的设备和专业技术能力的承诺函：具有履行合同所必需的设备和专业技术能力的承诺函，投标人需在项目电子化交易系统中按要求上传相应证明文件并进行电子签章。</w:t>
      </w:r>
    </w:p>
    <w:p>
      <w:pPr>
        <w:pStyle w:val="null3"/>
      </w:pPr>
      <w:r>
        <w:rPr>
          <w:rFonts w:ascii="仿宋_GB2312" w:hAnsi="仿宋_GB2312" w:cs="仿宋_GB2312" w:eastAsia="仿宋_GB2312"/>
        </w:rPr>
        <w:t>4、社保缴纳凭证：自2025年10月1日以来已缴存的至少一个月的社会保障资金缴存单据或社保机构开具的社会保险参保缴费情况证明，单据或证明上应有社保机构或代收机构的公章或业务专用章；依法不需要缴纳社会保障资金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5、税收缴纳凭证：自2025年10月1日以来已缴纳的至少一个月的纳税证明或完税证明，纳税证明或完税证明上应有代收机构或税务机关的公章或业务专用章；依法免税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6、财务状况报告：提供2024年度经审计的财务报告，或其开标前三个月内基本存款账户开户银行出具的资信证明及基本存款账户开户许可证（或基本存款账户信息相关证明文件），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7、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招标人或采购代理机构在开标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中共陕西省委机要印务中心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中共陕西省委机要印务中心经办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029-87434623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029-86111316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p>
          <w:p>
            <w:pPr>
              <w:pStyle w:val="null3"/>
            </w:pPr>
            <w:r>
              <w:rPr>
                <w:rFonts w:ascii="仿宋_GB2312" w:hAnsi="仿宋_GB2312" w:cs="仿宋_GB2312" w:eastAsia="仿宋_GB2312"/>
              </w:rPr>
              <w:t>采购包2：550,000.00元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代理服务费用收取对象：中标/成交投标人 代理服务费收费标准： 1、代理服务费参照《国家计委关于印发&lt;招标代理服务收费管理暂行办法&gt;的通知》（计价格[2002]1980号）和国家发展和改革委员会办公厅颁发的《关于招标代理服务收费有关问题的通知》（发改办价格[2003]857号）规定按预算金额收取代理服务费。本项目代理服务费按货物类计取。 2、代理服务费以转账或现金形式交纳，服务费缴纳账号如下： 开户名称：陕西兴正工程造价咨询有限公司 开户行名称：西安银行股份有限公司小寨东路支行 账 号：816011580000091059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中共陕西省委机要印务中心</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中共陕西省委机要印务中心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中共陕西省委机要印务中心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联系电话：029-86111316</w:t>
      </w:r>
    </w:p>
    <w:p>
      <w:pPr>
        <w:pStyle w:val="null3"/>
      </w:pPr>
      <w:r>
        <w:rPr>
          <w:rFonts w:ascii="仿宋_GB2312" w:hAnsi="仿宋_GB2312" w:cs="仿宋_GB2312" w:eastAsia="仿宋_GB2312"/>
        </w:rPr>
        <w:t>地址：西安市经济技术开发区文景北路16号白桦林国际B座1602室</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本次采购内容包括：数码印刷机2台。计算机直接制版机（CTP）一台。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数码印刷机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CTP制版机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标的名称：数码印刷机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（注：当采购包的评标方法为综合评分法时带</w:t>
            </w:r>
            <w:r>
              <w:rPr>
                <w:rFonts w:ascii="仿宋_GB2312" w:hAnsi="仿宋_GB2312" w:cs="仿宋_GB2312" w:eastAsia="仿宋_GB2312"/>
              </w:rPr>
              <w:t>“★”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本项目为中共陕西省委机要印务中心</w:t>
            </w:r>
            <w:r>
              <w:rPr>
                <w:rFonts w:ascii="仿宋_GB2312" w:hAnsi="仿宋_GB2312" w:cs="仿宋_GB2312" w:eastAsia="仿宋_GB2312"/>
              </w:rPr>
              <w:t>数码印刷机采购项目</w:t>
            </w:r>
            <w:r>
              <w:rPr>
                <w:rFonts w:ascii="仿宋_GB2312" w:hAnsi="仿宋_GB2312" w:cs="仿宋_GB2312" w:eastAsia="仿宋_GB2312"/>
              </w:rPr>
              <w:t>，本次采购内容</w:t>
            </w:r>
            <w:r>
              <w:rPr>
                <w:rFonts w:ascii="仿宋_GB2312" w:hAnsi="仿宋_GB2312" w:cs="仿宋_GB2312" w:eastAsia="仿宋_GB2312"/>
              </w:rPr>
              <w:t>数码印刷机</w:t>
            </w:r>
            <w:r>
              <w:rPr>
                <w:rFonts w:ascii="仿宋_GB2312" w:hAnsi="仿宋_GB2312" w:cs="仿宋_GB2312" w:eastAsia="仿宋_GB2312"/>
              </w:rPr>
              <w:t>2台</w:t>
            </w:r>
            <w:r>
              <w:rPr>
                <w:rFonts w:ascii="仿宋_GB2312" w:hAnsi="仿宋_GB2312" w:cs="仿宋_GB2312" w:eastAsia="仿宋_GB2312"/>
              </w:rPr>
              <w:t>。</w:t>
            </w:r>
          </w:p>
          <w:p>
            <w:pPr>
              <w:pStyle w:val="null3"/>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w:t>
            </w:r>
            <w:r>
              <w:rPr>
                <w:rFonts w:ascii="仿宋_GB2312" w:hAnsi="仿宋_GB2312" w:cs="仿宋_GB2312" w:eastAsia="仿宋_GB2312"/>
              </w:rPr>
              <w:t>2200000.00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w:t>
            </w:r>
            <w:r>
              <w:rPr>
                <w:rFonts w:ascii="仿宋_GB2312" w:hAnsi="仿宋_GB2312" w:cs="仿宋_GB2312" w:eastAsia="仿宋_GB2312"/>
              </w:rPr>
              <w:t>2200000.00元</w:t>
            </w:r>
          </w:p>
          <w:p>
            <w:pPr>
              <w:pStyle w:val="null3"/>
            </w:pPr>
            <w:r>
              <w:rPr>
                <w:rFonts w:ascii="仿宋_GB2312" w:hAnsi="仿宋_GB2312" w:cs="仿宋_GB2312" w:eastAsia="仿宋_GB2312"/>
              </w:rPr>
              <w:t>供应商报价不允许超过标的金额</w:t>
            </w:r>
          </w:p>
          <w:tbl>
            <w:tblPr>
              <w:tblBorders>
                <w:top w:val="none" w:color="000000" w:sz="4"/>
                <w:left w:val="none" w:color="000000" w:sz="4"/>
                <w:bottom w:val="none" w:color="000000" w:sz="4"/>
                <w:right w:val="none" w:color="000000" w:sz="4"/>
                <w:insideH w:val="none"/>
                <w:insideV w:val="none"/>
              </w:tblBorders>
            </w:tblPr>
            <w:tblGrid>
              <w:gridCol w:w="255"/>
              <w:gridCol w:w="255"/>
              <w:gridCol w:w="255"/>
              <w:gridCol w:w="255"/>
              <w:gridCol w:w="255"/>
              <w:gridCol w:w="255"/>
              <w:gridCol w:w="255"/>
              <w:gridCol w:w="255"/>
              <w:gridCol w:w="255"/>
              <w:gridCol w:w="2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是否核心产品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是否允许进口产品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是否属于节能产品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是否属于环境标志产品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数码印刷机</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2</w:t>
                  </w:r>
                  <w:r>
                    <w:rPr>
                      <w:rFonts w:ascii="仿宋_GB2312" w:hAnsi="仿宋_GB2312" w:cs="仿宋_GB2312" w:eastAsia="仿宋_GB2312"/>
                      <w:sz w:val="19"/>
                    </w:rPr>
                    <w:t>.00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2200000.00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标的名称：中共陕西省委机要印务中心</w:t>
            </w:r>
            <w:r>
              <w:rPr>
                <w:rFonts w:ascii="仿宋_GB2312" w:hAnsi="仿宋_GB2312" w:cs="仿宋_GB2312" w:eastAsia="仿宋_GB2312"/>
              </w:rPr>
              <w:t>数码印刷机采购项目</w:t>
            </w:r>
          </w:p>
          <w:tbl>
            <w:tblPr>
              <w:tblBorders>
                <w:top w:val="none" w:color="000000" w:sz="4"/>
                <w:left w:val="none" w:color="000000" w:sz="4"/>
                <w:bottom w:val="none" w:color="000000" w:sz="4"/>
                <w:right w:val="none" w:color="000000" w:sz="4"/>
                <w:insideH w:val="none"/>
                <w:insideV w:val="none"/>
              </w:tblBorders>
            </w:tblPr>
            <w:tblGrid>
              <w:gridCol w:w="183"/>
              <w:gridCol w:w="2114"/>
              <w:gridCol w:w="247"/>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客户端安装支持操作系统：支持统信</w:t>
                  </w:r>
                  <w:r>
                    <w:rPr>
                      <w:rFonts w:ascii="仿宋_GB2312" w:hAnsi="仿宋_GB2312" w:cs="仿宋_GB2312" w:eastAsia="仿宋_GB2312"/>
                      <w:sz w:val="20"/>
                    </w:rPr>
                    <w:t>UOS操作系统、麒麟操作系统或Windows操作系统客户端同时对接使用；</w:t>
                  </w:r>
                </w:p>
                <w:p>
                  <w:pPr>
                    <w:pStyle w:val="null3"/>
                    <w:numPr>
                      <w:ilvl w:val="0"/>
                      <w:numId w:val="1"/>
                    </w:numPr>
                    <w:jc w:val="left"/>
                  </w:pPr>
                  <w:r>
                    <w:rPr>
                      <w:rFonts w:ascii="仿宋_GB2312" w:hAnsi="仿宋_GB2312" w:cs="仿宋_GB2312" w:eastAsia="仿宋_GB2312"/>
                      <w:sz w:val="20"/>
                    </w:rPr>
                    <w:t>支持系统集中管理、用户管理、色彩管理、打印统计，方便快捷，规范统一；</w:t>
                  </w:r>
                </w:p>
                <w:p>
                  <w:pPr>
                    <w:pStyle w:val="null3"/>
                    <w:numPr>
                      <w:ilvl w:val="0"/>
                      <w:numId w:val="1"/>
                    </w:numPr>
                    <w:jc w:val="left"/>
                  </w:pPr>
                  <w:r>
                    <w:rPr>
                      <w:rFonts w:ascii="仿宋_GB2312" w:hAnsi="仿宋_GB2312" w:cs="仿宋_GB2312" w:eastAsia="仿宋_GB2312"/>
                      <w:sz w:val="20"/>
                    </w:rPr>
                    <w:t>软件具备可变数据打印功能，操作方便，输出便捷；</w:t>
                  </w:r>
                </w:p>
                <w:p>
                  <w:pPr>
                    <w:pStyle w:val="null3"/>
                    <w:numPr>
                      <w:ilvl w:val="0"/>
                      <w:numId w:val="1"/>
                    </w:numPr>
                    <w:jc w:val="left"/>
                  </w:pPr>
                  <w:r>
                    <w:rPr>
                      <w:rFonts w:ascii="仿宋_GB2312" w:hAnsi="仿宋_GB2312" w:cs="仿宋_GB2312" w:eastAsia="仿宋_GB2312"/>
                      <w:sz w:val="20"/>
                    </w:rPr>
                    <w:t>可实现自动小册子拼版、审核打印。方便常用材料快速输出；</w:t>
                  </w:r>
                </w:p>
                <w:p>
                  <w:pPr>
                    <w:pStyle w:val="null3"/>
                    <w:numPr>
                      <w:ilvl w:val="0"/>
                      <w:numId w:val="1"/>
                    </w:numPr>
                    <w:jc w:val="left"/>
                  </w:pPr>
                  <w:r>
                    <w:rPr>
                      <w:rFonts w:ascii="仿宋_GB2312" w:hAnsi="仿宋_GB2312" w:cs="仿宋_GB2312" w:eastAsia="仿宋_GB2312"/>
                      <w:sz w:val="20"/>
                    </w:rPr>
                    <w:t>系统软件内可设置专色管理功能；</w:t>
                  </w:r>
                </w:p>
                <w:p>
                  <w:pPr>
                    <w:pStyle w:val="null3"/>
                    <w:numPr>
                      <w:ilvl w:val="0"/>
                      <w:numId w:val="1"/>
                    </w:numPr>
                    <w:jc w:val="left"/>
                  </w:pPr>
                  <w:r>
                    <w:rPr>
                      <w:rFonts w:ascii="仿宋_GB2312" w:hAnsi="仿宋_GB2312" w:cs="仿宋_GB2312" w:eastAsia="仿宋_GB2312"/>
                      <w:sz w:val="20"/>
                    </w:rPr>
                    <w:t>系统具有色彩调整功能，系统可以针对不同颜色独立进行线性化调整，保证红头、红章输出的色彩要求；</w:t>
                  </w:r>
                </w:p>
                <w:p>
                  <w:pPr>
                    <w:pStyle w:val="null3"/>
                    <w:numPr>
                      <w:ilvl w:val="0"/>
                      <w:numId w:val="1"/>
                    </w:numPr>
                    <w:jc w:val="left"/>
                  </w:pPr>
                  <w:r>
                    <w:rPr>
                      <w:rFonts w:ascii="仿宋_GB2312" w:hAnsi="仿宋_GB2312" w:cs="仿宋_GB2312" w:eastAsia="仿宋_GB2312"/>
                      <w:sz w:val="20"/>
                    </w:rPr>
                    <w:t>系统软件具有合并打印输出功能，可以合并多个采集文件一起完成输出；</w:t>
                  </w:r>
                </w:p>
                <w:p>
                  <w:pPr>
                    <w:pStyle w:val="null3"/>
                    <w:numPr>
                      <w:ilvl w:val="0"/>
                      <w:numId w:val="1"/>
                    </w:numPr>
                    <w:jc w:val="left"/>
                  </w:pPr>
                  <w:r>
                    <w:rPr>
                      <w:rFonts w:ascii="仿宋_GB2312" w:hAnsi="仿宋_GB2312" w:cs="仿宋_GB2312" w:eastAsia="仿宋_GB2312"/>
                      <w:sz w:val="20"/>
                    </w:rPr>
                    <w:t>软件可添加个性化印刷需求，实现多种模板输出，可实现文件自动打号功能，打号样式可自定义，包括长度、字体、字号、颜色、位置、前缀、频率；</w:t>
                  </w:r>
                </w:p>
                <w:p>
                  <w:pPr>
                    <w:pStyle w:val="null3"/>
                    <w:jc w:val="left"/>
                  </w:pPr>
                  <w:r>
                    <w:rPr>
                      <w:rFonts w:ascii="仿宋_GB2312" w:hAnsi="仿宋_GB2312" w:cs="仿宋_GB2312" w:eastAsia="仿宋_GB2312"/>
                      <w:sz w:val="20"/>
                    </w:rPr>
                    <w:t>9.系统软件具有封面套印功能；</w:t>
                  </w:r>
                </w:p>
                <w:p>
                  <w:pPr>
                    <w:pStyle w:val="null3"/>
                    <w:jc w:val="left"/>
                  </w:pPr>
                  <w:r>
                    <w:rPr>
                      <w:rFonts w:ascii="仿宋_GB2312" w:hAnsi="仿宋_GB2312" w:cs="仿宋_GB2312" w:eastAsia="仿宋_GB2312"/>
                      <w:sz w:val="20"/>
                    </w:rPr>
                    <w:t>10.系统需</w:t>
                  </w:r>
                  <w:r>
                    <w:rPr>
                      <w:rFonts w:ascii="仿宋_GB2312" w:hAnsi="仿宋_GB2312" w:cs="仿宋_GB2312" w:eastAsia="仿宋_GB2312"/>
                      <w:sz w:val="20"/>
                    </w:rPr>
                    <w:t>提供网页打印、虚拟打印机等不同的打印方式，</w:t>
                  </w:r>
                  <w:r>
                    <w:rPr>
                      <w:rFonts w:ascii="仿宋_GB2312" w:hAnsi="仿宋_GB2312" w:cs="仿宋_GB2312" w:eastAsia="仿宋_GB2312"/>
                      <w:sz w:val="20"/>
                    </w:rPr>
                    <w:t>以</w:t>
                  </w:r>
                  <w:r>
                    <w:rPr>
                      <w:rFonts w:ascii="仿宋_GB2312" w:hAnsi="仿宋_GB2312" w:cs="仿宋_GB2312" w:eastAsia="仿宋_GB2312"/>
                      <w:sz w:val="20"/>
                    </w:rPr>
                    <w:t>满足</w:t>
                  </w:r>
                  <w:r>
                    <w:rPr>
                      <w:rFonts w:ascii="仿宋_GB2312" w:hAnsi="仿宋_GB2312" w:cs="仿宋_GB2312" w:eastAsia="仿宋_GB2312"/>
                      <w:sz w:val="20"/>
                    </w:rPr>
                    <w:t>不同</w:t>
                  </w:r>
                  <w:r>
                    <w:rPr>
                      <w:rFonts w:ascii="仿宋_GB2312" w:hAnsi="仿宋_GB2312" w:cs="仿宋_GB2312" w:eastAsia="仿宋_GB2312"/>
                      <w:sz w:val="20"/>
                    </w:rPr>
                    <w:t>的使用</w:t>
                  </w:r>
                  <w:r>
                    <w:rPr>
                      <w:rFonts w:ascii="仿宋_GB2312" w:hAnsi="仿宋_GB2312" w:cs="仿宋_GB2312" w:eastAsia="仿宋_GB2312"/>
                      <w:sz w:val="20"/>
                    </w:rPr>
                    <w:t>环境</w:t>
                  </w:r>
                  <w:r>
                    <w:rPr>
                      <w:rFonts w:ascii="仿宋_GB2312" w:hAnsi="仿宋_GB2312" w:cs="仿宋_GB2312" w:eastAsia="仿宋_GB2312"/>
                      <w:sz w:val="20"/>
                    </w:rPr>
                    <w:t>需求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11.管理统计要求：支持系统设备集中管理、用户管理、打印统计功能；</w:t>
                  </w:r>
                </w:p>
                <w:p>
                  <w:pPr>
                    <w:pStyle w:val="null3"/>
                    <w:jc w:val="left"/>
                  </w:pPr>
                  <w:r>
                    <w:rPr>
                      <w:rFonts w:ascii="仿宋_GB2312" w:hAnsi="仿宋_GB2312" w:cs="仿宋_GB2312" w:eastAsia="仿宋_GB2312"/>
                      <w:sz w:val="20"/>
                    </w:rPr>
                    <w:t>12.支持方正ps文件规范化输出；</w:t>
                  </w:r>
                </w:p>
                <w:p>
                  <w:pPr>
                    <w:pStyle w:val="null3"/>
                    <w:jc w:val="left"/>
                  </w:pPr>
                  <w:r>
                    <w:rPr>
                      <w:rFonts w:ascii="仿宋_GB2312" w:hAnsi="仿宋_GB2312" w:cs="仿宋_GB2312" w:eastAsia="仿宋_GB2312"/>
                      <w:sz w:val="20"/>
                    </w:rPr>
                    <w:t>13.系统软件具有插页打印功能；</w:t>
                  </w:r>
                </w:p>
                <w:p>
                  <w:pPr>
                    <w:pStyle w:val="null3"/>
                    <w:jc w:val="left"/>
                  </w:pPr>
                  <w:r>
                    <w:rPr>
                      <w:rFonts w:ascii="仿宋_GB2312" w:hAnsi="仿宋_GB2312" w:cs="仿宋_GB2312" w:eastAsia="仿宋_GB2312"/>
                      <w:sz w:val="20"/>
                    </w:rPr>
                    <w:t>14.支持多台同型号设备负载均衡打印机制；</w:t>
                  </w:r>
                </w:p>
                <w:p>
                  <w:pPr>
                    <w:pStyle w:val="null3"/>
                    <w:jc w:val="left"/>
                  </w:pPr>
                  <w:r>
                    <w:rPr>
                      <w:rFonts w:ascii="仿宋_GB2312" w:hAnsi="仿宋_GB2312" w:cs="仿宋_GB2312" w:eastAsia="仿宋_GB2312"/>
                      <w:sz w:val="20"/>
                    </w:rPr>
                    <w:t>15.★投标产品须为全新设备，具有自动双面打印、双面复印、双面扫描，具有平订、中缝订功能；A4单张纸最高打印速度≥155页/分钟；</w:t>
                  </w:r>
                </w:p>
                <w:p>
                  <w:pPr>
                    <w:pStyle w:val="null3"/>
                    <w:jc w:val="both"/>
                  </w:pPr>
                  <w:r>
                    <w:rPr>
                      <w:rFonts w:ascii="仿宋_GB2312" w:hAnsi="仿宋_GB2312" w:cs="仿宋_GB2312" w:eastAsia="仿宋_GB2312"/>
                      <w:sz w:val="20"/>
                      <w:color w:val="000000"/>
                    </w:rPr>
                    <w:t>16.★印刷方式：喷墨或激光印刷原理，喷墨印刷原理优先。</w:t>
                  </w:r>
                </w:p>
                <w:p>
                  <w:pPr>
                    <w:pStyle w:val="null3"/>
                    <w:jc w:val="both"/>
                  </w:pPr>
                  <w:r>
                    <w:rPr>
                      <w:rFonts w:ascii="仿宋_GB2312" w:hAnsi="仿宋_GB2312" w:cs="仿宋_GB2312" w:eastAsia="仿宋_GB2312"/>
                      <w:sz w:val="20"/>
                      <w:color w:val="000000"/>
                    </w:rPr>
                    <w:t>17.输出系统可支持不停机加纸功能。</w:t>
                  </w:r>
                </w:p>
                <w:p>
                  <w:pPr>
                    <w:pStyle w:val="null3"/>
                    <w:jc w:val="left"/>
                  </w:pPr>
                  <w:r>
                    <w:rPr>
                      <w:rFonts w:ascii="仿宋_GB2312" w:hAnsi="仿宋_GB2312" w:cs="仿宋_GB2312" w:eastAsia="仿宋_GB2312"/>
                      <w:sz w:val="20"/>
                    </w:rPr>
                    <w:t>18.高能效使用性要求：启动预热时间≤420 秒；</w:t>
                  </w:r>
                </w:p>
                <w:p>
                  <w:pPr>
                    <w:pStyle w:val="null3"/>
                    <w:jc w:val="left"/>
                  </w:pPr>
                  <w:r>
                    <w:rPr>
                      <w:rFonts w:ascii="仿宋_GB2312" w:hAnsi="仿宋_GB2312" w:cs="仿宋_GB2312" w:eastAsia="仿宋_GB2312"/>
                      <w:sz w:val="20"/>
                    </w:rPr>
                    <w:t>19.信息输出分辨率要求：分辨率≥300dpi×300dpi；</w:t>
                  </w:r>
                </w:p>
                <w:p>
                  <w:pPr>
                    <w:pStyle w:val="null3"/>
                    <w:jc w:val="left"/>
                  </w:pPr>
                  <w:r>
                    <w:rPr>
                      <w:rFonts w:ascii="仿宋_GB2312" w:hAnsi="仿宋_GB2312" w:cs="仿宋_GB2312" w:eastAsia="仿宋_GB2312"/>
                      <w:sz w:val="20"/>
                    </w:rPr>
                    <w:t>20.印刷纸张输出兼容最大尺寸要求：</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A3、A4 及各类型纸张，最大可用纸支持范围尺寸宽度≥330mm，长度≥450mm；</w:t>
                  </w:r>
                </w:p>
                <w:p>
                  <w:pPr>
                    <w:pStyle w:val="null3"/>
                    <w:jc w:val="left"/>
                  </w:pPr>
                  <w:r>
                    <w:rPr>
                      <w:rFonts w:ascii="仿宋_GB2312" w:hAnsi="仿宋_GB2312" w:cs="仿宋_GB2312" w:eastAsia="仿宋_GB2312"/>
                      <w:sz w:val="20"/>
                    </w:rPr>
                    <w:t>21.输出纸张最低重量要求：纸张需支持最低重量≤60g/m²的印刷纸张印刷；</w:t>
                  </w:r>
                </w:p>
                <w:p>
                  <w:pPr>
                    <w:pStyle w:val="null3"/>
                    <w:jc w:val="left"/>
                  </w:pPr>
                  <w:r>
                    <w:rPr>
                      <w:rFonts w:ascii="仿宋_GB2312" w:hAnsi="仿宋_GB2312" w:cs="仿宋_GB2312" w:eastAsia="仿宋_GB2312"/>
                      <w:sz w:val="20"/>
                    </w:rPr>
                    <w:t>22.公文信息录入基本幅面/介质复制基本参数要求：可实现公文信息自动彩色扫描采集、彩色原稿复制，支持原稿最大尺寸幅面≥297mm×424mm；</w:t>
                  </w:r>
                </w:p>
                <w:p>
                  <w:pPr>
                    <w:pStyle w:val="null3"/>
                    <w:jc w:val="left"/>
                  </w:pPr>
                  <w:r>
                    <w:rPr>
                      <w:rFonts w:ascii="仿宋_GB2312" w:hAnsi="仿宋_GB2312" w:cs="仿宋_GB2312" w:eastAsia="仿宋_GB2312"/>
                      <w:sz w:val="20"/>
                    </w:rPr>
                    <w:t>23.有效印刷尺寸支持最大尺寸要求：有效印刷尺寸支持范围宽度≥325 mm，长度≥500mm；</w:t>
                  </w:r>
                </w:p>
                <w:p>
                  <w:pPr>
                    <w:pStyle w:val="null3"/>
                    <w:jc w:val="left"/>
                  </w:pPr>
                  <w:r>
                    <w:rPr>
                      <w:rFonts w:ascii="仿宋_GB2312" w:hAnsi="仿宋_GB2312" w:cs="仿宋_GB2312" w:eastAsia="仿宋_GB2312"/>
                      <w:sz w:val="20"/>
                    </w:rPr>
                    <w:t>24.公文信息扫描录入基本分辨率参数要求：扫描采集支持扫描分辨率≥600 dpi；</w:t>
                  </w:r>
                </w:p>
                <w:p>
                  <w:pPr>
                    <w:pStyle w:val="null3"/>
                    <w:jc w:val="left"/>
                  </w:pPr>
                  <w:r>
                    <w:rPr>
                      <w:rFonts w:ascii="仿宋_GB2312" w:hAnsi="仿宋_GB2312" w:cs="仿宋_GB2312" w:eastAsia="仿宋_GB2312"/>
                      <w:sz w:val="20"/>
                    </w:rPr>
                    <w:t>25.公文信息扫描录入可进行介质的连续扫描，一次性可容纳扫描录入介质数量≥150张；</w:t>
                  </w:r>
                </w:p>
                <w:p>
                  <w:pPr>
                    <w:pStyle w:val="null3"/>
                    <w:jc w:val="left"/>
                  </w:pPr>
                  <w:r>
                    <w:rPr>
                      <w:rFonts w:ascii="仿宋_GB2312" w:hAnsi="仿宋_GB2312" w:cs="仿宋_GB2312" w:eastAsia="仿宋_GB2312"/>
                      <w:sz w:val="20"/>
                    </w:rPr>
                    <w:t>26.数据存储要求：容量≥300GB；</w:t>
                  </w:r>
                </w:p>
                <w:p>
                  <w:pPr>
                    <w:pStyle w:val="null3"/>
                    <w:jc w:val="left"/>
                  </w:pPr>
                  <w:r>
                    <w:rPr>
                      <w:rFonts w:ascii="仿宋_GB2312" w:hAnsi="仿宋_GB2312" w:cs="仿宋_GB2312" w:eastAsia="仿宋_GB2312"/>
                      <w:sz w:val="20"/>
                    </w:rPr>
                    <w:t>27.数据传输内存要求：内存容量≥4 GB；</w:t>
                  </w:r>
                </w:p>
                <w:p>
                  <w:pPr>
                    <w:pStyle w:val="null3"/>
                    <w:jc w:val="left"/>
                  </w:pPr>
                  <w:r>
                    <w:rPr>
                      <w:rFonts w:ascii="仿宋_GB2312" w:hAnsi="仿宋_GB2312" w:cs="仿宋_GB2312" w:eastAsia="仿宋_GB2312"/>
                      <w:sz w:val="20"/>
                    </w:rPr>
                    <w:t>28.身份识别认证要求：具备身份识别功能，身份识别可为刷卡认证。</w:t>
                  </w:r>
                </w:p>
                <w:p>
                  <w:pPr>
                    <w:pStyle w:val="null3"/>
                    <w:jc w:val="left"/>
                  </w:pPr>
                  <w:r>
                    <w:rPr>
                      <w:rFonts w:ascii="仿宋_GB2312" w:hAnsi="仿宋_GB2312" w:cs="仿宋_GB2312" w:eastAsia="仿宋_GB2312"/>
                      <w:sz w:val="20"/>
                    </w:rPr>
                    <w:t>29.连接接口要求：要求与现有系统平台进行兼容对接；</w:t>
                  </w:r>
                </w:p>
                <w:p>
                  <w:pPr>
                    <w:pStyle w:val="null3"/>
                    <w:jc w:val="left"/>
                  </w:pPr>
                  <w:r>
                    <w:rPr>
                      <w:rFonts w:ascii="仿宋_GB2312" w:hAnsi="仿宋_GB2312" w:cs="仿宋_GB2312" w:eastAsia="仿宋_GB2312"/>
                      <w:sz w:val="20"/>
                    </w:rPr>
                    <w:t>30.随机耗材颜色≥4种；</w:t>
                  </w:r>
                </w:p>
                <w:p>
                  <w:pPr>
                    <w:pStyle w:val="null3"/>
                    <w:jc w:val="left"/>
                  </w:pPr>
                  <w:r>
                    <w:rPr>
                      <w:rFonts w:ascii="仿宋_GB2312" w:hAnsi="仿宋_GB2312" w:cs="仿宋_GB2312" w:eastAsia="仿宋_GB2312"/>
                      <w:sz w:val="20"/>
                    </w:rPr>
                    <w:t>31.扫描读取方式：稿台+自动进稿器；</w:t>
                  </w:r>
                </w:p>
                <w:p>
                  <w:pPr>
                    <w:pStyle w:val="null3"/>
                    <w:jc w:val="left"/>
                  </w:pPr>
                  <w:r>
                    <w:rPr>
                      <w:rFonts w:ascii="仿宋_GB2312" w:hAnsi="仿宋_GB2312" w:cs="仿宋_GB2312" w:eastAsia="仿宋_GB2312"/>
                      <w:sz w:val="20"/>
                    </w:rPr>
                    <w:t>32.输稿器扫描方式：双面扫描；</w:t>
                  </w:r>
                </w:p>
                <w:p>
                  <w:pPr>
                    <w:pStyle w:val="null3"/>
                    <w:jc w:val="left"/>
                  </w:pPr>
                  <w:r>
                    <w:rPr>
                      <w:rFonts w:ascii="仿宋_GB2312" w:hAnsi="仿宋_GB2312" w:cs="仿宋_GB2312" w:eastAsia="仿宋_GB2312"/>
                      <w:sz w:val="20"/>
                    </w:rPr>
                    <w:t>33.纸张输出连续性要求：具备大容量进纸系统，可装载纸张总容量≥5000张70g/m²复印纸；</w:t>
                  </w:r>
                </w:p>
                <w:p>
                  <w:pPr>
                    <w:pStyle w:val="null3"/>
                    <w:jc w:val="both"/>
                  </w:pPr>
                  <w:r>
                    <w:rPr>
                      <w:rFonts w:ascii="仿宋_GB2312" w:hAnsi="仿宋_GB2312" w:cs="仿宋_GB2312" w:eastAsia="仿宋_GB2312"/>
                      <w:sz w:val="20"/>
                      <w:color w:val="000000"/>
                    </w:rPr>
                    <w:t>34.具备平订、角订、中缝装订功能，中缝装订张数要求≥13张纸（52个页面）。</w:t>
                  </w:r>
                </w:p>
                <w:p>
                  <w:pPr>
                    <w:pStyle w:val="null3"/>
                    <w:jc w:val="both"/>
                  </w:pPr>
                  <w:r>
                    <w:rPr>
                      <w:rFonts w:ascii="仿宋_GB2312" w:hAnsi="仿宋_GB2312" w:cs="仿宋_GB2312" w:eastAsia="仿宋_GB2312"/>
                      <w:sz w:val="20"/>
                      <w:color w:val="000000"/>
                    </w:rPr>
                    <w:t>35.功耗：</w:t>
                  </w:r>
                  <w:r>
                    <w:rPr>
                      <w:rFonts w:ascii="仿宋_GB2312" w:hAnsi="仿宋_GB2312" w:cs="仿宋_GB2312" w:eastAsia="仿宋_GB2312"/>
                      <w:sz w:val="20"/>
                      <w:color w:val="000000"/>
                    </w:rPr>
                    <w:t>≤1300W</w:t>
                  </w:r>
                  <w:r>
                    <w:rPr>
                      <w:rFonts w:ascii="仿宋_GB2312" w:hAnsi="仿宋_GB2312" w:cs="仿宋_GB2312" w:eastAsia="仿宋_GB2312"/>
                      <w:sz w:val="20"/>
                      <w:color w:val="000000"/>
                    </w:rPr>
                    <w:t xml:space="preserve"> ,优先选择节能环保、低功耗印刷系统，在使用过程中不生产臭氧。</w:t>
                  </w:r>
                </w:p>
                <w:p>
                  <w:pPr>
                    <w:pStyle w:val="null3"/>
                    <w:jc w:val="both"/>
                  </w:pPr>
                  <w:r>
                    <w:rPr>
                      <w:rFonts w:ascii="仿宋_GB2312" w:hAnsi="仿宋_GB2312" w:cs="仿宋_GB2312" w:eastAsia="仿宋_GB2312"/>
                      <w:sz w:val="20"/>
                      <w:color w:val="000000"/>
                    </w:rPr>
                    <w:t>36.修边整理要求：骑马订小册子制作输出后可进行前口修边裁切；</w:t>
                  </w:r>
                </w:p>
                <w:p>
                  <w:pPr>
                    <w:pStyle w:val="null3"/>
                    <w:jc w:val="both"/>
                  </w:pPr>
                  <w:r>
                    <w:rPr>
                      <w:rFonts w:ascii="仿宋_GB2312" w:hAnsi="仿宋_GB2312" w:cs="仿宋_GB2312" w:eastAsia="仿宋_GB2312"/>
                      <w:sz w:val="20"/>
                      <w:color w:val="000000"/>
                    </w:rPr>
                    <w:t>37.</w:t>
                  </w:r>
                  <w:r>
                    <w:rPr>
                      <w:rFonts w:ascii="仿宋_GB2312" w:hAnsi="仿宋_GB2312" w:cs="仿宋_GB2312" w:eastAsia="仿宋_GB2312"/>
                      <w:sz w:val="20"/>
                      <w:color w:val="000000"/>
                    </w:rPr>
                    <w:t>修边速度：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00册/小时（A4）</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rPr>
                    <w:t>38.修边厚度：≥20张纸（70g/m²）；</w:t>
                  </w:r>
                </w:p>
                <w:p>
                  <w:pPr>
                    <w:pStyle w:val="null3"/>
                    <w:jc w:val="left"/>
                  </w:pPr>
                  <w:r>
                    <w:rPr>
                      <w:rFonts w:ascii="仿宋_GB2312" w:hAnsi="仿宋_GB2312" w:cs="仿宋_GB2312" w:eastAsia="仿宋_GB2312"/>
                      <w:sz w:val="20"/>
                    </w:rPr>
                    <w:t>39.需提供2年免费质保。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标的名称：CTP制版机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rPr>
              <w:t>（注：当采购包的评标方法为综合评分法时带</w:t>
            </w:r>
            <w:r>
              <w:rPr>
                <w:rFonts w:ascii="仿宋_GB2312" w:hAnsi="仿宋_GB2312" w:cs="仿宋_GB2312" w:eastAsia="仿宋_GB2312"/>
              </w:rPr>
              <w:t>“★”的参数需求为实质性要求，</w:t>
            </w:r>
            <w:r>
              <w:rPr>
                <w:rFonts w:ascii="仿宋_GB2312" w:hAnsi="仿宋_GB2312" w:cs="仿宋_GB2312" w:eastAsia="仿宋_GB2312"/>
              </w:rPr>
              <w:t>投标人</w:t>
            </w:r>
            <w:r>
              <w:rPr>
                <w:rFonts w:ascii="仿宋_GB2312" w:hAnsi="仿宋_GB2312" w:cs="仿宋_GB2312" w:eastAsia="仿宋_GB2312"/>
              </w:rPr>
              <w:t>必须响应并满足的参数需求，</w:t>
            </w:r>
            <w:r>
              <w:rPr>
                <w:rFonts w:ascii="仿宋_GB2312" w:hAnsi="仿宋_GB2312" w:cs="仿宋_GB2312" w:eastAsia="仿宋_GB2312"/>
              </w:rPr>
              <w:t>招标人</w:t>
            </w:r>
            <w:r>
              <w:rPr>
                <w:rFonts w:ascii="仿宋_GB2312" w:hAnsi="仿宋_GB2312" w:cs="仿宋_GB2312" w:eastAsia="仿宋_GB2312"/>
              </w:rPr>
              <w:t>、采购代理机构应当根据项目实际需求合理设定，并明确具体要求。带</w:t>
            </w:r>
            <w:r>
              <w:rPr>
                <w:rFonts w:ascii="仿宋_GB2312" w:hAnsi="仿宋_GB2312" w:cs="仿宋_GB2312" w:eastAsia="仿宋_GB2312"/>
              </w:rPr>
              <w:t>“▲”号条款为允许负偏离的参数需求，若未响应或者不满足，将在综合评审中予以扣分处理。）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（注：当采购包的评标方法为最低评标价法时带</w:t>
            </w:r>
            <w:r>
              <w:rPr>
                <w:rFonts w:ascii="仿宋_GB2312" w:hAnsi="仿宋_GB2312" w:cs="仿宋_GB2312" w:eastAsia="仿宋_GB2312"/>
              </w:rPr>
              <w:t>“★”的参数需求为实质性要求，</w:t>
            </w:r>
            <w:r>
              <w:rPr>
                <w:rFonts w:ascii="仿宋_GB2312" w:hAnsi="仿宋_GB2312" w:cs="仿宋_GB2312" w:eastAsia="仿宋_GB2312"/>
              </w:rPr>
              <w:t>投标人</w:t>
            </w:r>
            <w:r>
              <w:rPr>
                <w:rFonts w:ascii="仿宋_GB2312" w:hAnsi="仿宋_GB2312" w:cs="仿宋_GB2312" w:eastAsia="仿宋_GB2312"/>
              </w:rPr>
              <w:t>必须响应并满足的参数需求，</w:t>
            </w:r>
            <w:r>
              <w:rPr>
                <w:rFonts w:ascii="仿宋_GB2312" w:hAnsi="仿宋_GB2312" w:cs="仿宋_GB2312" w:eastAsia="仿宋_GB2312"/>
              </w:rPr>
              <w:t>招标人</w:t>
            </w:r>
            <w:r>
              <w:rPr>
                <w:rFonts w:ascii="仿宋_GB2312" w:hAnsi="仿宋_GB2312" w:cs="仿宋_GB2312" w:eastAsia="仿宋_GB2312"/>
              </w:rPr>
              <w:t>、采购代理机构应当根据项目实际需求合理设定，并明确具体要求。）</w:t>
            </w:r>
          </w:p>
          <w:p>
            <w:pPr>
              <w:pStyle w:val="null3"/>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本项目为中共陕西省委机要印务中心</w:t>
            </w:r>
            <w:r>
              <w:rPr>
                <w:rFonts w:ascii="仿宋_GB2312" w:hAnsi="仿宋_GB2312" w:cs="仿宋_GB2312" w:eastAsia="仿宋_GB2312"/>
              </w:rPr>
              <w:t>CTP制版机采购项目，本次采购内容包括</w:t>
            </w:r>
            <w:r>
              <w:rPr>
                <w:rFonts w:ascii="仿宋_GB2312" w:hAnsi="仿宋_GB2312" w:cs="仿宋_GB2312" w:eastAsia="仿宋_GB2312"/>
              </w:rPr>
              <w:t>计算机直接制版机</w:t>
            </w:r>
            <w:r>
              <w:rPr>
                <w:rFonts w:ascii="仿宋_GB2312" w:hAnsi="仿宋_GB2312" w:cs="仿宋_GB2312" w:eastAsia="仿宋_GB2312"/>
              </w:rPr>
              <w:t>（</w:t>
            </w:r>
            <w:r>
              <w:rPr>
                <w:rFonts w:ascii="仿宋_GB2312" w:hAnsi="仿宋_GB2312" w:cs="仿宋_GB2312" w:eastAsia="仿宋_GB2312"/>
              </w:rPr>
              <w:t>CTP）</w:t>
            </w:r>
            <w:r>
              <w:rPr>
                <w:rFonts w:ascii="仿宋_GB2312" w:hAnsi="仿宋_GB2312" w:cs="仿宋_GB2312" w:eastAsia="仿宋_GB2312"/>
              </w:rPr>
              <w:t>一台。</w:t>
            </w:r>
          </w:p>
          <w:p>
            <w:pPr>
              <w:pStyle w:val="null3"/>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w:t>
            </w:r>
            <w:r>
              <w:rPr>
                <w:rFonts w:ascii="仿宋_GB2312" w:hAnsi="仿宋_GB2312" w:cs="仿宋_GB2312" w:eastAsia="仿宋_GB2312"/>
              </w:rPr>
              <w:t>550000.00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w:t>
            </w:r>
            <w:r>
              <w:rPr>
                <w:rFonts w:ascii="仿宋_GB2312" w:hAnsi="仿宋_GB2312" w:cs="仿宋_GB2312" w:eastAsia="仿宋_GB2312"/>
              </w:rPr>
              <w:t>550000.00元</w:t>
            </w:r>
          </w:p>
          <w:p>
            <w:pPr>
              <w:pStyle w:val="null3"/>
            </w:pPr>
            <w:r>
              <w:rPr>
                <w:rFonts w:ascii="仿宋_GB2312" w:hAnsi="仿宋_GB2312" w:cs="仿宋_GB2312" w:eastAsia="仿宋_GB2312"/>
              </w:rPr>
              <w:t>投标人</w:t>
            </w:r>
            <w:r>
              <w:rPr>
                <w:rFonts w:ascii="仿宋_GB2312" w:hAnsi="仿宋_GB2312" w:cs="仿宋_GB2312" w:eastAsia="仿宋_GB2312"/>
              </w:rPr>
              <w:t xml:space="preserve">报价不允许超过标的金额     </w:t>
            </w:r>
            <w:r>
              <w:rPr>
                <w:rFonts w:ascii="仿宋_GB2312" w:hAnsi="仿宋_GB2312" w:cs="仿宋_GB2312" w:eastAsia="仿宋_GB2312"/>
                <w:b/>
              </w:rPr>
              <w:t>标的名称：计算机直接制版机（CTP）</w:t>
            </w:r>
          </w:p>
          <w:tbl>
            <w:tblPr>
              <w:tblBorders>
                <w:top w:val="none" w:color="000000" w:sz="4"/>
                <w:left w:val="none" w:color="000000" w:sz="4"/>
                <w:bottom w:val="none" w:color="000000" w:sz="4"/>
                <w:right w:val="none" w:color="000000" w:sz="4"/>
                <w:insideH w:val="none"/>
                <w:insideV w:val="none"/>
              </w:tblBorders>
            </w:tblPr>
            <w:tblGrid>
              <w:gridCol w:w="255"/>
              <w:gridCol w:w="255"/>
              <w:gridCol w:w="255"/>
              <w:gridCol w:w="255"/>
              <w:gridCol w:w="255"/>
              <w:gridCol w:w="255"/>
              <w:gridCol w:w="255"/>
              <w:gridCol w:w="255"/>
              <w:gridCol w:w="255"/>
              <w:gridCol w:w="2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是否核心产品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是否允许进口产品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是否属于节能产品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是否属于环境标志产品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计算机直接制版机（CTP）</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1.00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550000.00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投标人</w:t>
            </w:r>
            <w:r>
              <w:rPr>
                <w:rFonts w:ascii="仿宋_GB2312" w:hAnsi="仿宋_GB2312" w:cs="仿宋_GB2312" w:eastAsia="仿宋_GB2312"/>
              </w:rPr>
              <w:t>报价不允许超过标的金额</w:t>
            </w:r>
          </w:p>
          <w:p>
            <w:pPr>
              <w:pStyle w:val="null3"/>
              <w:numPr>
                <w:ilvl w:val="0"/>
                <w:numId w:val="1"/>
              </w:numPr>
              <w:jc w:val="both"/>
            </w:pPr>
            <w:r>
              <w:rPr>
                <w:rFonts w:ascii="仿宋_GB2312" w:hAnsi="仿宋_GB2312" w:cs="仿宋_GB2312" w:eastAsia="仿宋_GB2312"/>
                <w:sz w:val="21"/>
              </w:rPr>
              <w:t>采购标的：</w:t>
            </w:r>
          </w:p>
          <w:tbl>
            <w:tblPr>
              <w:tblBorders>
                <w:top w:val="none" w:color="000000" w:sz="4"/>
                <w:left w:val="none" w:color="000000" w:sz="4"/>
                <w:bottom w:val="none" w:color="000000" w:sz="4"/>
                <w:right w:val="none" w:color="000000" w:sz="4"/>
                <w:insideH w:val="none"/>
                <w:insideV w:val="none"/>
              </w:tblBorders>
            </w:tblPr>
            <w:tblGrid>
              <w:gridCol w:w="460"/>
              <w:gridCol w:w="2083"/>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货物名称</w:t>
                  </w:r>
                </w:p>
              </w:tc>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计算机直接制版机</w:t>
                  </w:r>
                  <w:r>
                    <w:rPr>
                      <w:rFonts w:ascii="仿宋_GB2312" w:hAnsi="仿宋_GB2312" w:cs="仿宋_GB2312" w:eastAsia="仿宋_GB2312"/>
                      <w:sz w:val="18"/>
                    </w:rPr>
                    <w:t>（</w:t>
                  </w:r>
                  <w:r>
                    <w:rPr>
                      <w:rFonts w:ascii="仿宋_GB2312" w:hAnsi="仿宋_GB2312" w:cs="仿宋_GB2312" w:eastAsia="仿宋_GB2312"/>
                      <w:sz w:val="18"/>
                    </w:rPr>
                    <w:t>CTP）</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整装设备的</w:t>
                  </w:r>
                  <w:r>
                    <w:rPr>
                      <w:rFonts w:ascii="仿宋_GB2312" w:hAnsi="仿宋_GB2312" w:cs="仿宋_GB2312" w:eastAsia="仿宋_GB2312"/>
                      <w:sz w:val="18"/>
                    </w:rPr>
                    <w:t>规格</w:t>
                  </w:r>
                  <w:r>
                    <w:rPr>
                      <w:rFonts w:ascii="仿宋_GB2312" w:hAnsi="仿宋_GB2312" w:cs="仿宋_GB2312" w:eastAsia="仿宋_GB2312"/>
                      <w:sz w:val="18"/>
                    </w:rPr>
                    <w:t>尺寸</w:t>
                  </w:r>
                </w:p>
                <w:p>
                  <w:pPr>
                    <w:pStyle w:val="null3"/>
                    <w:jc w:val="center"/>
                  </w:pPr>
                  <w:r>
                    <w:rPr>
                      <w:rFonts w:ascii="仿宋_GB2312" w:hAnsi="仿宋_GB2312" w:cs="仿宋_GB2312" w:eastAsia="仿宋_GB2312"/>
                      <w:sz w:val="18"/>
                    </w:rPr>
                    <w:t>（长</w:t>
                  </w:r>
                  <w:r>
                    <w:rPr>
                      <w:rFonts w:ascii="仿宋_GB2312" w:hAnsi="仿宋_GB2312" w:cs="仿宋_GB2312" w:eastAsia="仿宋_GB2312"/>
                      <w:sz w:val="18"/>
                    </w:rPr>
                    <w:t>×宽）</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不超过</w:t>
                  </w:r>
                  <w:r>
                    <w:rPr>
                      <w:rFonts w:ascii="仿宋_GB2312" w:hAnsi="仿宋_GB2312" w:cs="仿宋_GB2312" w:eastAsia="仿宋_GB2312"/>
                      <w:sz w:val="21"/>
                    </w:rPr>
                    <w:t>8米×3米</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一台</w:t>
                  </w:r>
                </w:p>
              </w:tc>
            </w:tr>
          </w:tbl>
          <w:p>
            <w:pPr>
              <w:pStyle w:val="null3"/>
              <w:jc w:val="both"/>
            </w:pPr>
            <w:r>
              <w:rPr>
                <w:rFonts w:ascii="仿宋_GB2312" w:hAnsi="仿宋_GB2312" w:cs="仿宋_GB2312" w:eastAsia="仿宋_GB2312"/>
                <w:sz w:val="21"/>
              </w:rPr>
              <w:t>1.1技术要求</w:t>
            </w:r>
          </w:p>
          <w:p>
            <w:pPr>
              <w:pStyle w:val="null3"/>
              <w:jc w:val="both"/>
            </w:pPr>
            <w:r>
              <w:rPr>
                <w:rFonts w:ascii="仿宋_GB2312" w:hAnsi="仿宋_GB2312" w:cs="仿宋_GB2312" w:eastAsia="仿宋_GB2312"/>
                <w:sz w:val="21"/>
              </w:rPr>
              <w:t>1.1.1基本配置★：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1）计算机直接制版机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出版软件所需与印前流程连接。</w:t>
            </w:r>
          </w:p>
          <w:p>
            <w:pPr>
              <w:pStyle w:val="null3"/>
              <w:ind w:firstLine="420"/>
              <w:jc w:val="both"/>
            </w:pPr>
            <w:r>
              <w:rPr>
                <w:rFonts w:ascii="仿宋_GB2312" w:hAnsi="仿宋_GB2312" w:cs="仿宋_GB2312" w:eastAsia="仿宋_GB2312"/>
                <w:sz w:val="21"/>
              </w:rPr>
              <w:t>1.1.2功能配置：</w:t>
            </w:r>
          </w:p>
          <w:tbl>
            <w:tblPr>
              <w:tblInd w:type="dxa" w:w="90"/>
              <w:tblBorders>
                <w:top w:val="none" w:color="000000" w:sz="4"/>
                <w:left w:val="none" w:color="000000" w:sz="4"/>
                <w:bottom w:val="none" w:color="000000" w:sz="4"/>
                <w:right w:val="none" w:color="000000" w:sz="4"/>
                <w:insideH w:val="none"/>
                <w:insideV w:val="none"/>
              </w:tblBorders>
            </w:tblPr>
            <w:tblGrid>
              <w:gridCol w:w="204"/>
              <w:gridCol w:w="702"/>
              <w:gridCol w:w="1637"/>
            </w:tblGrid>
            <w:tr>
              <w:tc>
                <w:tcPr>
                  <w:tcW w:type="dxa" w:w="204"/>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序号</w:t>
                  </w:r>
                </w:p>
              </w:tc>
              <w:tc>
                <w:tcPr>
                  <w:tcW w:type="dxa" w:w="70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名称</w:t>
                  </w:r>
                </w:p>
              </w:tc>
              <w:tc>
                <w:tcPr>
                  <w:tcW w:type="dxa" w:w="16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配置</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w:t>
                  </w:r>
                  <w:r>
                    <w:rPr>
                      <w:rFonts w:ascii="仿宋_GB2312" w:hAnsi="仿宋_GB2312" w:cs="仿宋_GB2312" w:eastAsia="仿宋_GB2312"/>
                      <w:sz w:val="21"/>
                    </w:rPr>
                    <w:t>分辨率</w:t>
                  </w:r>
                  <w:r>
                    <w:rPr>
                      <w:rFonts w:ascii="仿宋_GB2312" w:hAnsi="仿宋_GB2312" w:cs="仿宋_GB2312" w:eastAsia="仿宋_GB2312"/>
                      <w:sz w:val="21"/>
                    </w:rPr>
                    <w:t>(dpi)</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1、标配2400dpi；</w:t>
                  </w:r>
                </w:p>
                <w:p>
                  <w:pPr>
                    <w:pStyle w:val="null3"/>
                    <w:jc w:val="center"/>
                  </w:pPr>
                  <w:r>
                    <w:rPr>
                      <w:rFonts w:ascii="仿宋_GB2312" w:hAnsi="仿宋_GB2312" w:cs="仿宋_GB2312" w:eastAsia="仿宋_GB2312"/>
                      <w:sz w:val="21"/>
                    </w:rPr>
                    <w:t>2、其他分辨率可选。</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w:t>
                  </w:r>
                  <w:r>
                    <w:rPr>
                      <w:rFonts w:ascii="仿宋_GB2312" w:hAnsi="仿宋_GB2312" w:cs="仿宋_GB2312" w:eastAsia="仿宋_GB2312"/>
                      <w:sz w:val="21"/>
                    </w:rPr>
                    <w:t>速度</w:t>
                  </w:r>
                  <w:r>
                    <w:rPr>
                      <w:rFonts w:ascii="仿宋_GB2312" w:hAnsi="仿宋_GB2312" w:cs="仿宋_GB2312" w:eastAsia="仿宋_GB2312"/>
                      <w:sz w:val="21"/>
                    </w:rPr>
                    <w:t>/h</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≥38张/小时（需以设备可出版最大尺寸或1030x790mm尺寸版材计算每小时生产效率，不能以设备可出版最小尺寸计算每小时生产效率)</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w:t>
                  </w:r>
                  <w:r>
                    <w:rPr>
                      <w:rFonts w:ascii="仿宋_GB2312" w:hAnsi="仿宋_GB2312" w:cs="仿宋_GB2312" w:eastAsia="仿宋_GB2312"/>
                      <w:sz w:val="21"/>
                    </w:rPr>
                    <w:t>印版幅面</w:t>
                  </w:r>
                  <w:r>
                    <w:br/>
                  </w:r>
                  <w:r>
                    <w:rPr>
                      <w:rFonts w:ascii="仿宋_GB2312" w:hAnsi="仿宋_GB2312" w:cs="仿宋_GB2312" w:eastAsia="仿宋_GB2312"/>
                      <w:sz w:val="21"/>
                    </w:rPr>
                    <w:t>最小</w:t>
                  </w:r>
                  <w:r>
                    <w:rPr>
                      <w:rFonts w:ascii="仿宋_GB2312" w:hAnsi="仿宋_GB2312" w:cs="仿宋_GB2312" w:eastAsia="仿宋_GB2312"/>
                      <w:sz w:val="21"/>
                    </w:rPr>
                    <w:t>/最大</w:t>
                  </w:r>
                  <w:r>
                    <w:br/>
                  </w:r>
                  <w:r>
                    <w:rPr>
                      <w:rFonts w:ascii="仿宋_GB2312" w:hAnsi="仿宋_GB2312" w:cs="仿宋_GB2312" w:eastAsia="仿宋_GB2312"/>
                      <w:sz w:val="21"/>
                    </w:rPr>
                    <w:t>（长</w:t>
                  </w:r>
                  <w:r>
                    <w:rPr>
                      <w:rFonts w:ascii="仿宋_GB2312" w:hAnsi="仿宋_GB2312" w:cs="仿宋_GB2312" w:eastAsia="仿宋_GB2312"/>
                      <w:sz w:val="21"/>
                    </w:rPr>
                    <w:t>×宽）</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21"/>
                    </w:rPr>
                    <w:t>最大：</w:t>
                  </w:r>
                  <w:r>
                    <w:rPr>
                      <w:rFonts w:ascii="仿宋_GB2312" w:hAnsi="仿宋_GB2312" w:cs="仿宋_GB2312" w:eastAsia="仿宋_GB2312"/>
                      <w:sz w:val="21"/>
                    </w:rPr>
                    <w:t>≥790×1030mm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最小：</w:t>
                  </w:r>
                  <w:r>
                    <w:rPr>
                      <w:rFonts w:ascii="仿宋_GB2312" w:hAnsi="仿宋_GB2312" w:cs="仿宋_GB2312" w:eastAsia="仿宋_GB2312"/>
                      <w:sz w:val="21"/>
                    </w:rPr>
                    <w:t>≤370×323mm</w:t>
                  </w:r>
                </w:p>
                <w:p>
                  <w:pPr>
                    <w:pStyle w:val="null3"/>
                    <w:jc w:val="both"/>
                  </w:pP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w:t>
                  </w:r>
                  <w:r>
                    <w:rPr>
                      <w:rFonts w:ascii="仿宋_GB2312" w:hAnsi="仿宋_GB2312" w:cs="仿宋_GB2312" w:eastAsia="仿宋_GB2312"/>
                      <w:sz w:val="21"/>
                    </w:rPr>
                    <w:t>自动上版功能</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全自动上版功能</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自动收版架</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与设备配套自动收版架</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冲版机</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与设备需配套冲版机</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软件及端口</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印前配套流程管理系统，</w:t>
                  </w:r>
                  <w:r>
                    <w:rPr>
                      <w:rFonts w:ascii="仿宋_GB2312" w:hAnsi="仿宋_GB2312" w:cs="仿宋_GB2312" w:eastAsia="仿宋_GB2312"/>
                      <w:sz w:val="21"/>
                    </w:rPr>
                    <w:t>输出端有多色高清预览功能，</w:t>
                  </w:r>
                  <w:r>
                    <w:rPr>
                      <w:rFonts w:ascii="仿宋_GB2312" w:hAnsi="仿宋_GB2312" w:cs="仿宋_GB2312" w:eastAsia="仿宋_GB2312"/>
                      <w:sz w:val="21"/>
                    </w:rPr>
                    <w:t>并配有标准通用</w:t>
                  </w:r>
                  <w:r>
                    <w:rPr>
                      <w:rFonts w:ascii="仿宋_GB2312" w:hAnsi="仿宋_GB2312" w:cs="仿宋_GB2312" w:eastAsia="仿宋_GB2312"/>
                      <w:sz w:val="21"/>
                    </w:rPr>
                    <w:t>1-Bit-Tiff 流程</w:t>
                  </w:r>
                </w:p>
              </w:tc>
            </w:tr>
            <w:tr>
              <w:tc>
                <w:tcPr>
                  <w:tcW w:type="dxa" w:w="2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8</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w:t>
                  </w:r>
                  <w:r>
                    <w:rPr>
                      <w:rFonts w:ascii="仿宋_GB2312" w:hAnsi="仿宋_GB2312" w:cs="仿宋_GB2312" w:eastAsia="仿宋_GB2312"/>
                      <w:sz w:val="21"/>
                    </w:rPr>
                    <w:t>加网</w:t>
                  </w:r>
                </w:p>
              </w:tc>
              <w:tc>
                <w:tcPr>
                  <w:tcW w:type="dxa" w:w="16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1、调频加网方式：网点尺寸最小可达20微米，最大为90微米；</w:t>
                  </w:r>
                  <w:r>
                    <w:br/>
                  </w:r>
                  <w:r>
                    <w:rPr>
                      <w:rFonts w:ascii="仿宋_GB2312" w:hAnsi="仿宋_GB2312" w:cs="仿宋_GB2312" w:eastAsia="仿宋_GB2312"/>
                      <w:sz w:val="21"/>
                    </w:rPr>
                    <w:t>2、混合加网方式：加网线数可达160线/厘米（300lpi）；</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10个工作日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本项目采用固定总价合同，付款方式:合同签订后设备进场到位后，支付合同总金额的，达到付款条件起7个工作日内，支付合同总金额的70.0%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进度款，设备安装调试完成并经甲方验收合格后支付合同总价的，达到付款条件起7个工作日内，支付合同总金额的27.0%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进度款，设备运行三个月后若无任何质量问题支付合同总价的，达到付款条件起7个工作日内，支付合同总金额的3.0%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本项目采用固定总价合同，付款方式:合同签订后设备进场到位后，支付合同总金额的，达到付款条件起10个工作日内，支付合同总金额的70.0%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进度款，设备安装调试完成并经甲方验收合格后支付合同总价的，达到付款条件起10个工作日内，支付合同总金额的27.0%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进度款，设备运行三个月后若无任何质量问题支付合同总价的，达到付款条件起10个工作日内，支付合同总金额的3.0%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国家有关的验收标准及规范；招标文件；投标文件。2.验收方法：产品到货后由双方对产品数量、尺寸、包装规格、品牌等内容进行核对，确认无误后方可交货。若产品与合同要求不符，采购人将拒绝接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国家有关的验收标准及规范；招标文件；投标文件。2.验收方法：产品到货后由双方对产品数量、尺寸、包装规格、品牌等内容进行核对，确认无误后方可交货。若产品与合同要求不符，招标人将拒绝接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货物自验收合格之日起2年。质量保修范围：（1）质保期内采购人使用中标人所提供的产品若出现质量问题，中标人需无条件更换，由此产生的费用由中标人全部承担；（2）因质量缺陷原因造成的残损或运输过程中导致的设备损坏，一经发现中标人应无条件更换，不得影响印刷进度，如超期更换采购人有权追究中标人的责任并立刻终止供货合同；(3)投标人须承诺:投标报价须包含服务采购清单中所有费用，最高为220万元(费用包含人员工资、设备、耗材、布局设计、水电线路改造、各类开孔作业，施工辅材、垃圾清运、成品保护、调试及质保服务等全部费用)。(4)投标人须承诺:如遇现场需要更换配件的问题，原厂质保期内的由投标人负责联系厂家提供零配件，质保期外，由投标人进行配件更换或维修，满足科室使用。维护期间产生的所有费用由投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1.“质保期”为“终验合格证书”签署之日起，投标人负责为招标人提供的为期2年设备质量保证服务期。 2.投标人保证合同项下提供的全部设备包含设计、材料或工艺上的缺陷，同时保证消除因投标人行为的疏忽而产生的缺陷（这些缺陷是所供设备在中华人民共和国现行条件下正常使用可能产生的）。 3.投标人确保其技术建议以及所提供的设备的完整性和可用性，保证设备能够投入正常运行。若出现由于投标人提供设备不满足合同要求或其所提供的技术支持和服务不全面而导致设备功能无法实现或不能完全实现的情况，由投标人负全部责任。 4.在质保期内，投标人必须为招标人提供技术援助电话,用于招标人报告故障，技术援助电话支持是以中文提供。如电话支持无法解决,投标人应在接到通知之时起2小时内做出响应，采取行动排除故障，并在 24 小时内修复。如果投标人在接到通知之时起的 24 小时内未修复，乙方须在8小时内提供配置、质量一致的备机或出版服务，送达招标人指点地点，直至故障设备修复。 5.在质保期内，投标人应免费提供设备的升级和相关的技术支持、培训及资料，并应以中文提供。维修或更换有缺陷的设备或部件，或解决设备运行过程中出现的问题时所产生的一切费用由投标人承担。 6.产品涉及到进口部分，投标人应自行按国家政策法规严格办理进口手续，并承担相关税费，若出现任何问题由投标人自行负责。 7.投标人应负责产品的制造和指导安装，并承担连带责任。 8.投标人应按投标文件的易损件清单的部件价格向招标人供货，签订合同后三年内有效。 保修期：每批货物自验收合格之日起2年。质量保修范围：（1）质保期内招标人使用中标人所提供的产品若出现质量问题，中标人需无条件更换，由此产生的费用由中标人全部承担；（2）因质量缺陷原因造成的残损或运输过程中导致的设备损坏，一经发现中标人应无条件更换，不得影响印刷进度，如超期更换招标人有权追究中标人的责任并立刻终止供货合同；(3)投标人须承诺:投标报价须包含服务采购清单中所有费用，最高为55万元(费用包含人员工资、设备、耗材、布局设计、水电线路改造、各类开孔作业，施工辅材、垃圾清运、成品保护、调试及质保服务等全部费用)。(4)投标人须承诺:如遇现场需要更换配件的问题，原厂质保期内的由投标人负责联系厂家提供零配件，质保期外，由投标人进行配件更换或维修，满足科室使用。维护期间产生的所有费用由投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中标人未按合同约定的交货日期交货的，每逾期一日，向采购人支付逾期交付货物价款的1%的违约金，但不超过合同总金额的10%。中标人支付逾期交货违约金并不免除其交货的责任。2.如中标人在合同规定的交货日期后10天内仍未能交货，则视为中标人不能交货，采购人有权解除合同，中标人除退还已收取的货款外，还应向采购人偿付合同总金额10%的违约金。3.中标人所供产品2次出现质量问题，给予500元以内的现金处罚，3次以上采购人有权解除合同，并处以合同价10%的罚款。如因产品质量问题导致的所有责任由中标人承担，应全额赔偿，并将有关情况上报政府采购监管部门解除合同。 争议解决：凡与本项目有关的一切争议，双方应通过友好协商解决。如经协商后仍不能达成协议时，任何一方都有权向甲方所在地人民法院起诉。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中标人未按合同约定的交货日期交货的，每逾期一日，向招标人支付逾期交付货物价款的1%的违约金，但不超过合同总金额的10%。中标人支付逾期交货违约金并不免除其交货的责任。2.如中标人在合同规定的交货日期后10天内仍未能交货，则视为中标人不能交货，招标人有权解除合同，中标人除退还已收取的货款外，还应向招标人偿付合同总金额10%的违约金。3.中标人所供产品2次出现质量问题，给予500元以内的现金处罚，3次以上招标人有权解除合同，并处以合同价10%的罚款。如因产品质量问题导致的所有责任由中标人承担，应全额赔偿，并将有关情况上报政府采购监管部门解除合同。 争议解决：凡与本项目有关的一切争议，双方应通过友好协商解决。如经协商后仍不能达成协议时，任何一方都有权向甲方所在地人民法院起诉。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为保障政府采购电子化交易平台项目实施，投标人需要在线提交所有通过电子化交易平台实施的政府采购项目的投标文件。中标人领取中标通知书时须线下提交投标文件正本壹套、副本贰套、电子版(U盘壹套）。纸质投标文件应与电子投标文件保持一致。递交文件地点：陕西省西安市经济技术开发区文景北路16号白桦林国际B座1602室。 2、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6、需要落实的政府采购政策：6.1《国务院办公厅关于建立政府强制采购节能产品制度的通知》（国办发〔2007〕51号）；6.2《财政部 司法部关于政府采购支持监狱企业发展有关问题的通知》（财库〔2014〕68 号）；6.3《财政部、民政部、中国残疾人联合会关于促进残疾人就业政府采购政策的通知》（财库〔2017〕141号）；6.4《财政部 发展改革委 生态环境部 市场监管总局关于调整优化节能产品、环境标志产品政府采购执行机制的通知》（财库〔2019〕9号）；6.5《关于运用政府采购政策支持乡村产业振兴的通知》（财库〔2021〕19 号）； 6.6《政府采购促进中小企业发展管理办法》（财库〔2020〕46号）；6.7陕西省财政厅关于印发《陕西省中小企业政府采购信用融资办法》（陕财办采〔2018〕23号）；6.8《关于进一步加大政府采购支持中小企业力度的通知》（财库〔2022〕19号）；6.9《关于扩大政府采购支持绿色建材促进建筑品质提升政策实施范围的通知》（财库〔2022〕35号）。 采购包2：1.设备交付给招标人前的一切风险由投标人承担。 2.在设备交货前，投标人应对设备质量、性能等进行详细而全面的检验，并向招标人出具一份证明其符合合同规定的产品合格证，产品合格证是设备交货时投标人提交给招标人文件的一个组成部分，但不能作为有关设备质量、性能等指标的最终检验标准。 3.投标人负责所提供设备的软、硬件的现场安装、调试和与相关系统的连通，并协助招标人进行验货、测试等工作。招标人有权检验（包括抽检）和测试设备。投标人应承担提供必要的检测手段和检测设施，投标人承担相关费用并为招标人检测人员提供协助的费用。 4.设备到达项目现场指定的交货地点后，投标人与招标人代表按设备清单共同对设备进行开箱验货，包括但不限于验视设备数量是否齐全、外观是否完好等。 5.设备送达招标人指定的项目现场并安装完成之日起 30 日内，由招标人代表和投标人代表共同对设备进行安装验收，以确定设备满足上线运行条件。安装验收在项目现场或指定地点进行，测试手段和方案由投标人提出并经招标人确认。投标人应按照招标人的要求参加安装验收，其相关费用由投标人负担。如果设备通过安装验收测试，则招标人应给投标人签署“初验合格证书”（正本两份）；如果因投标人原因无法按合同要求的时间安装验收，则投标人应承担合同第十条规定的违约责任。 6.在安装验收合格后，将进入3个月的设备试运行阶段。如果由于投标人设备设计及开发失误所引起的质量和性能等问题造成招标人的软硬件系统瘫痪等重大故障，投标人应负全部责任并立即查明原因和尽快解决问题，由此产生的额外费用及给招标人造成的损失将由投标人负担。问题解决后，试运行期将重新开始计算；如果由于招标人指定系统软件原因导致设备不能正常工作，经双方确认不属于投标人设备问题，则时间顺延，投标人有责任继续履行其他合同义务。投标人应保障设备试运行的顺利进行，如果因投标人原因无法按合同要求的时间完成试运行，则投标人应承担合同第十条规定的责任。 7.若试运行期满，设备达到合同所规定的全部技术功能和性能要求，终验通过后，招标人给投标人签署“终验合格证书”（正本两份）。 8.不可抗力 8.1如因不可抗力（合同生效后出现的，完全或部分地妨碍任何一方履行本合同的法定免责事件，而且该等事件是本合同各方所不能预测、无法预防或即使预防也不能避免的）、政府禁令或行业政策（需提供政府或行业主管机构相关文件）导致任一方不能依约履行合同时，另一方有权选择顺延服务期间（延长的期限应相当于事故所影响的时间）或者终止合同，甲乙双方均不承担违约责任。 8.2受阻一方应在不可抗力事故发生后尽快用电报、传真或电传通知对方，并于事故发生后14日内将有关当局出具的证明文件用特快专递或挂号信寄给对方审阅确认。 8.3违约终止合同 发生下列严重违约情形之一的，在招标人针对投标人违约而采取的任何追究责任措施不受影响的情况下，招标人可向投标人发出书面通知，提出终止部分或全部合同：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技术方案.docx 本国产品说明 中小企业声明函 商务应答表 中国境内生产的组件成本核算基本规则 投标人需要提交的其他资料.docx 法定代表人资格证明及授权书.docx 投标人应提交的相关资格证明材料 开标一览表2及分项报价表.docx 产品技术参数表 投标人应提交的相关资格证明材料.docx 格式自拟.docx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投标文件封面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法人或者其他组织须提供营业执照等证明文件 , 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自2025年10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自2025年10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法人或者其他组织须提供营业执照等证明文件 , 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中国境内生产的组件成本核算基本规则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自2025年10月1日以来已缴存的至少一个月的社会保障资金缴存单据或社保机构开具的社会保险参保缴费情况证明，单据或证明上应有社保机构或代收机构的公章或业务专用章；依法不需要缴纳社会保障资金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自2025年10月1日以来已缴纳的至少一个月的纳税证明或完税证明，纳税证明或完税证明上应有代收机构或税务机关的公章或业务专用章；依法免税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其开标前三个月内基本存款账户开户银行出具的资信证明及基本存款账户开户许可证（或基本存款账户信息相关证明文件），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招标人或采购代理机构在开标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产品技术参数表</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只能有一个有效报价，不得提交选择性报价，且投标单价不超过单价限价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只能有一个有效报价，不得提交选择性报价，且投标单价不超过单价限价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产品技术参数表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产品技术参数表 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一、评审内容：针对本项目提供技术参数响应方案，方案内容包括但不限于规格型号、参数佐证材料（第三方检测报告、厂家检验报告、产品彩页、官网截图或说明书等内容）。 二、评审标准：1、产品技术参数、规格明确，佐证材料齐全，完全符合采购需求，得15分；2、产品技术参数、规格明确，佐证材料较齐全，符合采购需求，得10分；3、产品技术参数、规格基本明确，佐证材料基本齐全，基本符合采购需求，得6分；4、产品技术参数、规格一般明确，佐证材料一般齐全，一般符合采购需求，得3分；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一、评审内容：针对本项目提供实施方案，方案内容包括：①供货组织计划②质量控制检验方案③人员及物力保障措施。 二、评审标准：1、完整性：方案必须全面，对评审内容中的各项要求有详细描述；2、可实施性：切合本项目实际情况，提出步骤清晰、合理的方案；3、针对性：方案能够紧扣项目实际情况，内容科学合理。 三、赋分标准（满分9分）：①供货组织计划（满分3分）：每完全满足一个评审标准得1分，基本满足得0.5分，不满足得0分；②质量控制检验方案（满分3分）：每完全满足一个评审标准得1分，基本满足得0.5分，不满足得0分；③人员及物力保障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 渠道</w:t>
            </w:r>
          </w:p>
        </w:tc>
        <w:tc>
          <w:tcPr>
            <w:tcW w:type="dxa" w:w="2492"/>
          </w:tcPr>
          <w:p>
            <w:pPr>
              <w:pStyle w:val="null3"/>
            </w:pPr>
            <w:r>
              <w:rPr>
                <w:rFonts w:ascii="仿宋_GB2312" w:hAnsi="仿宋_GB2312" w:cs="仿宋_GB2312" w:eastAsia="仿宋_GB2312"/>
              </w:rPr>
              <w:t>供应商需提供本项目所提供设备的合法正规来源渠道证明文件（证明文件例如：产品制造商授权、销售协议、代理协议等），提供本项目所投全部产品的合法正规来源渠道证明文件得5分，不提供或缺项不得分。 备注：以加盖供应商公章的证明材料复印件为计分依据。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一、评审内容：根据项目实际需要，提供质量保证方案。方案内容包含①产品制造工艺及原材料保障②问题商品的处理规范③产品出厂检验标准。 二、评审标准：1、完整性：方案必须全面，对评审内容中的各项要求有详细描述；2、可实施性：切合本项目实际情况，提出步骤清晰、合理的方案；3、针对性：方案能够紧扣项目实际情况，内容科学合理。 三、赋分标准（满分9分）：①产品制造工艺及原材料保障（满分3分）：每完全满足一个评审标准得1分，基本满足得0.5分，不满足得0分；②问题商品的处理规范（满分3分）：每完全满足一个评审标准得1分，基本满足得0.5分，不满足得0分；③产品出厂检验标准（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一、评审内容：根据本项目提供配送方案，方案内容包括：①接单后响应时效②配送服务人员及车辆保障③运输过程中对成品的安全保护措施。 二、评审标准：1、完整性：方案必须全面，对评审内容中的各项要求有详细描述； 2、可实施性：切合本项目实际情况，提出步骤清晰、合理的方案； 3、针对性：方案能够紧扣项目实际情况，内容科学合理。 三、赋分标准（满分9分）：①接单后响应时效（满分3分）：每完全满足一个评审标准得1分，基本满足得0.5分，不满足得0分；②配送服务人员及车辆保障（满分3分）：每完全满足一个评审标准得1分，基本满足得0.5分，不满足得0分；③运输过程中对成品的安全保护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一、评审内容：根据项目实际需求，提供针对本项目的售后服务方案，方案内容包含①售后服务承诺②售后服务内容③响应时间、响应方式及响应速度 二、评审标准：1、完整性：方案必须全面，对评审内容中的各项要求有详细描述； 2、可实施性：切合本项目实际情况，提出步骤清晰、合理的方案； 3、针对性：方案能够紧扣项目实际情况，内容科学合理。 三、赋分标准（满分12分）： ①售后服务承诺（满分6分）：每完全满足一个评审标准得2分，基本满足得1分，不满足得0分； ②售后服务内容（满分3分）：每完全满足一个评审标准得1分，基本满足得0.5分，不满足得0分； ③响应时间、响应方式及响应速度（满分3分）：每完全满足一个评审标准得1分，基本满足得0.5分，不满足得0分。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提供2022年2月1日（以合同签订时间为准）以来类似项目业绩，附合同或合同关键页（必须含封面、内容、合同价款、签订时间、盖章签字页等信息）的复印件或扫描件，每提供一个计2.5分，最高得分为5分。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针对本项目实施过程中的重点和难点，提供有针对性的合理化建议，每提供一条得1分，满分3分。不提供不得分。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为“环境标志产品政府采购品目清单”内的，应提供该产品的中国环境标志产品认证证书。中国环境标志产品认证证书需由国家确定的认证机构出具且处于有效期内。提供一个产品的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一、评审内容：针对本项目提供技术参数响应方案，方案内容包括但不限于规格型号、参数佐证材料（第三方检测报告、厂家检验报告、产品彩页、官网截图或说明书等内容）。 二、评审标准：1、产品技术参数、规格明确，佐证材料齐全，完全符合采购需求，得15分；2、产品技术参数、规格明确，佐证材料较齐全，符合采购需求，得10分；3、产品技术参数、规格基本明确，佐证材料基本齐全，基本符合采购需求，得6分；4、产品技术参数、规格一般明确，佐证材料一般齐全，一般符合采购需求，得3分；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一、评审内容：针对本项目提供实施方案，方案内容包括：①供货组织计划②质量控制检验方案③人员及物力保障措施。 二、评审标准：1、完整性：方案必须全面，对评审内容中的各项要求有详细描述；2、可实施性：切合本项目实际情况，提出步骤清晰、合理的方案；3、针对性：方案能够紧扣项目实际情况，内容科学合理。 三、赋分标准（满分9分）：①供货组织计划（满分3分）：每完全满足一个评审标准得1分，基本满足得0.5分，不满足得0分；②质量控制检验方案（满分3分）：每完全满足一个评审标准得1分，基本满足得0.5分，不满足得0分；③人员及物力保障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 渠道</w:t>
            </w:r>
          </w:p>
        </w:tc>
        <w:tc>
          <w:tcPr>
            <w:tcW w:type="dxa" w:w="2492"/>
          </w:tcPr>
          <w:p>
            <w:pPr>
              <w:pStyle w:val="null3"/>
            </w:pPr>
            <w:r>
              <w:rPr>
                <w:rFonts w:ascii="仿宋_GB2312" w:hAnsi="仿宋_GB2312" w:cs="仿宋_GB2312" w:eastAsia="仿宋_GB2312"/>
              </w:rPr>
              <w:t>投标人需提供本项目所提供设备的合法正规来源渠道证明文件（证明文件例如：产品制造商授权、销售协议、代理协议等），提供本项目所投全部产品的合法正规来源渠道证明文件得5分，不提供或缺项不得分。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一、评审内容：根据项目实际需要，提供质量保证方案。方案内容包含①产品制造工艺及原材料保障②问题商品的处理规范③产品出厂检验标准。 二、评审标准：1、完整性：方案必须全面，对评审内容中的各项要求有详细描述；2、可实施性：切合本项目实际情况，提出步骤清晰、合理的方案；3、针对性：方案能够紧扣项目实际情况，内容科学合理。 三、赋分标准（满分9分）：①产品制造工艺及原材料保障（满分3分）：每完全满足一个评审标准得1分，基本满足得0.5分，不满足得0分；②问题商品的处理规范（满分3分）：每完全满足一个评审标准得1分，基本满足得0.5分，不满足得0分；③产品出厂检验标准（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一、评审内容：根据本项目提供配送方案，方案内容包括：①接单后响应时效②配送服务人员及车辆保障③运输过程中对成品的安全保护措施。 二、评审标准：1、完整性：方案必须全面，对评审内容中的各项要求有详细描述； 2、可实施性：切合本项目实际情况，提出步骤清晰、合理的方案； 3、针对性：方案能够紧扣项目实际情况，内容科学合理。 三、赋分标准（满分9分）：①接单后响应时效（满分3分）：每完全满足一个评审标准得1分，基本满足得0.5分，不满足得0分；②配送服务人员及车辆保障（满分3分）：每完全满足一个评审标准得1分，基本满足得0.5分，不满足得0分；③运输过程中对成品的安全保护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一、评审内容：根据项目实际需求，提供针对本项目的售后服务方案，方案内容包含①售后服务承诺②售后服务内容③响应时间、响应方式及响应速度 二、评审标准：1、完整性：方案必须全面，对评审内容中的各项要求有详细描述； 2、可实施性：切合本项目实际情况，提出步骤清晰、合理的方案； 3、针对性：方案能够紧扣项目实际情况，内容科学合理。 三、赋分标准（满分12分）： ①售后服务承诺（满分6分）：每完全满足一个评审标准得2分，基本满足得1分，不满足得0分； ②售后服务内容（满分3分）：每完全满足一个评审标准得1分，基本满足得0.5分，不满足得0分； ③响应时间、响应方式及响应速度（满分3分）：每完全满足一个评审标准得1分，基本满足得0.5分，不满足得0分。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提供2022年2月1日（以合同签订时间为准）以来类似项目业绩，附合同或合同关键页（必须含封面、内容、合同价款、签订时间、盖章签字页等信息）的复印件或扫描件，每提供一个计2.5分，最高得分为5分。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针对本项目实施过程中的重点和难点，提供有针对性的合理化建议，每提供一条得1分，满分3分。不提供不得分。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 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的中国环境标志产品认证证书。中国环境标志产品认证证书需由国家确定的认证机构出具且处于有效期内。提供一个产品的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总价金额作为报价得分的计算基础，即满足招标文件要求且投标总价金额最低的作为评标基准价，其价格分为满分。其余投标人报价得分＝（评标基准价/投标总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详见附件：格式自拟.docx</w:t>
      </w:r>
    </w:p>
    <w:p>
      <w:pPr>
        <w:pStyle w:val="null3"/>
        <w:ind w:firstLine="960"/>
      </w:pPr>
      <w:r>
        <w:rPr>
          <w:rFonts w:ascii="仿宋_GB2312" w:hAnsi="仿宋_GB2312" w:cs="仿宋_GB2312" w:eastAsia="仿宋_GB2312"/>
        </w:rPr>
        <w:t>详见附件：开标一览表2及分项报价表.docx</w:t>
      </w:r>
    </w:p>
    <w:p>
      <w:pPr>
        <w:pStyle w:val="null3"/>
        <w:ind w:firstLine="960"/>
      </w:pPr>
      <w:r>
        <w:rPr>
          <w:rFonts w:ascii="仿宋_GB2312" w:hAnsi="仿宋_GB2312" w:cs="仿宋_GB2312" w:eastAsia="仿宋_GB2312"/>
        </w:rPr>
        <w:t>详见附件：投标人需要提交的其他资料.docx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详见附件：格式自拟.docx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详见附件：投标人需要提交的其他资料.docx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详见附件：开标一览表2及分项报价表.docx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