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版本号：YSGS-2026ZB051820260611001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西安市灞桥区2026年中央水利发展资金小型水库维修养护项目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YSGS-2026ZB0518</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西安市灞桥区2026年中央水利发展资金小型水库维修养护项目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YSGS-2026ZB0518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西安市灞桥区2026年中央水利发展资金小型水库维修养护项目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项目内容主要包括胜利水库、车村水库、杨家沟水库及红旗水库等4座水库维修养护。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采购包1（西安市灞桥区2026年中央水利发展资金小型水库维修养护项目）：属于专门面向中小企业采购。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报告：提供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3、完税证明：提供投标截止之日前近六个月内至少一个月的纳税证明或完税证明，依法免税的单位应提供相关证明材料；供应商需在项目电⼦化交易系统中按要求上传证明文件并进⾏电⼦签章；</w:t>
      </w:r>
    </w:p>
    <w:p>
      <w:pPr>
        <w:pStyle w:val="null3"/>
      </w:pPr>
      <w:r>
        <w:rPr>
          <w:rFonts w:ascii="仿宋_GB2312" w:hAnsi="仿宋_GB2312" w:cs="仿宋_GB2312" w:eastAsia="仿宋_GB2312"/>
        </w:rPr>
        <w:t>4、社保证明：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证明文件并进⾏电⼦签章；</w:t>
      </w:r>
    </w:p>
    <w:p>
      <w:pPr>
        <w:pStyle w:val="null3"/>
      </w:pPr>
      <w:r>
        <w:rPr>
          <w:rFonts w:ascii="仿宋_GB2312" w:hAnsi="仿宋_GB2312" w:cs="仿宋_GB2312" w:eastAsia="仿宋_GB2312"/>
        </w:rPr>
        <w:t>5、具有履行本合同所必需的设备和专业技术能力的声明：提供具有履行本合同所必需的设备和专业技术能力的声明；供应商需在项目电⼦化交易系统中按要求上传证明文件并进⾏电⼦签章；</w:t>
      </w:r>
    </w:p>
    <w:p>
      <w:pPr>
        <w:pStyle w:val="null3"/>
      </w:pPr>
      <w:r>
        <w:rPr>
          <w:rFonts w:ascii="仿宋_GB2312" w:hAnsi="仿宋_GB2312" w:cs="仿宋_GB2312" w:eastAsia="仿宋_GB2312"/>
        </w:rPr>
        <w:t>6、参加政府采购活动前3年内在经营活动中没有重大违法记录的书面声明：出具参加政府采购活动前3年内在经营活动中没有重大违法记录的书面声明；供应商需在项目电⼦化交易系统中按要求上传证明文件并进⾏电⼦签章；</w:t>
      </w:r>
    </w:p>
    <w:p>
      <w:pPr>
        <w:pStyle w:val="null3"/>
      </w:pPr>
      <w:r>
        <w:rPr>
          <w:rFonts w:ascii="仿宋_GB2312" w:hAnsi="仿宋_GB2312" w:cs="仿宋_GB2312" w:eastAsia="仿宋_GB2312"/>
        </w:rPr>
        <w:t>7、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开标当天代理机构现场查询；处罚期限届满的除外，如相关失信记录已失效，供应商需提供相关证明资料。)；</w:t>
      </w:r>
    </w:p>
    <w:p>
      <w:pPr>
        <w:pStyle w:val="null3"/>
      </w:pPr>
      <w:r>
        <w:rPr>
          <w:rFonts w:ascii="仿宋_GB2312" w:hAnsi="仿宋_GB2312" w:cs="仿宋_GB2312" w:eastAsia="仿宋_GB2312"/>
        </w:rPr>
        <w:t>8、授权委托书：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p>
      <w:pPr>
        <w:pStyle w:val="null3"/>
      </w:pPr>
      <w:r>
        <w:rPr>
          <w:rFonts w:ascii="仿宋_GB2312" w:hAnsi="仿宋_GB2312" w:cs="仿宋_GB2312" w:eastAsia="仿宋_GB2312"/>
        </w:rPr>
        <w:t>9、联合体：本项目不接受联合体磋商，供应商需在项目电子化交易系统中按要求上传相应证明文件并进行电子签章。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029-83510107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白琪琪、刘敏、张乐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13363975680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采购包1：166,110.56元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参照《国家计委关于印发&lt;招标代理服务收费管理暂行办法&gt;的通知》（计价格【2002】1980号）及《国家发展和改革委员会办公厅关于招标代理服务收费有关问题的通知》（发改办价格〔2003〕857号）文件中服务类收费标准收取，由中标（成交）供应商向受托人支付，不足5000元整按5000元整收取。 名称:陕西衍森项目管理有限公司 开户银行:平安银行股份有限公司西安分行 银行账号:15122099180091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（1）供应商按照采购人要求，完成服务内容，由采购人组织验收。(2)验收依据：磋商文件、响应文件、澄清表（函）、本合同及其附件文本、国家及行业相应的标准和规范。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联系人：白琪琪</w:t>
      </w:r>
    </w:p>
    <w:p>
      <w:pPr>
        <w:pStyle w:val="null3"/>
      </w:pPr>
      <w:r>
        <w:rPr>
          <w:rFonts w:ascii="仿宋_GB2312" w:hAnsi="仿宋_GB2312" w:cs="仿宋_GB2312" w:eastAsia="仿宋_GB2312"/>
        </w:rPr>
        <w:t>联系电话：13363975680</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项目内容主要包括胜利水库、车村水库、杨家沟水库及红旗水库等4座水库维修养护。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166,110.56</w:t>
      </w:r>
    </w:p>
    <w:p>
      <w:pPr>
        <w:pStyle w:val="null3"/>
      </w:pPr>
      <w:r>
        <w:rPr>
          <w:rFonts w:ascii="仿宋_GB2312" w:hAnsi="仿宋_GB2312" w:cs="仿宋_GB2312" w:eastAsia="仿宋_GB2312"/>
        </w:rPr>
        <w:t>采购包最高限价（元）: 166,110.56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西安市灞桥区2026年中央水利发展资金小型水库维修养护项目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166,110.56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标的名称：西安市灞桥区2026年中央水利发展资金小型水库维修养护项目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项目概况</w:t>
            </w:r>
          </w:p>
          <w:p>
            <w:pPr>
              <w:pStyle w:val="null3"/>
              <w:ind w:firstLine="560"/>
              <w:jc w:val="both"/>
            </w:pPr>
            <w:r>
              <w:rPr>
                <w:rFonts w:ascii="仿宋_GB2312" w:hAnsi="仿宋_GB2312" w:cs="仿宋_GB2312" w:eastAsia="仿宋_GB2312"/>
                <w:sz w:val="28"/>
              </w:rPr>
              <w:t>杨家沟水库：迎水坡格构梁修整</w:t>
            </w:r>
            <w:r>
              <w:rPr>
                <w:rFonts w:ascii="仿宋_GB2312" w:hAnsi="仿宋_GB2312" w:cs="仿宋_GB2312" w:eastAsia="仿宋_GB2312"/>
                <w:sz w:val="28"/>
              </w:rPr>
              <w:t>622.2㎡；更换C25混凝土雨水箅子1个；更换C20混凝土路缘石1m；人行道透水砖更换3块；放水塔人行桥路灯灯头更换5个；背水坡排水沟清淤42m³；库区漂浮物清理4次；溢洪道清淤90m³；更换防护网27m；更换瓷片23块；仿古宣传牌挪位1个；碎石堆整平80㎡；警示标语9块；窗户玻璃更换4块；20kW发电机1台。</w:t>
            </w:r>
          </w:p>
          <w:p>
            <w:pPr>
              <w:pStyle w:val="null3"/>
              <w:ind w:firstLine="560"/>
              <w:jc w:val="both"/>
            </w:pPr>
            <w:r>
              <w:rPr>
                <w:rFonts w:ascii="仿宋_GB2312" w:hAnsi="仿宋_GB2312" w:cs="仿宋_GB2312" w:eastAsia="仿宋_GB2312"/>
                <w:sz w:val="28"/>
              </w:rPr>
              <w:t>车村水库：设置警示牌</w:t>
            </w:r>
            <w:r>
              <w:rPr>
                <w:rFonts w:ascii="仿宋_GB2312" w:hAnsi="仿宋_GB2312" w:cs="仿宋_GB2312" w:eastAsia="仿宋_GB2312"/>
                <w:sz w:val="28"/>
              </w:rPr>
              <w:t>3个。</w:t>
            </w:r>
          </w:p>
          <w:p>
            <w:pPr>
              <w:pStyle w:val="null3"/>
              <w:ind w:firstLine="560"/>
              <w:jc w:val="both"/>
            </w:pPr>
            <w:r>
              <w:rPr>
                <w:rFonts w:ascii="仿宋_GB2312" w:hAnsi="仿宋_GB2312" w:cs="仿宋_GB2312" w:eastAsia="仿宋_GB2312"/>
                <w:sz w:val="28"/>
              </w:rPr>
              <w:t>红旗水库：溢洪道口割草</w:t>
            </w:r>
            <w:r>
              <w:rPr>
                <w:rFonts w:ascii="仿宋_GB2312" w:hAnsi="仿宋_GB2312" w:cs="仿宋_GB2312" w:eastAsia="仿宋_GB2312"/>
                <w:sz w:val="28"/>
              </w:rPr>
              <w:t>1次735m²；背水坡排水沟清淤24m³；库区漂浮物清理4次。</w:t>
            </w:r>
          </w:p>
          <w:p>
            <w:pPr>
              <w:pStyle w:val="null3"/>
            </w:pPr>
            <w:r>
              <w:rPr>
                <w:rFonts w:ascii="仿宋_GB2312" w:hAnsi="仿宋_GB2312" w:cs="仿宋_GB2312" w:eastAsia="仿宋_GB2312"/>
                <w:sz w:val="28"/>
              </w:rPr>
              <w:t>胜利水库：破损人行道路拆除修复</w:t>
            </w:r>
            <w:r>
              <w:rPr>
                <w:rFonts w:ascii="仿宋_GB2312" w:hAnsi="仿宋_GB2312" w:cs="仿宋_GB2312" w:eastAsia="仿宋_GB2312"/>
                <w:sz w:val="28"/>
              </w:rPr>
              <w:t>150m；新建大门1座；新建围栏23m；不锈钢宣传牌4个。</w:t>
            </w:r>
          </w:p>
          <w:p>
            <w:pPr>
              <w:pStyle w:val="null3"/>
            </w:pP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服务内容</w:t>
            </w:r>
          </w:p>
          <w:tbl>
            <w:tblPr>
              <w:tblBorders>
                <w:top w:val="single"/>
                <w:left w:val="single"/>
                <w:bottom w:val="single"/>
                <w:right w:val="single"/>
                <w:insideH w:val="single"/>
                <w:insideV w:val="single"/>
              </w:tblBorders>
            </w:tblPr>
            <w:tblGrid>
              <w:gridCol w:w="338"/>
              <w:gridCol w:w="1438"/>
              <w:gridCol w:w="233"/>
              <w:gridCol w:w="542"/>
            </w:tblGrid>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编号</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项目名称</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单位</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维修养护工程量</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胜利水库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人行道路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150</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破损人行道路拆除</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土方开挖</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30</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弃渣清运（15km）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54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10cm厚砂砾石垫层</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288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1.1.5</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2cm厚M7.5水泥砂浆找平层</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288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1.1.6</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24×12×6cm透水砖</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288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1.1.7</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60×25×8cmC20混凝土路缘石</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150</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水库大门</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座</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土方开挖</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12.38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土方回填</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9.464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C25钢筋混凝土基础</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3.06</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C20混凝土垫层</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0.25</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1.2.5</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模板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13.84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1.2.6</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钢筋</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t</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0.19</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1.2.7</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底板法兰盘500×500×20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kg</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81.21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1.2.8</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地脚螺栓M27×1100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kg</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55.86</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1.2.9</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6m宽铁艺大门（包含门柱）</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扇</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围栏</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23</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土方开挖</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土方回填</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2.35</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C25混凝土基础</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0.448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模板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4.48</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1.3.5</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铸铁围栏</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23</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不锈钢宣传牌（150×75cm）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个</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杨家沟水库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迎水坡格构梁修整（M10砂浆抹面 , 厚度2cm）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622.2</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更换C25混凝土雨水箅子（43× 50×5cm）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个</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更换C20混凝土路缘石（80×35× 13cm）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人行道透水砖更换（0.25×0.25× 5cm）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块</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2.5</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放水塔人行桥路灯灯头更换</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个</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5</w:t>
                  </w:r>
                </w:p>
              </w:tc>
            </w:tr>
            <w:tr>
              <w:tc>
                <w:tcPr>
                  <w:tcW w:type="dxa" w:w="3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2.6</w:t>
                  </w:r>
                </w:p>
              </w:tc>
              <w:tc>
                <w:tcPr>
                  <w:tcW w:type="dxa" w:w="143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背水坡排水沟清淤(排水沟宽 0.4m，长350m，平均淤积深度0.3m)</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m³</w:t>
                  </w:r>
                </w:p>
              </w:tc>
              <w:tc>
                <w:tcPr>
                  <w:tcW w:type="dxa" w:w="5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42</w:t>
                  </w:r>
                </w:p>
              </w:tc>
            </w:tr>
            <w:tr>
              <w:tc>
                <w:tcPr>
                  <w:tcW w:type="dxa" w:w="338"/>
                  <w:vMerge/>
                  <w:tcBorders>
                    <w:top w:val="single" w:color="000000" w:sz="4"/>
                    <w:left w:val="single" w:color="000000" w:sz="4"/>
                    <w:bottom w:val="single" w:color="000000" w:sz="4"/>
                    <w:right w:val="single" w:color="000000" w:sz="4"/>
                  </w:tcBorders>
                </w:tcPr>
                <w:p/>
              </w:tc>
              <w:tc>
                <w:tcPr>
                  <w:tcW w:type="dxa" w:w="14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542"/>
                  <w:vMerge/>
                  <w:tcBorders>
                    <w:top w:val="single" w:color="000000" w:sz="4"/>
                    <w:left w:val="single" w:color="000000" w:sz="4"/>
                    <w:bottom w:val="single" w:color="000000" w:sz="4"/>
                    <w:right w:val="single" w:color="000000" w:sz="4"/>
                  </w:tcBorders>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2.7</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库区漂浮物清理4次（单次面积390m² , 4次共计1560m² )厚度20cm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312</w:t>
                  </w:r>
                </w:p>
              </w:tc>
            </w:tr>
            <w:tr>
              <w:tc>
                <w:tcPr>
                  <w:tcW w:type="dxa" w:w="33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2.8</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溢洪道清淤(清理宽度6m，长度30m，平均淤积深度50m)运距14km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90</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2.9</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更换防护网</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27</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更换瓷片（每块0.6*0.6m）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块</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23</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仿古宣传牌挪位</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个</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碎石堆整平</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80</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警示标语9个不锈钢字60*60cm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块</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9</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窗户玻璃更换5mm厚（每块1.2*0.4m）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块</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2.15</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发电机20kw</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台</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红旗水库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溢洪道口割草1次（单次面积735m² )</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m²</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735</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3.2</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背水坡排水沟清淤(排水沟宽 0.4m，长200m，平均淤积深度0.3m)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24</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3.3</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库区漂浮物清理4次（单次面积200m² , 4次共计800m² )厚度20cm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m³</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160</w:t>
                  </w: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4</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车村水库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4.1</w:t>
                  </w:r>
                </w:p>
              </w:tc>
              <w:tc>
                <w:tcPr>
                  <w:tcW w:type="dxa" w:w="143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警示牌40*50cm（铝板反光膜1.5mm厚)</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个</w:t>
                  </w:r>
                </w:p>
              </w:tc>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3</w:t>
                  </w:r>
                </w:p>
              </w:tc>
            </w:tr>
          </w:tbl>
          <w:p>
            <w:pPr>
              <w:pStyle w:val="null3"/>
            </w:pPr>
            <w:r>
              <w:rPr>
                <w:rFonts w:ascii="仿宋_GB2312" w:hAnsi="仿宋_GB2312" w:cs="仿宋_GB2312" w:eastAsia="仿宋_GB2312"/>
              </w:rPr>
              <w:t xml:space="preserve"> </w:t>
            </w:r>
          </w:p>
          <w:p>
            <w:pPr>
              <w:pStyle w:val="null3"/>
              <w:spacing w:before="315"/>
              <w:ind w:firstLine="284"/>
              <w:jc w:val="both"/>
            </w:pPr>
            <w:r>
              <w:rPr>
                <w:rFonts w:ascii="仿宋_GB2312" w:hAnsi="仿宋_GB2312" w:cs="仿宋_GB2312" w:eastAsia="仿宋_GB2312"/>
                <w:sz w:val="28"/>
                <w:b/>
              </w:rPr>
              <w:t>三、技术要求</w:t>
            </w:r>
          </w:p>
          <w:p>
            <w:pPr>
              <w:pStyle w:val="null3"/>
              <w:ind w:firstLine="560"/>
              <w:jc w:val="both"/>
            </w:pPr>
            <w:r>
              <w:rPr>
                <w:rFonts w:ascii="仿宋_GB2312" w:hAnsi="仿宋_GB2312" w:cs="仿宋_GB2312" w:eastAsia="仿宋_GB2312"/>
                <w:sz w:val="28"/>
              </w:rPr>
              <w:t>符合国家</w:t>
            </w:r>
            <w:r>
              <w:rPr>
                <w:rFonts w:ascii="仿宋_GB2312" w:hAnsi="仿宋_GB2312" w:cs="仿宋_GB2312" w:eastAsia="仿宋_GB2312"/>
                <w:sz w:val="28"/>
              </w:rPr>
              <w:t>及行业</w:t>
            </w:r>
            <w:r>
              <w:rPr>
                <w:rFonts w:ascii="仿宋_GB2312" w:hAnsi="仿宋_GB2312" w:cs="仿宋_GB2312" w:eastAsia="仿宋_GB2312"/>
                <w:sz w:val="28"/>
              </w:rPr>
              <w:t>标准</w:t>
            </w:r>
            <w:r>
              <w:rPr>
                <w:rFonts w:ascii="仿宋_GB2312" w:hAnsi="仿宋_GB2312" w:cs="仿宋_GB2312" w:eastAsia="仿宋_GB2312"/>
                <w:sz w:val="28"/>
              </w:rPr>
              <w:t>。</w:t>
            </w:r>
          </w:p>
          <w:p>
            <w:pPr>
              <w:pStyle w:val="null3"/>
              <w:spacing w:before="315"/>
              <w:ind w:firstLine="281"/>
              <w:jc w:val="both"/>
            </w:pPr>
            <w:r>
              <w:rPr>
                <w:rFonts w:ascii="仿宋_GB2312" w:hAnsi="仿宋_GB2312" w:cs="仿宋_GB2312" w:eastAsia="仿宋_GB2312"/>
                <w:sz w:val="28"/>
                <w:b/>
              </w:rPr>
              <w:t>四、服务要求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一）人员要求</w:t>
            </w:r>
          </w:p>
          <w:p>
            <w:pPr>
              <w:pStyle w:val="null3"/>
              <w:ind w:firstLine="560"/>
              <w:jc w:val="both"/>
            </w:pPr>
            <w:r>
              <w:rPr>
                <w:rFonts w:ascii="仿宋_GB2312" w:hAnsi="仿宋_GB2312" w:cs="仿宋_GB2312" w:eastAsia="仿宋_GB2312"/>
                <w:sz w:val="28"/>
              </w:rPr>
              <w:t>要求供应商有项目实施团队及管理方案，具有专业技术能力。</w:t>
            </w:r>
          </w:p>
          <w:p>
            <w:pPr>
              <w:pStyle w:val="null3"/>
              <w:ind w:firstLine="560"/>
              <w:jc w:val="both"/>
            </w:pPr>
            <w:r>
              <w:rPr>
                <w:rFonts w:ascii="仿宋_GB2312" w:hAnsi="仿宋_GB2312" w:cs="仿宋_GB2312" w:eastAsia="仿宋_GB2312"/>
                <w:sz w:val="28"/>
              </w:rPr>
              <w:t>（二）专业设备</w:t>
            </w:r>
          </w:p>
          <w:p>
            <w:pPr>
              <w:pStyle w:val="null3"/>
              <w:ind w:firstLine="560"/>
              <w:jc w:val="both"/>
            </w:pPr>
            <w:r>
              <w:rPr>
                <w:rFonts w:ascii="仿宋_GB2312" w:hAnsi="仿宋_GB2312" w:cs="仿宋_GB2312" w:eastAsia="仿宋_GB2312"/>
                <w:sz w:val="28"/>
              </w:rPr>
              <w:t>要求供应商有完成本项目所需的设备。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服务标准</w:t>
            </w:r>
          </w:p>
          <w:p>
            <w:pPr>
              <w:pStyle w:val="null3"/>
              <w:ind w:firstLine="560"/>
              <w:jc w:val="both"/>
            </w:pPr>
            <w:r>
              <w:rPr>
                <w:rFonts w:ascii="仿宋_GB2312" w:hAnsi="仿宋_GB2312" w:cs="仿宋_GB2312" w:eastAsia="仿宋_GB2312"/>
                <w:sz w:val="28"/>
              </w:rPr>
              <w:t>符合国家</w:t>
            </w:r>
            <w:r>
              <w:rPr>
                <w:rFonts w:ascii="仿宋_GB2312" w:hAnsi="仿宋_GB2312" w:cs="仿宋_GB2312" w:eastAsia="仿宋_GB2312"/>
                <w:sz w:val="28"/>
              </w:rPr>
              <w:t>及行业</w:t>
            </w:r>
            <w:r>
              <w:rPr>
                <w:rFonts w:ascii="仿宋_GB2312" w:hAnsi="仿宋_GB2312" w:cs="仿宋_GB2312" w:eastAsia="仿宋_GB2312"/>
                <w:sz w:val="28"/>
              </w:rPr>
              <w:t>标准</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五、商务要求</w:t>
            </w:r>
          </w:p>
          <w:p>
            <w:pPr>
              <w:pStyle w:val="null3"/>
              <w:spacing w:before="315"/>
              <w:ind w:firstLine="284"/>
              <w:jc w:val="both"/>
            </w:pPr>
            <w:r>
              <w:rPr>
                <w:rFonts w:ascii="仿宋_GB2312" w:hAnsi="仿宋_GB2312" w:cs="仿宋_GB2312" w:eastAsia="仿宋_GB2312"/>
                <w:sz w:val="28"/>
              </w:rPr>
              <w:t xml:space="preserve">  （一）</w:t>
            </w:r>
            <w:r>
              <w:rPr>
                <w:rFonts w:ascii="仿宋_GB2312" w:hAnsi="仿宋_GB2312" w:cs="仿宋_GB2312" w:eastAsia="仿宋_GB2312"/>
                <w:sz w:val="28"/>
              </w:rPr>
              <w:t>服务</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自合同签订之日起</w:t>
            </w:r>
            <w:r>
              <w:rPr>
                <w:rFonts w:ascii="仿宋_GB2312" w:hAnsi="仿宋_GB2312" w:cs="仿宋_GB2312" w:eastAsia="仿宋_GB2312"/>
                <w:sz w:val="28"/>
              </w:rPr>
              <w:t>5个月</w:t>
            </w:r>
            <w:r>
              <w:rPr>
                <w:rFonts w:ascii="仿宋_GB2312" w:hAnsi="仿宋_GB2312" w:cs="仿宋_GB2312" w:eastAsia="仿宋_GB2312"/>
                <w:sz w:val="28"/>
              </w:rPr>
              <w:t>完成全部项目内容，并交付采购人验收合格。</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合同签订后，支付合同金额的</w:t>
            </w:r>
            <w:r>
              <w:rPr>
                <w:rFonts w:ascii="仿宋_GB2312" w:hAnsi="仿宋_GB2312" w:cs="仿宋_GB2312" w:eastAsia="仿宋_GB2312"/>
                <w:sz w:val="28"/>
              </w:rPr>
              <w:t>40%，项目验收合格后，支付合同金额的60%</w:t>
            </w:r>
            <w:r>
              <w:rPr>
                <w:rFonts w:ascii="仿宋_GB2312" w:hAnsi="仿宋_GB2312" w:cs="仿宋_GB2312" w:eastAsia="仿宋_GB2312"/>
                <w:sz w:val="28"/>
              </w:rPr>
              <w:t>。</w:t>
            </w:r>
          </w:p>
          <w:p>
            <w:pPr>
              <w:pStyle w:val="null3"/>
              <w:spacing w:before="315"/>
              <w:ind w:firstLine="284"/>
              <w:jc w:val="both"/>
            </w:pPr>
            <w:r>
              <w:rPr>
                <w:rFonts w:ascii="仿宋_GB2312" w:hAnsi="仿宋_GB2312" w:cs="仿宋_GB2312" w:eastAsia="仿宋_GB2312"/>
                <w:sz w:val="28"/>
                <w:b/>
              </w:rPr>
              <w:t>六、其他</w:t>
            </w:r>
          </w:p>
          <w:p>
            <w:pPr>
              <w:pStyle w:val="null3"/>
              <w:ind w:firstLine="560"/>
              <w:jc w:val="both"/>
            </w:pPr>
            <w:r>
              <w:rPr>
                <w:rFonts w:ascii="仿宋_GB2312" w:hAnsi="仿宋_GB2312" w:cs="仿宋_GB2312" w:eastAsia="仿宋_GB2312"/>
                <w:sz w:val="28"/>
              </w:rPr>
              <w:t>（一）进度要求</w:t>
            </w:r>
          </w:p>
          <w:p>
            <w:pPr>
              <w:pStyle w:val="null3"/>
              <w:ind w:firstLine="560"/>
              <w:jc w:val="both"/>
            </w:pPr>
            <w:r>
              <w:rPr>
                <w:rFonts w:ascii="仿宋_GB2312" w:hAnsi="仿宋_GB2312" w:cs="仿宋_GB2312" w:eastAsia="仿宋_GB2312"/>
                <w:sz w:val="28"/>
              </w:rPr>
              <w:t>按照服务范围及时间</w:t>
            </w:r>
            <w:r>
              <w:rPr>
                <w:rFonts w:ascii="仿宋_GB2312" w:hAnsi="仿宋_GB2312" w:cs="仿宋_GB2312" w:eastAsia="仿宋_GB2312"/>
                <w:sz w:val="28"/>
              </w:rPr>
              <w:t>完成项目。</w:t>
            </w:r>
          </w:p>
          <w:p>
            <w:pPr>
              <w:pStyle w:val="null3"/>
              <w:ind w:firstLine="560"/>
              <w:jc w:val="both"/>
            </w:pPr>
            <w:r>
              <w:rPr>
                <w:rFonts w:ascii="仿宋_GB2312" w:hAnsi="仿宋_GB2312" w:cs="仿宋_GB2312" w:eastAsia="仿宋_GB2312"/>
                <w:sz w:val="28"/>
              </w:rPr>
              <w:t>(二</w:t>
            </w:r>
            <w:r>
              <w:rPr>
                <w:rFonts w:ascii="仿宋_GB2312" w:hAnsi="仿宋_GB2312" w:cs="仿宋_GB2312" w:eastAsia="仿宋_GB2312"/>
                <w:sz w:val="28"/>
              </w:rPr>
              <w:t>)质量验收标准或规范</w:t>
            </w:r>
          </w:p>
          <w:p>
            <w:pPr>
              <w:pStyle w:val="null3"/>
              <w:ind w:firstLine="560"/>
              <w:jc w:val="both"/>
            </w:pPr>
            <w:r>
              <w:rPr>
                <w:rFonts w:ascii="仿宋_GB2312" w:hAnsi="仿宋_GB2312" w:cs="仿宋_GB2312" w:eastAsia="仿宋_GB2312"/>
                <w:sz w:val="28"/>
              </w:rPr>
              <w:t>供应商按照采购人要求，完成服务内容，由采购人组织验收。</w:t>
            </w:r>
            <w:r>
              <w:rPr>
                <w:rFonts w:ascii="仿宋_GB2312" w:hAnsi="仿宋_GB2312" w:cs="仿宋_GB2312" w:eastAsia="仿宋_GB2312"/>
                <w:sz w:val="28"/>
              </w:rPr>
              <w:t>(2)验收依据：磋商文件、响应文件、澄清表（函）、本合同及其附件文本、国家</w:t>
            </w:r>
            <w:r>
              <w:rPr>
                <w:rFonts w:ascii="仿宋_GB2312" w:hAnsi="仿宋_GB2312" w:cs="仿宋_GB2312" w:eastAsia="仿宋_GB2312"/>
                <w:sz w:val="28"/>
              </w:rPr>
              <w:t>及行业</w:t>
            </w:r>
            <w:r>
              <w:rPr>
                <w:rFonts w:ascii="仿宋_GB2312" w:hAnsi="仿宋_GB2312" w:cs="仿宋_GB2312" w:eastAsia="仿宋_GB2312"/>
                <w:sz w:val="28"/>
              </w:rPr>
              <w:t>相应的标准和规范。</w:t>
            </w:r>
          </w:p>
          <w:p>
            <w:pPr>
              <w:pStyle w:val="null3"/>
              <w:ind w:firstLine="560"/>
              <w:jc w:val="both"/>
            </w:pPr>
            <w:r>
              <w:rPr>
                <w:rFonts w:ascii="仿宋_GB2312" w:hAnsi="仿宋_GB2312" w:cs="仿宋_GB2312" w:eastAsia="仿宋_GB2312"/>
                <w:sz w:val="28"/>
              </w:rPr>
              <w:t>(三</w:t>
            </w:r>
            <w:r>
              <w:rPr>
                <w:rFonts w:ascii="仿宋_GB2312" w:hAnsi="仿宋_GB2312" w:cs="仿宋_GB2312" w:eastAsia="仿宋_GB2312"/>
                <w:sz w:val="28"/>
              </w:rPr>
              <w:t>)违约责任</w:t>
            </w:r>
          </w:p>
          <w:p>
            <w:pPr>
              <w:pStyle w:val="null3"/>
            </w:pPr>
            <w:r>
              <w:rPr>
                <w:rFonts w:ascii="仿宋_GB2312" w:hAnsi="仿宋_GB2312" w:cs="仿宋_GB2312" w:eastAsia="仿宋_GB2312"/>
                <w:sz w:val="28"/>
              </w:rPr>
              <w:t xml:space="preserve">    供应商在履行合同过程中，出现了合同条款内的违约条件，应按照合同约定承担相应的违约责任。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要求供应商有项目实施团队及管理方案，具有专业技术能力。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要求供应商有完成本项目所需的设备。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自合同签订之日起5个月完成全部项目内容，并交付采购人验收合格。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（1）供应商按照采购人要求，完成服务内容，由采购人组织验收。(2)验收依据：磋商文件、响应文件、澄清表（函）、本合同及其附件文本、国家及行业相应的标准和规范。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一、违约责任：按《中华人民共和国民法典》中的相关条款执行。二、解决争议：双方首先进行友好协商解决，如协商不成，任何一方可向采购人所在地有管辖权的人民法院提起诉讼。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供应商需在项目电子化交易系统中按要求填写《投标函》完成承诺并进行电子签章；按要求填写供应商企业关联关系声明函并进行电子签章。</w:t>
            </w:r>
          </w:p>
        </w:tc>
        <w:tc>
          <w:tcPr>
            <w:tcW w:type="dxa" w:w="1661"/>
          </w:tcPr>
          <w:p>
            <w:pPr>
              <w:pStyle w:val="null3"/>
            </w:pPr>
            <w:r>
              <w:rPr>
                <w:rFonts w:ascii="仿宋_GB2312" w:hAnsi="仿宋_GB2312" w:cs="仿宋_GB2312" w:eastAsia="仿宋_GB2312"/>
              </w:rPr>
              <w:t>供应商企业关联关系声明函.docx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提供投标截止之日前近六个月内至少一个月的纳税证明或完税证明，依法免税的单位应提供相关证明材料；供应商需在项目电⼦化交易系统中按要求上传证明文件并进⾏电⼦签章；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出具参加政府采购活动前3年内在经营活动中没有重大违法记录的书面声明；供应商需在项目电⼦化交易系统中按要求上传证明文件并进⾏电⼦签章；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开标当天代理机构现场查询；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投标（响应）报价是唯一有效的、投标（响应）报价不得超出最高限价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技术、服务、商务及其他要求满足磋商文件要求</w:t>
            </w:r>
          </w:p>
        </w:tc>
        <w:tc>
          <w:tcPr>
            <w:tcW w:type="dxa" w:w="1661"/>
          </w:tcPr>
          <w:p>
            <w:pPr>
              <w:pStyle w:val="null3"/>
            </w:pPr>
            <w:r>
              <w:rPr>
                <w:rFonts w:ascii="仿宋_GB2312" w:hAnsi="仿宋_GB2312" w:cs="仿宋_GB2312" w:eastAsia="仿宋_GB2312"/>
              </w:rPr>
              <w:t>响应文件封面 商务条款响应偏离表.docx 技术、服务条款响应偏离表.docx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及技术措施内容至少包括①项目实施准备；②项目实施方法；③重点难点分析及解决措施；④项目实施过程中外在因素分析及对应预案等。以上内容切合本项目实际情况及实施要求，内容全面详细、阐述条理清晰详尽，符合本项目采购需求的得12分，每缺一项内容扣3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粗略不够全面、不够合理、可行性不足或缺少关键节点、前后内容互相矛盾的情形；存在不可能实现的夸大情形；内容简略或简单复制本项目采购需求、表述不清不符合采购需求的情形。下述评分标准对“缺陷”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进度计划与措施</w:t>
            </w:r>
          </w:p>
        </w:tc>
        <w:tc>
          <w:tcPr>
            <w:tcW w:type="dxa" w:w="2492"/>
          </w:tcPr>
          <w:p>
            <w:pPr>
              <w:pStyle w:val="null3"/>
            </w:pPr>
            <w:r>
              <w:rPr>
                <w:rFonts w:ascii="仿宋_GB2312" w:hAnsi="仿宋_GB2312" w:cs="仿宋_GB2312" w:eastAsia="仿宋_GB2312"/>
              </w:rPr>
              <w:t>项目进度计划与措施内容至少包括①项目进度计划管理；②保证项目进度技术措施；③进度动态管控配套控制④合理组织、科学管理项目实施等。以上内容切合本项目实际情况及实施要求，内容全面详细、阐述条理清晰详尽，符合本项目采购需求的得12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项目质量保障方案；③项目质量控制体系:④材料和构配件的质量控制等。以上内容切合本项目实际情况及实施要求，内容全面详细、阐述条理清晰详尽，符合本项目采购需求的得12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安全应急救援机制等。以上内容切合本项目实际情况及实施要求，内容全面详细、阐述条理清晰详尽，符合本项目采购需求的得12分，每缺一项内容扣3分，若上述内容存在瑕疵，每出存在1处瑕疵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扬尘污染管理措施。以上内容切合本项目实际情况及实施要求，内容全面详细、阐述条理清晰详尽，符合本项目采购需求的得6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提供①项目管理机构图②组织机构框架、岗位职责分⼯⽅案③管理制度、协调措施等。以上内容切合本项目实际情况及实施要求，内容全面详细、阐述条理清晰详尽，符合本项目采购需求的得9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物资材料的配备；②机械设备的配备；③劳动力、资金配备等。以上内容切合本项目实际情况及实施要求，内容全面详细、阐述条理清晰详尽，符合本项目采购需求的得9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以上内容切合本项目实际情况及实施要求，内容全面详细、阐述条理清晰详尽，符合本项目采购需求的得6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承诺；②售后服务方案等。以上内容切合本项目实际情况及实施要求，内容全面详细、阐述条理清晰详尽，符合本项目采购需求的得6分，每缺一项内容扣3分，若上述内容存在瑕疵，每存在1处瑕疵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供应商自2023年1月1日至今承接过类似项目业绩（以合同签订日期为准），每提供一项得2分，最高得6分。注：提供完整合同扫描件并加盖公章，未提供或提供材料不符合要求不得分。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详见附件：供应商企业关联关系声明函.docx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