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3E791">
      <w:pPr>
        <w:jc w:val="center"/>
        <w:rPr>
          <w:rFonts w:hint="eastAsia" w:ascii="仿宋_GB2312" w:hAnsi="仿宋_GB2312" w:eastAsia="仿宋_GB2312" w:cs="仿宋_GB2312"/>
          <w:b/>
          <w:bCs/>
          <w:sz w:val="44"/>
          <w:szCs w:val="44"/>
          <w:lang w:val="en-US" w:eastAsia="zh-CN"/>
        </w:rPr>
      </w:pPr>
      <w:r>
        <w:rPr>
          <w:rFonts w:hint="eastAsia" w:ascii="仿宋_GB2312" w:hAnsi="仿宋_GB2312" w:eastAsia="仿宋_GB2312" w:cs="仿宋_GB2312"/>
          <w:b/>
          <w:bCs/>
          <w:sz w:val="44"/>
          <w:szCs w:val="44"/>
          <w:lang w:val="en-US" w:eastAsia="zh-CN"/>
        </w:rPr>
        <w:t>报价明细表</w:t>
      </w:r>
    </w:p>
    <w:p w14:paraId="09CC7608">
      <w:pPr>
        <w:pStyle w:val="6"/>
        <w:rPr>
          <w:rFonts w:hint="eastAsia"/>
        </w:rPr>
      </w:pPr>
    </w:p>
    <w:p w14:paraId="275804F2">
      <w:pPr>
        <w:spacing w:line="360" w:lineRule="auto"/>
        <w:ind w:left="1532" w:hanging="1532" w:hangingChars="545"/>
        <w:rPr>
          <w:rFonts w:hint="eastAsia" w:ascii="宋体" w:hAnsi="宋体" w:eastAsia="宋体" w:cs="宋体"/>
          <w:b/>
          <w:bCs/>
          <w:sz w:val="28"/>
          <w:szCs w:val="28"/>
        </w:rPr>
      </w:pPr>
      <w:r>
        <w:rPr>
          <w:rFonts w:hint="eastAsia" w:ascii="宋体" w:hAnsi="宋体" w:eastAsia="宋体" w:cs="宋体"/>
          <w:b/>
          <w:bCs/>
          <w:sz w:val="28"/>
          <w:szCs w:val="28"/>
        </w:rPr>
        <w:t>采购项目名称：</w:t>
      </w:r>
      <w:r>
        <w:rPr>
          <w:rFonts w:hint="eastAsia" w:ascii="宋体" w:hAnsi="宋体" w:eastAsia="宋体" w:cs="宋体"/>
          <w:sz w:val="28"/>
          <w:szCs w:val="28"/>
        </w:rPr>
        <w:t>{请填写</w:t>
      </w:r>
      <w:r>
        <w:rPr>
          <w:rFonts w:hint="eastAsia" w:ascii="宋体" w:hAnsi="宋体" w:eastAsia="宋体" w:cs="宋体"/>
          <w:sz w:val="28"/>
          <w:szCs w:val="28"/>
          <w:lang w:eastAsia="zh-Hans"/>
        </w:rPr>
        <w:t>采购项目名称</w:t>
      </w:r>
      <w:r>
        <w:rPr>
          <w:rFonts w:hint="eastAsia" w:ascii="宋体" w:hAnsi="宋体" w:eastAsia="宋体" w:cs="宋体"/>
          <w:sz w:val="28"/>
          <w:szCs w:val="28"/>
        </w:rPr>
        <w:t>}</w:t>
      </w:r>
    </w:p>
    <w:p w14:paraId="378023D9">
      <w:pPr>
        <w:pStyle w:val="2"/>
        <w:rPr>
          <w:rFonts w:hint="eastAsia" w:ascii="宋体" w:hAnsi="宋体" w:eastAsia="宋体" w:cs="宋体"/>
          <w:sz w:val="28"/>
          <w:szCs w:val="28"/>
        </w:rPr>
      </w:pPr>
      <w:r>
        <w:rPr>
          <w:rFonts w:hint="eastAsia" w:ascii="宋体" w:hAnsi="宋体" w:eastAsia="宋体" w:cs="宋体"/>
          <w:b/>
          <w:bCs/>
          <w:sz w:val="28"/>
          <w:szCs w:val="28"/>
        </w:rPr>
        <w:t>采购项目编号：</w:t>
      </w:r>
      <w:r>
        <w:rPr>
          <w:rFonts w:hint="eastAsia" w:ascii="宋体" w:hAnsi="宋体" w:eastAsia="宋体" w:cs="宋体"/>
          <w:sz w:val="28"/>
          <w:szCs w:val="28"/>
        </w:rPr>
        <w:t>{请填写</w:t>
      </w:r>
      <w:r>
        <w:rPr>
          <w:rFonts w:hint="eastAsia" w:ascii="宋体" w:hAnsi="宋体" w:eastAsia="宋体" w:cs="宋体"/>
          <w:sz w:val="28"/>
          <w:szCs w:val="28"/>
          <w:lang w:eastAsia="zh-Hans"/>
        </w:rPr>
        <w:t>采购项目编号</w:t>
      </w:r>
      <w:r>
        <w:rPr>
          <w:rFonts w:hint="eastAsia" w:ascii="宋体" w:hAnsi="宋体" w:eastAsia="宋体" w:cs="宋体"/>
          <w:sz w:val="28"/>
          <w:szCs w:val="28"/>
        </w:rPr>
        <w:t xml:space="preserve">}    </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ayout w:type="autofit"/>
        <w:tblCellMar>
          <w:top w:w="0" w:type="dxa"/>
          <w:left w:w="108" w:type="dxa"/>
          <w:bottom w:w="0" w:type="dxa"/>
          <w:right w:w="108" w:type="dxa"/>
        </w:tblCellMar>
      </w:tblPr>
      <w:tblGrid>
        <w:gridCol w:w="816"/>
        <w:gridCol w:w="2773"/>
        <w:gridCol w:w="883"/>
        <w:gridCol w:w="832"/>
        <w:gridCol w:w="1172"/>
        <w:gridCol w:w="1477"/>
        <w:gridCol w:w="6221"/>
      </w:tblGrid>
      <w:tr w14:paraId="215FB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746" w:hRule="atLeast"/>
        </w:trPr>
        <w:tc>
          <w:tcPr>
            <w:tcW w:w="816" w:type="dxa"/>
            <w:shd w:val="clear" w:color="auto" w:fill="FFFFFF" w:themeFill="background1"/>
            <w:vAlign w:val="center"/>
          </w:tcPr>
          <w:p w14:paraId="6FDCA4A4">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序号</w:t>
            </w:r>
          </w:p>
        </w:tc>
        <w:tc>
          <w:tcPr>
            <w:tcW w:w="2773" w:type="dxa"/>
            <w:shd w:val="clear" w:color="auto" w:fill="FFFFFF" w:themeFill="background1"/>
            <w:vAlign w:val="center"/>
          </w:tcPr>
          <w:p w14:paraId="31E35328">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工作内容</w:t>
            </w:r>
          </w:p>
        </w:tc>
        <w:tc>
          <w:tcPr>
            <w:tcW w:w="883" w:type="dxa"/>
            <w:shd w:val="clear" w:color="auto" w:fill="FFFFFF" w:themeFill="background1"/>
            <w:vAlign w:val="center"/>
          </w:tcPr>
          <w:p w14:paraId="77994C14">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单位</w:t>
            </w:r>
          </w:p>
        </w:tc>
        <w:tc>
          <w:tcPr>
            <w:tcW w:w="832" w:type="dxa"/>
            <w:shd w:val="clear" w:color="auto" w:fill="FFFFFF" w:themeFill="background1"/>
            <w:vAlign w:val="center"/>
          </w:tcPr>
          <w:p w14:paraId="306863ED">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数量</w:t>
            </w:r>
          </w:p>
        </w:tc>
        <w:tc>
          <w:tcPr>
            <w:tcW w:w="1172" w:type="dxa"/>
            <w:shd w:val="clear" w:color="auto" w:fill="FFFFFF" w:themeFill="background1"/>
            <w:vAlign w:val="center"/>
          </w:tcPr>
          <w:p w14:paraId="6809FA19">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单价（元）</w:t>
            </w:r>
          </w:p>
        </w:tc>
        <w:tc>
          <w:tcPr>
            <w:tcW w:w="1477" w:type="dxa"/>
            <w:shd w:val="clear" w:color="auto" w:fill="FFFFFF" w:themeFill="background1"/>
            <w:vAlign w:val="center"/>
          </w:tcPr>
          <w:p w14:paraId="3DCB2F9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总价</w:t>
            </w:r>
          </w:p>
          <w:p w14:paraId="64B10231">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（元）</w:t>
            </w:r>
          </w:p>
        </w:tc>
        <w:tc>
          <w:tcPr>
            <w:tcW w:w="6221" w:type="dxa"/>
            <w:shd w:val="clear" w:color="auto" w:fill="FFFFFF" w:themeFill="background1"/>
            <w:vAlign w:val="center"/>
          </w:tcPr>
          <w:p w14:paraId="316141B6">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sz w:val="24"/>
                <w:szCs w:val="24"/>
                <w:vertAlign w:val="baseline"/>
                <w:lang w:val="en-US" w:eastAsia="zh-CN"/>
              </w:rPr>
            </w:pPr>
            <w:r>
              <w:rPr>
                <w:rFonts w:hint="eastAsia" w:ascii="宋体" w:hAnsi="宋体" w:eastAsia="宋体" w:cs="宋体"/>
                <w:b/>
                <w:sz w:val="24"/>
                <w:szCs w:val="24"/>
                <w:vertAlign w:val="baseline"/>
                <w:lang w:val="en-US" w:eastAsia="zh-CN"/>
              </w:rPr>
              <w:t>备注</w:t>
            </w:r>
          </w:p>
        </w:tc>
      </w:tr>
      <w:tr w14:paraId="0ADCD6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3" w:hRule="atLeast"/>
        </w:trPr>
        <w:tc>
          <w:tcPr>
            <w:tcW w:w="816" w:type="dxa"/>
            <w:shd w:val="clear" w:color="auto" w:fill="FFFFFF" w:themeFill="background1"/>
            <w:vAlign w:val="center"/>
          </w:tcPr>
          <w:p w14:paraId="3BF7633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val="0"/>
                <w:bCs w:val="0"/>
                <w:color w:val="000000"/>
                <w:kern w:val="2"/>
                <w:sz w:val="24"/>
                <w:szCs w:val="24"/>
                <w:highlight w:val="none"/>
                <w:lang w:val="en-US" w:eastAsia="zh-CN" w:bidi="ar-SA"/>
              </w:rPr>
            </w:pPr>
            <w:r>
              <w:rPr>
                <w:rFonts w:hint="eastAsia" w:ascii="宋体" w:hAnsi="宋体" w:eastAsia="宋体" w:cs="宋体"/>
                <w:b/>
                <w:bCs/>
                <w:color w:val="000000"/>
                <w:sz w:val="24"/>
                <w:szCs w:val="24"/>
                <w:highlight w:val="none"/>
              </w:rPr>
              <w:t>一</w:t>
            </w:r>
          </w:p>
        </w:tc>
        <w:tc>
          <w:tcPr>
            <w:tcW w:w="5660" w:type="dxa"/>
            <w:gridSpan w:val="4"/>
            <w:shd w:val="clear" w:color="auto" w:fill="FFFFFF" w:themeFill="background1"/>
            <w:vAlign w:val="center"/>
          </w:tcPr>
          <w:p w14:paraId="42AA094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bCs/>
                <w:color w:val="000000"/>
                <w:sz w:val="24"/>
                <w:szCs w:val="24"/>
                <w:highlight w:val="none"/>
              </w:rPr>
              <w:t>堆体安全监测及稳定评估</w:t>
            </w:r>
          </w:p>
        </w:tc>
        <w:tc>
          <w:tcPr>
            <w:tcW w:w="1477" w:type="dxa"/>
            <w:shd w:val="clear" w:color="auto" w:fill="FFFFFF" w:themeFill="background1"/>
            <w:vAlign w:val="center"/>
          </w:tcPr>
          <w:p w14:paraId="64EE7D10">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val="0"/>
                <w:bCs w:val="0"/>
                <w:sz w:val="24"/>
                <w:szCs w:val="24"/>
                <w:highlight w:val="none"/>
                <w:vertAlign w:val="baseline"/>
              </w:rPr>
            </w:pPr>
            <w:r>
              <w:rPr>
                <w:rFonts w:hint="eastAsia" w:ascii="宋体" w:hAnsi="宋体" w:eastAsia="宋体" w:cs="宋体"/>
                <w:b/>
                <w:bCs/>
                <w:sz w:val="24"/>
                <w:szCs w:val="24"/>
                <w:highlight w:val="none"/>
                <w:vertAlign w:val="baseline"/>
                <w:lang w:val="en-US" w:eastAsia="zh-CN"/>
              </w:rPr>
              <w:t>622448.00</w:t>
            </w:r>
          </w:p>
        </w:tc>
        <w:tc>
          <w:tcPr>
            <w:tcW w:w="6221" w:type="dxa"/>
            <w:shd w:val="clear" w:color="auto" w:fill="FFFFFF" w:themeFill="background1"/>
            <w:vAlign w:val="center"/>
          </w:tcPr>
          <w:p w14:paraId="280D4D0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val="0"/>
                <w:bCs w:val="0"/>
                <w:sz w:val="24"/>
                <w:szCs w:val="24"/>
                <w:vertAlign w:val="baseline"/>
              </w:rPr>
            </w:pPr>
          </w:p>
        </w:tc>
      </w:tr>
      <w:tr w14:paraId="5D13B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trPr>
        <w:tc>
          <w:tcPr>
            <w:tcW w:w="816" w:type="dxa"/>
            <w:shd w:val="clear" w:color="auto" w:fill="FFFFFF" w:themeFill="background1"/>
            <w:vAlign w:val="center"/>
          </w:tcPr>
          <w:p w14:paraId="561EF56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1.1</w:t>
            </w:r>
          </w:p>
        </w:tc>
        <w:tc>
          <w:tcPr>
            <w:tcW w:w="5660" w:type="dxa"/>
            <w:gridSpan w:val="4"/>
            <w:shd w:val="clear" w:color="auto" w:fill="FFFFFF" w:themeFill="background1"/>
            <w:vAlign w:val="center"/>
          </w:tcPr>
          <w:p w14:paraId="775C92A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监测点位建设</w:t>
            </w:r>
          </w:p>
        </w:tc>
        <w:tc>
          <w:tcPr>
            <w:tcW w:w="1477" w:type="dxa"/>
            <w:shd w:val="clear" w:color="auto" w:fill="FFFFFF" w:themeFill="background1"/>
            <w:vAlign w:val="center"/>
          </w:tcPr>
          <w:p w14:paraId="6CF62AE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207C7A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r>
      <w:tr w14:paraId="790E66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816" w:type="dxa"/>
            <w:shd w:val="clear" w:color="auto" w:fill="FFFFFF" w:themeFill="background1"/>
            <w:vAlign w:val="center"/>
          </w:tcPr>
          <w:p w14:paraId="680272E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1.1.1</w:t>
            </w:r>
          </w:p>
        </w:tc>
        <w:tc>
          <w:tcPr>
            <w:tcW w:w="2773" w:type="dxa"/>
            <w:shd w:val="clear" w:color="auto" w:fill="FFFFFF" w:themeFill="background1"/>
            <w:vAlign w:val="center"/>
          </w:tcPr>
          <w:p w14:paraId="5A86F37B">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填埋堆体内钻孔费</w:t>
            </w:r>
          </w:p>
        </w:tc>
        <w:tc>
          <w:tcPr>
            <w:tcW w:w="883" w:type="dxa"/>
            <w:shd w:val="clear" w:color="auto" w:fill="FFFFFF" w:themeFill="background1"/>
            <w:vAlign w:val="center"/>
          </w:tcPr>
          <w:p w14:paraId="2825E02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6A92A7C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225</w:t>
            </w:r>
          </w:p>
        </w:tc>
        <w:tc>
          <w:tcPr>
            <w:tcW w:w="1172" w:type="dxa"/>
            <w:shd w:val="clear" w:color="auto" w:fill="FFFFFF" w:themeFill="background1"/>
            <w:vAlign w:val="center"/>
          </w:tcPr>
          <w:p w14:paraId="30C0279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2B1C6E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8F236F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在堆体内钻孔9个，单孔平均深25m，钻进过程中需要做好垃圾摆样和垃圾取样工作（每5m取一个垃圾样品），取出的多余垃圾需要按业主要求进行妥善处理。</w:t>
            </w:r>
          </w:p>
        </w:tc>
      </w:tr>
      <w:tr w14:paraId="272B4D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1343" w:hRule="atLeast"/>
        </w:trPr>
        <w:tc>
          <w:tcPr>
            <w:tcW w:w="816" w:type="dxa"/>
            <w:shd w:val="clear" w:color="auto" w:fill="FFFFFF" w:themeFill="background1"/>
            <w:vAlign w:val="center"/>
          </w:tcPr>
          <w:p w14:paraId="0C20C2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1.1.2</w:t>
            </w:r>
          </w:p>
        </w:tc>
        <w:tc>
          <w:tcPr>
            <w:tcW w:w="2773" w:type="dxa"/>
            <w:shd w:val="clear" w:color="auto" w:fill="FFFFFF" w:themeFill="background1"/>
            <w:vAlign w:val="center"/>
          </w:tcPr>
          <w:p w14:paraId="55FB7AB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气压管埋设</w:t>
            </w:r>
          </w:p>
        </w:tc>
        <w:tc>
          <w:tcPr>
            <w:tcW w:w="883" w:type="dxa"/>
            <w:shd w:val="clear" w:color="auto" w:fill="FFFFFF" w:themeFill="background1"/>
            <w:vAlign w:val="center"/>
          </w:tcPr>
          <w:p w14:paraId="51E7FF9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52A59A3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75</w:t>
            </w:r>
          </w:p>
        </w:tc>
        <w:tc>
          <w:tcPr>
            <w:tcW w:w="1172" w:type="dxa"/>
            <w:shd w:val="clear" w:color="auto" w:fill="FFFFFF" w:themeFill="background1"/>
            <w:vAlign w:val="center"/>
          </w:tcPr>
          <w:p w14:paraId="2E12CDE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6BAACB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E0E625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在其中3个钻孔中埋设气压管，气压管单井深度25m，采用DN50 PPR管，壁厚不小于2mm,管底部开筛并用有纺布包裹。此项费用包含管材、膨润土球等耗材费，以及埋设施工费。</w:t>
            </w:r>
          </w:p>
        </w:tc>
      </w:tr>
      <w:tr w14:paraId="2BD8E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0" w:type="auto"/>
            <w:shd w:val="clear" w:color="auto" w:fill="FFFFFF" w:themeFill="background1"/>
            <w:vAlign w:val="center"/>
          </w:tcPr>
          <w:p w14:paraId="3D13331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1.1.3</w:t>
            </w:r>
          </w:p>
        </w:tc>
        <w:tc>
          <w:tcPr>
            <w:tcW w:w="2773" w:type="dxa"/>
            <w:shd w:val="clear" w:color="auto" w:fill="FFFFFF" w:themeFill="background1"/>
            <w:vAlign w:val="center"/>
          </w:tcPr>
          <w:p w14:paraId="43DA72A9">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孔压计埋设</w:t>
            </w:r>
          </w:p>
        </w:tc>
        <w:tc>
          <w:tcPr>
            <w:tcW w:w="883" w:type="dxa"/>
            <w:shd w:val="clear" w:color="auto" w:fill="FFFFFF" w:themeFill="background1"/>
            <w:vAlign w:val="center"/>
          </w:tcPr>
          <w:p w14:paraId="47A17F9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个</w:t>
            </w:r>
          </w:p>
        </w:tc>
        <w:tc>
          <w:tcPr>
            <w:tcW w:w="832" w:type="dxa"/>
            <w:shd w:val="clear" w:color="auto" w:fill="FFFFFF" w:themeFill="background1"/>
            <w:vAlign w:val="center"/>
          </w:tcPr>
          <w:p w14:paraId="3BC115EA">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w:t>
            </w:r>
          </w:p>
        </w:tc>
        <w:tc>
          <w:tcPr>
            <w:tcW w:w="1172" w:type="dxa"/>
            <w:shd w:val="clear" w:color="auto" w:fill="FFFFFF" w:themeFill="background1"/>
            <w:vAlign w:val="center"/>
          </w:tcPr>
          <w:p w14:paraId="37BE5CA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B77B87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4EF48B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在其中6个钻孔中埋设孔压计（包含温度测试功能），孔压计型号为VWP-0.35，线长为20m~30m。此项费用包含孔压计设备费、埋设施工费。</w:t>
            </w:r>
          </w:p>
        </w:tc>
      </w:tr>
      <w:tr w14:paraId="21802E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763" w:hRule="atLeast"/>
        </w:trPr>
        <w:tc>
          <w:tcPr>
            <w:tcW w:w="0" w:type="auto"/>
            <w:shd w:val="clear" w:color="auto" w:fill="FFFFFF" w:themeFill="background1"/>
            <w:vAlign w:val="center"/>
          </w:tcPr>
          <w:p w14:paraId="0A2671E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1.1.4</w:t>
            </w:r>
          </w:p>
        </w:tc>
        <w:tc>
          <w:tcPr>
            <w:tcW w:w="2773" w:type="dxa"/>
            <w:shd w:val="clear" w:color="auto" w:fill="FFFFFF" w:themeFill="background1"/>
            <w:vAlign w:val="center"/>
          </w:tcPr>
          <w:p w14:paraId="3CFBBB2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表面变形监测点建设</w:t>
            </w:r>
          </w:p>
        </w:tc>
        <w:tc>
          <w:tcPr>
            <w:tcW w:w="883" w:type="dxa"/>
            <w:shd w:val="clear" w:color="auto" w:fill="FFFFFF" w:themeFill="background1"/>
            <w:vAlign w:val="center"/>
          </w:tcPr>
          <w:p w14:paraId="619D9EF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个</w:t>
            </w:r>
          </w:p>
        </w:tc>
        <w:tc>
          <w:tcPr>
            <w:tcW w:w="832" w:type="dxa"/>
            <w:shd w:val="clear" w:color="auto" w:fill="FFFFFF" w:themeFill="background1"/>
            <w:vAlign w:val="center"/>
          </w:tcPr>
          <w:p w14:paraId="0B873AE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8</w:t>
            </w:r>
          </w:p>
        </w:tc>
        <w:tc>
          <w:tcPr>
            <w:tcW w:w="1172" w:type="dxa"/>
            <w:shd w:val="clear" w:color="auto" w:fill="FFFFFF" w:themeFill="background1"/>
            <w:vAlign w:val="center"/>
          </w:tcPr>
          <w:p w14:paraId="7DB1E1E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F8E32B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A2190D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在堆体顶部覆膜区域新建表面变形监测点，总计8个，采用膜下监测点技术。此项费用包含膜下监测点材料费（包括特制螺纹杆、HDPE圆盘、膜下磁铁、膜上磁铁和小棱镜）、监测点安装施工费。</w:t>
            </w:r>
          </w:p>
        </w:tc>
      </w:tr>
      <w:tr w14:paraId="45EF0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FFAA8A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1.2</w:t>
            </w:r>
          </w:p>
        </w:tc>
        <w:tc>
          <w:tcPr>
            <w:tcW w:w="5660" w:type="dxa"/>
            <w:gridSpan w:val="4"/>
            <w:shd w:val="clear" w:color="auto" w:fill="FFFFFF" w:themeFill="background1"/>
            <w:vAlign w:val="center"/>
          </w:tcPr>
          <w:p w14:paraId="2F2B7D1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跟踪监测</w:t>
            </w:r>
          </w:p>
        </w:tc>
        <w:tc>
          <w:tcPr>
            <w:tcW w:w="1477" w:type="dxa"/>
            <w:shd w:val="clear" w:color="auto" w:fill="FFFFFF" w:themeFill="background1"/>
            <w:vAlign w:val="center"/>
          </w:tcPr>
          <w:p w14:paraId="652D443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F5C9C3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监测周期为8个月，监测频率为6、7、8、9月每月2次，其余月份每月1次，总计12次。</w:t>
            </w:r>
          </w:p>
        </w:tc>
      </w:tr>
      <w:tr w14:paraId="3184CE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60" w:hRule="atLeast"/>
        </w:trPr>
        <w:tc>
          <w:tcPr>
            <w:tcW w:w="0" w:type="auto"/>
            <w:shd w:val="clear" w:color="auto" w:fill="FFFFFF" w:themeFill="background1"/>
            <w:vAlign w:val="center"/>
          </w:tcPr>
          <w:p w14:paraId="79E5C7E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1.2.1</w:t>
            </w:r>
          </w:p>
        </w:tc>
        <w:tc>
          <w:tcPr>
            <w:tcW w:w="2773" w:type="dxa"/>
            <w:shd w:val="clear" w:color="auto" w:fill="FFFFFF" w:themeFill="background1"/>
            <w:vAlign w:val="center"/>
          </w:tcPr>
          <w:p w14:paraId="490AA1E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表面水平位移监测</w:t>
            </w:r>
          </w:p>
        </w:tc>
        <w:tc>
          <w:tcPr>
            <w:tcW w:w="883" w:type="dxa"/>
            <w:shd w:val="clear" w:color="auto" w:fill="FFFFFF" w:themeFill="background1"/>
            <w:vAlign w:val="center"/>
          </w:tcPr>
          <w:p w14:paraId="54E6A78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1A5C2E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1716</w:t>
            </w:r>
          </w:p>
        </w:tc>
        <w:tc>
          <w:tcPr>
            <w:tcW w:w="1172" w:type="dxa"/>
            <w:shd w:val="clear" w:color="auto" w:fill="FFFFFF" w:themeFill="background1"/>
            <w:vAlign w:val="center"/>
          </w:tcPr>
          <w:p w14:paraId="19F0FFA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3B97D19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13B428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对共计143个表面水平位移监测点开展监测</w:t>
            </w:r>
          </w:p>
        </w:tc>
      </w:tr>
      <w:tr w14:paraId="072A3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478" w:hRule="atLeast"/>
        </w:trPr>
        <w:tc>
          <w:tcPr>
            <w:tcW w:w="0" w:type="auto"/>
            <w:shd w:val="clear" w:color="auto" w:fill="FFFFFF" w:themeFill="background1"/>
            <w:vAlign w:val="center"/>
          </w:tcPr>
          <w:p w14:paraId="501880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1.2.2</w:t>
            </w:r>
          </w:p>
        </w:tc>
        <w:tc>
          <w:tcPr>
            <w:tcW w:w="2773" w:type="dxa"/>
            <w:shd w:val="clear" w:color="auto" w:fill="FFFFFF" w:themeFill="background1"/>
            <w:vAlign w:val="center"/>
          </w:tcPr>
          <w:p w14:paraId="69B2953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表面沉降监测</w:t>
            </w:r>
          </w:p>
        </w:tc>
        <w:tc>
          <w:tcPr>
            <w:tcW w:w="883" w:type="dxa"/>
            <w:shd w:val="clear" w:color="auto" w:fill="FFFFFF" w:themeFill="background1"/>
            <w:vAlign w:val="center"/>
          </w:tcPr>
          <w:p w14:paraId="28E9398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58F9792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1716</w:t>
            </w:r>
          </w:p>
        </w:tc>
        <w:tc>
          <w:tcPr>
            <w:tcW w:w="1172" w:type="dxa"/>
            <w:shd w:val="clear" w:color="auto" w:fill="FFFFFF" w:themeFill="background1"/>
            <w:vAlign w:val="center"/>
          </w:tcPr>
          <w:p w14:paraId="6BDB373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A356BA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DB69C2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对共计143个表面沉降监测点开展监测</w:t>
            </w:r>
          </w:p>
        </w:tc>
      </w:tr>
      <w:tr w14:paraId="7F16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8" w:hRule="atLeast"/>
        </w:trPr>
        <w:tc>
          <w:tcPr>
            <w:tcW w:w="0" w:type="auto"/>
            <w:shd w:val="clear" w:color="auto" w:fill="FFFFFF" w:themeFill="background1"/>
            <w:vAlign w:val="center"/>
          </w:tcPr>
          <w:p w14:paraId="02BA177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1.2.3</w:t>
            </w:r>
          </w:p>
        </w:tc>
        <w:tc>
          <w:tcPr>
            <w:tcW w:w="2773" w:type="dxa"/>
            <w:shd w:val="clear" w:color="auto" w:fill="FFFFFF" w:themeFill="background1"/>
            <w:vAlign w:val="center"/>
          </w:tcPr>
          <w:p w14:paraId="3945EE1A">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深层水平位移监测</w:t>
            </w:r>
          </w:p>
        </w:tc>
        <w:tc>
          <w:tcPr>
            <w:tcW w:w="883" w:type="dxa"/>
            <w:shd w:val="clear" w:color="auto" w:fill="FFFFFF" w:themeFill="background1"/>
            <w:vAlign w:val="center"/>
          </w:tcPr>
          <w:p w14:paraId="16DBC8E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m*次</w:t>
            </w:r>
          </w:p>
        </w:tc>
        <w:tc>
          <w:tcPr>
            <w:tcW w:w="832" w:type="dxa"/>
            <w:shd w:val="clear" w:color="auto" w:fill="FFFFFF" w:themeFill="background1"/>
            <w:vAlign w:val="center"/>
          </w:tcPr>
          <w:p w14:paraId="7531272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9240</w:t>
            </w:r>
          </w:p>
        </w:tc>
        <w:tc>
          <w:tcPr>
            <w:tcW w:w="1172" w:type="dxa"/>
            <w:shd w:val="clear" w:color="auto" w:fill="FFFFFF" w:themeFill="background1"/>
            <w:vAlign w:val="center"/>
          </w:tcPr>
          <w:p w14:paraId="4776A93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48068A5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1553A10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对共计34个深层水平位移监测井开展监测，单口井平均深度约22.6m，单次监测总进尺为770m。</w:t>
            </w:r>
          </w:p>
        </w:tc>
      </w:tr>
      <w:tr w14:paraId="38276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8" w:hRule="atLeast"/>
        </w:trPr>
        <w:tc>
          <w:tcPr>
            <w:tcW w:w="0" w:type="auto"/>
            <w:shd w:val="clear" w:color="auto" w:fill="FFFFFF" w:themeFill="background1"/>
            <w:vAlign w:val="center"/>
          </w:tcPr>
          <w:p w14:paraId="27B70A2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1.2.4</w:t>
            </w:r>
          </w:p>
        </w:tc>
        <w:tc>
          <w:tcPr>
            <w:tcW w:w="2773" w:type="dxa"/>
            <w:shd w:val="clear" w:color="auto" w:fill="FFFFFF" w:themeFill="background1"/>
            <w:vAlign w:val="center"/>
          </w:tcPr>
          <w:p w14:paraId="52448280">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滞水位监测</w:t>
            </w:r>
          </w:p>
        </w:tc>
        <w:tc>
          <w:tcPr>
            <w:tcW w:w="883" w:type="dxa"/>
            <w:shd w:val="clear" w:color="auto" w:fill="FFFFFF" w:themeFill="background1"/>
            <w:vAlign w:val="center"/>
          </w:tcPr>
          <w:p w14:paraId="55A48E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2228D72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420</w:t>
            </w:r>
          </w:p>
        </w:tc>
        <w:tc>
          <w:tcPr>
            <w:tcW w:w="1172" w:type="dxa"/>
            <w:shd w:val="clear" w:color="auto" w:fill="FFFFFF" w:themeFill="background1"/>
            <w:vAlign w:val="center"/>
          </w:tcPr>
          <w:p w14:paraId="68FC28E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4701CD8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4F07A3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对共计35个滞水位监测点开展监测</w:t>
            </w:r>
          </w:p>
        </w:tc>
      </w:tr>
      <w:tr w14:paraId="0C676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0" w:type="auto"/>
            <w:shd w:val="clear" w:color="auto" w:fill="FFFFFF" w:themeFill="background1"/>
            <w:vAlign w:val="center"/>
          </w:tcPr>
          <w:p w14:paraId="6E87C8FB">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1.2.5</w:t>
            </w:r>
          </w:p>
        </w:tc>
        <w:tc>
          <w:tcPr>
            <w:tcW w:w="2773" w:type="dxa"/>
            <w:shd w:val="clear" w:color="auto" w:fill="FFFFFF" w:themeFill="background1"/>
            <w:vAlign w:val="center"/>
          </w:tcPr>
          <w:p w14:paraId="17E854F5">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孔压监测</w:t>
            </w:r>
          </w:p>
        </w:tc>
        <w:tc>
          <w:tcPr>
            <w:tcW w:w="883" w:type="dxa"/>
            <w:shd w:val="clear" w:color="auto" w:fill="FFFFFF" w:themeFill="background1"/>
            <w:vAlign w:val="center"/>
          </w:tcPr>
          <w:p w14:paraId="5117578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2783107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336</w:t>
            </w:r>
          </w:p>
        </w:tc>
        <w:tc>
          <w:tcPr>
            <w:tcW w:w="1172" w:type="dxa"/>
            <w:shd w:val="clear" w:color="auto" w:fill="FFFFFF" w:themeFill="background1"/>
            <w:vAlign w:val="center"/>
          </w:tcPr>
          <w:p w14:paraId="7A06B75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4F04C3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352743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对共计28个孔压监测点开展监测</w:t>
            </w:r>
          </w:p>
        </w:tc>
      </w:tr>
      <w:tr w14:paraId="6AFDC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0" w:type="auto"/>
            <w:shd w:val="clear" w:color="auto" w:fill="FFFFFF" w:themeFill="background1"/>
            <w:vAlign w:val="center"/>
          </w:tcPr>
          <w:p w14:paraId="61ADB5F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1.2.6</w:t>
            </w:r>
          </w:p>
        </w:tc>
        <w:tc>
          <w:tcPr>
            <w:tcW w:w="2773" w:type="dxa"/>
            <w:shd w:val="clear" w:color="auto" w:fill="FFFFFF" w:themeFill="background1"/>
            <w:vAlign w:val="center"/>
          </w:tcPr>
          <w:p w14:paraId="5A80B26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气压监测</w:t>
            </w:r>
          </w:p>
        </w:tc>
        <w:tc>
          <w:tcPr>
            <w:tcW w:w="883" w:type="dxa"/>
            <w:shd w:val="clear" w:color="auto" w:fill="FFFFFF" w:themeFill="background1"/>
            <w:vAlign w:val="center"/>
          </w:tcPr>
          <w:p w14:paraId="674DC86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5AB0177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36</w:t>
            </w:r>
          </w:p>
        </w:tc>
        <w:tc>
          <w:tcPr>
            <w:tcW w:w="1172" w:type="dxa"/>
            <w:shd w:val="clear" w:color="auto" w:fill="FFFFFF" w:themeFill="background1"/>
            <w:vAlign w:val="center"/>
          </w:tcPr>
          <w:p w14:paraId="0F4BABC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724A15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B16956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color w:val="000000"/>
                <w:sz w:val="24"/>
                <w:szCs w:val="24"/>
              </w:rPr>
              <w:t>对共计3口气压监测井开展监测</w:t>
            </w:r>
          </w:p>
        </w:tc>
      </w:tr>
      <w:tr w14:paraId="06814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34593D6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1.3</w:t>
            </w:r>
          </w:p>
        </w:tc>
        <w:tc>
          <w:tcPr>
            <w:tcW w:w="2773" w:type="dxa"/>
            <w:shd w:val="clear" w:color="auto" w:fill="FFFFFF" w:themeFill="background1"/>
            <w:vAlign w:val="center"/>
          </w:tcPr>
          <w:p w14:paraId="3CE9D66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技术工作费</w:t>
            </w:r>
          </w:p>
        </w:tc>
        <w:tc>
          <w:tcPr>
            <w:tcW w:w="883" w:type="dxa"/>
            <w:shd w:val="clear" w:color="auto" w:fill="FFFFFF" w:themeFill="background1"/>
            <w:vAlign w:val="center"/>
          </w:tcPr>
          <w:p w14:paraId="2A5D654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3C6F62E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557B2CB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56AEF2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38C9EE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包括对堆体监测数据的整理和分析以及报告的编制等相关技术工作</w:t>
            </w:r>
          </w:p>
        </w:tc>
      </w:tr>
      <w:tr w14:paraId="17E1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0" w:type="auto"/>
            <w:shd w:val="clear" w:color="auto" w:fill="FFFFFF" w:themeFill="background1"/>
            <w:vAlign w:val="center"/>
          </w:tcPr>
          <w:p w14:paraId="052D0D2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highlight w:val="none"/>
                <w:lang w:val="en-US" w:eastAsia="zh-CN" w:bidi="ar-SA"/>
              </w:rPr>
            </w:pPr>
            <w:r>
              <w:rPr>
                <w:rFonts w:hint="eastAsia" w:ascii="宋体" w:hAnsi="宋体" w:eastAsia="宋体" w:cs="宋体"/>
                <w:b/>
                <w:bCs/>
                <w:color w:val="000000"/>
                <w:sz w:val="24"/>
                <w:szCs w:val="24"/>
                <w:highlight w:val="none"/>
              </w:rPr>
              <w:t>二</w:t>
            </w:r>
          </w:p>
        </w:tc>
        <w:tc>
          <w:tcPr>
            <w:tcW w:w="5660" w:type="dxa"/>
            <w:gridSpan w:val="4"/>
            <w:shd w:val="clear" w:color="auto" w:fill="FFFFFF" w:themeFill="background1"/>
            <w:vAlign w:val="center"/>
          </w:tcPr>
          <w:p w14:paraId="5276CEF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color w:val="000000"/>
                <w:sz w:val="24"/>
                <w:szCs w:val="24"/>
                <w:highlight w:val="none"/>
              </w:rPr>
              <w:t>垃圾坝监测及评估</w:t>
            </w:r>
          </w:p>
        </w:tc>
        <w:tc>
          <w:tcPr>
            <w:tcW w:w="1477" w:type="dxa"/>
            <w:shd w:val="clear" w:color="auto" w:fill="FFFFFF" w:themeFill="background1"/>
            <w:vAlign w:val="center"/>
          </w:tcPr>
          <w:p w14:paraId="420BA421">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kern w:val="2"/>
                <w:sz w:val="24"/>
                <w:szCs w:val="24"/>
                <w:highlight w:val="none"/>
                <w:vertAlign w:val="baseline"/>
                <w:lang w:val="en-US" w:eastAsia="zh-CN" w:bidi="ar-SA"/>
              </w:rPr>
            </w:pPr>
            <w:r>
              <w:rPr>
                <w:rFonts w:hint="eastAsia" w:ascii="宋体" w:hAnsi="宋体" w:eastAsia="宋体" w:cs="宋体"/>
                <w:b/>
                <w:bCs/>
                <w:color w:val="000000"/>
                <w:sz w:val="24"/>
                <w:szCs w:val="24"/>
                <w:highlight w:val="none"/>
                <w:lang w:val="en-US" w:eastAsia="zh-CN"/>
              </w:rPr>
              <w:t>88192.00</w:t>
            </w:r>
          </w:p>
        </w:tc>
        <w:tc>
          <w:tcPr>
            <w:tcW w:w="6221" w:type="dxa"/>
            <w:shd w:val="clear" w:color="auto" w:fill="FFFFFF" w:themeFill="background1"/>
            <w:vAlign w:val="center"/>
          </w:tcPr>
          <w:p w14:paraId="55CC695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49A020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trPr>
        <w:tc>
          <w:tcPr>
            <w:tcW w:w="0" w:type="auto"/>
            <w:shd w:val="clear" w:color="auto" w:fill="FFFFFF" w:themeFill="background1"/>
            <w:vAlign w:val="center"/>
          </w:tcPr>
          <w:p w14:paraId="50DA497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2.1</w:t>
            </w:r>
          </w:p>
        </w:tc>
        <w:tc>
          <w:tcPr>
            <w:tcW w:w="5660" w:type="dxa"/>
            <w:gridSpan w:val="4"/>
            <w:shd w:val="clear" w:color="auto" w:fill="FFFFFF" w:themeFill="background1"/>
            <w:vAlign w:val="center"/>
          </w:tcPr>
          <w:p w14:paraId="3BE1B0F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监测点位建设</w:t>
            </w:r>
          </w:p>
        </w:tc>
        <w:tc>
          <w:tcPr>
            <w:tcW w:w="1477" w:type="dxa"/>
            <w:shd w:val="clear" w:color="auto" w:fill="FFFFFF" w:themeFill="background1"/>
            <w:vAlign w:val="center"/>
          </w:tcPr>
          <w:p w14:paraId="26683A9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C7E1E7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6BD9A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27CD957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2.1.1</w:t>
            </w:r>
          </w:p>
        </w:tc>
        <w:tc>
          <w:tcPr>
            <w:tcW w:w="2773" w:type="dxa"/>
            <w:shd w:val="clear" w:color="auto" w:fill="FFFFFF" w:themeFill="background1"/>
            <w:vAlign w:val="center"/>
          </w:tcPr>
          <w:p w14:paraId="7138FDD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在垃圾坝内钻孔费</w:t>
            </w:r>
          </w:p>
        </w:tc>
        <w:tc>
          <w:tcPr>
            <w:tcW w:w="883" w:type="dxa"/>
            <w:shd w:val="clear" w:color="auto" w:fill="FFFFFF" w:themeFill="background1"/>
            <w:vAlign w:val="center"/>
          </w:tcPr>
          <w:p w14:paraId="5630764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72759D7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50</w:t>
            </w:r>
          </w:p>
        </w:tc>
        <w:tc>
          <w:tcPr>
            <w:tcW w:w="1172" w:type="dxa"/>
            <w:shd w:val="clear" w:color="auto" w:fill="FFFFFF" w:themeFill="background1"/>
            <w:vAlign w:val="center"/>
          </w:tcPr>
          <w:p w14:paraId="6134B7E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2CA456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FE155A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在垃圾坝区域钻孔3个，单孔平均深16.7m，钻进过程中需要做好土壤的摆样及取样工作（钻至垃圾坝部分后每5m取一个土壤样品），取出的土壤样品需要按业主要求进行妥善处理。</w:t>
            </w:r>
          </w:p>
        </w:tc>
      </w:tr>
      <w:tr w14:paraId="0894B5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trPr>
        <w:tc>
          <w:tcPr>
            <w:tcW w:w="0" w:type="auto"/>
            <w:shd w:val="clear" w:color="auto" w:fill="FFFFFF" w:themeFill="background1"/>
            <w:vAlign w:val="center"/>
          </w:tcPr>
          <w:p w14:paraId="2526043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2.1.2</w:t>
            </w:r>
          </w:p>
        </w:tc>
        <w:tc>
          <w:tcPr>
            <w:tcW w:w="2773" w:type="dxa"/>
            <w:shd w:val="clear" w:color="auto" w:fill="FFFFFF" w:themeFill="background1"/>
            <w:vAlign w:val="center"/>
          </w:tcPr>
          <w:p w14:paraId="3B2B954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测斜管埋设</w:t>
            </w:r>
          </w:p>
        </w:tc>
        <w:tc>
          <w:tcPr>
            <w:tcW w:w="883" w:type="dxa"/>
            <w:shd w:val="clear" w:color="auto" w:fill="FFFFFF" w:themeFill="background1"/>
            <w:vAlign w:val="center"/>
          </w:tcPr>
          <w:p w14:paraId="1889C86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w:t>
            </w:r>
          </w:p>
        </w:tc>
        <w:tc>
          <w:tcPr>
            <w:tcW w:w="832" w:type="dxa"/>
            <w:shd w:val="clear" w:color="auto" w:fill="FFFFFF" w:themeFill="background1"/>
            <w:vAlign w:val="center"/>
          </w:tcPr>
          <w:p w14:paraId="757BD80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50</w:t>
            </w:r>
          </w:p>
        </w:tc>
        <w:tc>
          <w:tcPr>
            <w:tcW w:w="1172" w:type="dxa"/>
            <w:shd w:val="clear" w:color="auto" w:fill="FFFFFF" w:themeFill="background1"/>
            <w:vAlign w:val="center"/>
          </w:tcPr>
          <w:p w14:paraId="032ED42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D35B6B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A52E83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在3个钻孔中埋设测斜管（用于监测坝体深层水平位移），测斜管单井深度16.7m，采用70 PVC管，壁厚不小于5mm。此项费用包含管材、膨润土球、砾料等耗材费，以及加工和埋设施工费。</w:t>
            </w:r>
          </w:p>
        </w:tc>
      </w:tr>
      <w:tr w14:paraId="1104B8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785C14F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2.2</w:t>
            </w:r>
          </w:p>
        </w:tc>
        <w:tc>
          <w:tcPr>
            <w:tcW w:w="5660" w:type="dxa"/>
            <w:gridSpan w:val="4"/>
            <w:shd w:val="clear" w:color="auto" w:fill="FFFFFF" w:themeFill="background1"/>
            <w:vAlign w:val="center"/>
          </w:tcPr>
          <w:p w14:paraId="11E869F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跟踪监测</w:t>
            </w:r>
          </w:p>
        </w:tc>
        <w:tc>
          <w:tcPr>
            <w:tcW w:w="1477" w:type="dxa"/>
            <w:shd w:val="clear" w:color="auto" w:fill="FFFFFF" w:themeFill="background1"/>
            <w:vAlign w:val="center"/>
          </w:tcPr>
          <w:p w14:paraId="08699BE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C9EFB4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监测周期为8个月，监测频率为6、7、8、9月每月2次，其余月份每月1次，总计12次。</w:t>
            </w:r>
          </w:p>
        </w:tc>
      </w:tr>
      <w:tr w14:paraId="6D7EFD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FEED87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2.2.1</w:t>
            </w:r>
          </w:p>
        </w:tc>
        <w:tc>
          <w:tcPr>
            <w:tcW w:w="2773" w:type="dxa"/>
            <w:shd w:val="clear" w:color="auto" w:fill="FFFFFF" w:themeFill="background1"/>
            <w:vAlign w:val="center"/>
          </w:tcPr>
          <w:p w14:paraId="2732895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表面水平位移监测</w:t>
            </w:r>
          </w:p>
        </w:tc>
        <w:tc>
          <w:tcPr>
            <w:tcW w:w="883" w:type="dxa"/>
            <w:shd w:val="clear" w:color="auto" w:fill="FFFFFF" w:themeFill="background1"/>
            <w:vAlign w:val="center"/>
          </w:tcPr>
          <w:p w14:paraId="50C7653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113F847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204</w:t>
            </w:r>
          </w:p>
        </w:tc>
        <w:tc>
          <w:tcPr>
            <w:tcW w:w="1172" w:type="dxa"/>
            <w:shd w:val="clear" w:color="auto" w:fill="FFFFFF" w:themeFill="background1"/>
            <w:vAlign w:val="center"/>
          </w:tcPr>
          <w:p w14:paraId="6E1487D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6A0B633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07BF9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对共计17个表面水平位移监测点开展监测</w:t>
            </w:r>
          </w:p>
        </w:tc>
      </w:tr>
      <w:tr w14:paraId="5EB9D9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79118C2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2.2.2</w:t>
            </w:r>
          </w:p>
        </w:tc>
        <w:tc>
          <w:tcPr>
            <w:tcW w:w="2773" w:type="dxa"/>
            <w:shd w:val="clear" w:color="auto" w:fill="FFFFFF" w:themeFill="background1"/>
            <w:vAlign w:val="center"/>
          </w:tcPr>
          <w:p w14:paraId="19B3D875">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表面沉降监测</w:t>
            </w:r>
          </w:p>
        </w:tc>
        <w:tc>
          <w:tcPr>
            <w:tcW w:w="883" w:type="dxa"/>
            <w:shd w:val="clear" w:color="auto" w:fill="FFFFFF" w:themeFill="background1"/>
            <w:vAlign w:val="center"/>
          </w:tcPr>
          <w:p w14:paraId="72709BF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60CAA91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204</w:t>
            </w:r>
          </w:p>
        </w:tc>
        <w:tc>
          <w:tcPr>
            <w:tcW w:w="1172" w:type="dxa"/>
            <w:shd w:val="clear" w:color="auto" w:fill="FFFFFF" w:themeFill="background1"/>
            <w:vAlign w:val="center"/>
          </w:tcPr>
          <w:p w14:paraId="45D8AD2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7788F3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579EC9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对共计17个表面沉降监测点开展监测</w:t>
            </w:r>
          </w:p>
        </w:tc>
      </w:tr>
      <w:tr w14:paraId="2398EC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19A873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2.2.3</w:t>
            </w:r>
          </w:p>
        </w:tc>
        <w:tc>
          <w:tcPr>
            <w:tcW w:w="2773" w:type="dxa"/>
            <w:shd w:val="clear" w:color="auto" w:fill="FFFFFF" w:themeFill="background1"/>
            <w:vAlign w:val="center"/>
          </w:tcPr>
          <w:p w14:paraId="4C157A31">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深层水平位移监测</w:t>
            </w:r>
          </w:p>
        </w:tc>
        <w:tc>
          <w:tcPr>
            <w:tcW w:w="883" w:type="dxa"/>
            <w:shd w:val="clear" w:color="auto" w:fill="FFFFFF" w:themeFill="background1"/>
            <w:vAlign w:val="center"/>
          </w:tcPr>
          <w:p w14:paraId="7B0BC6A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m*次</w:t>
            </w:r>
          </w:p>
        </w:tc>
        <w:tc>
          <w:tcPr>
            <w:tcW w:w="832" w:type="dxa"/>
            <w:shd w:val="clear" w:color="auto" w:fill="FFFFFF" w:themeFill="background1"/>
            <w:vAlign w:val="center"/>
          </w:tcPr>
          <w:p w14:paraId="2812320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1560</w:t>
            </w:r>
          </w:p>
        </w:tc>
        <w:tc>
          <w:tcPr>
            <w:tcW w:w="1172" w:type="dxa"/>
            <w:shd w:val="clear" w:color="auto" w:fill="FFFFFF" w:themeFill="background1"/>
            <w:vAlign w:val="center"/>
          </w:tcPr>
          <w:p w14:paraId="77FC0C1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000F883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6769C7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对共计7个深层水平位移监测井开展监测，单口井平均深度约18.6m，单次监测总进尺为130m。</w:t>
            </w:r>
          </w:p>
        </w:tc>
      </w:tr>
      <w:tr w14:paraId="2C1C12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0937036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2.2.4</w:t>
            </w:r>
          </w:p>
        </w:tc>
        <w:tc>
          <w:tcPr>
            <w:tcW w:w="2773" w:type="dxa"/>
            <w:shd w:val="clear" w:color="auto" w:fill="FFFFFF" w:themeFill="background1"/>
            <w:vAlign w:val="center"/>
          </w:tcPr>
          <w:p w14:paraId="681C9703">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滞水位监测</w:t>
            </w:r>
          </w:p>
        </w:tc>
        <w:tc>
          <w:tcPr>
            <w:tcW w:w="883" w:type="dxa"/>
            <w:shd w:val="clear" w:color="auto" w:fill="FFFFFF" w:themeFill="background1"/>
            <w:vAlign w:val="center"/>
          </w:tcPr>
          <w:p w14:paraId="0F4D4C2F">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点*次</w:t>
            </w:r>
          </w:p>
        </w:tc>
        <w:tc>
          <w:tcPr>
            <w:tcW w:w="832" w:type="dxa"/>
            <w:shd w:val="clear" w:color="auto" w:fill="FFFFFF" w:themeFill="background1"/>
            <w:vAlign w:val="center"/>
          </w:tcPr>
          <w:p w14:paraId="41FE661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84</w:t>
            </w:r>
          </w:p>
        </w:tc>
        <w:tc>
          <w:tcPr>
            <w:tcW w:w="1172" w:type="dxa"/>
            <w:shd w:val="clear" w:color="auto" w:fill="FFFFFF" w:themeFill="background1"/>
            <w:vAlign w:val="center"/>
          </w:tcPr>
          <w:p w14:paraId="2E85854A">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79CDD3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587E34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对共计7个滞水位监测点开展监测</w:t>
            </w:r>
          </w:p>
        </w:tc>
      </w:tr>
      <w:tr w14:paraId="3ECB6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778DA97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2.3</w:t>
            </w:r>
          </w:p>
        </w:tc>
        <w:tc>
          <w:tcPr>
            <w:tcW w:w="2773" w:type="dxa"/>
            <w:shd w:val="clear" w:color="auto" w:fill="FFFFFF" w:themeFill="background1"/>
            <w:vAlign w:val="center"/>
          </w:tcPr>
          <w:p w14:paraId="2F34C1F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技术工作费</w:t>
            </w:r>
          </w:p>
        </w:tc>
        <w:tc>
          <w:tcPr>
            <w:tcW w:w="883" w:type="dxa"/>
            <w:shd w:val="clear" w:color="auto" w:fill="FFFFFF" w:themeFill="background1"/>
            <w:vAlign w:val="center"/>
          </w:tcPr>
          <w:p w14:paraId="49960521">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50E6809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5D0DCE2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5ACB5EB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97EA37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包括对垃圾坝监测数据的整理和分析以及报告的编制等相关技术工作</w:t>
            </w:r>
          </w:p>
        </w:tc>
      </w:tr>
      <w:tr w14:paraId="37B2CA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rPr>
          <w:trHeight w:val="500" w:hRule="atLeast"/>
        </w:trPr>
        <w:tc>
          <w:tcPr>
            <w:tcW w:w="0" w:type="auto"/>
            <w:shd w:val="clear" w:color="auto" w:fill="FFFFFF" w:themeFill="background1"/>
            <w:vAlign w:val="center"/>
          </w:tcPr>
          <w:p w14:paraId="4C323CC6">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三</w:t>
            </w:r>
          </w:p>
        </w:tc>
        <w:tc>
          <w:tcPr>
            <w:tcW w:w="5660" w:type="dxa"/>
            <w:gridSpan w:val="4"/>
            <w:shd w:val="clear" w:color="auto" w:fill="FFFFFF" w:themeFill="background1"/>
            <w:vAlign w:val="center"/>
          </w:tcPr>
          <w:p w14:paraId="3117366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取样分析及堆体降解稳定化评估</w:t>
            </w:r>
          </w:p>
        </w:tc>
        <w:tc>
          <w:tcPr>
            <w:tcW w:w="1477" w:type="dxa"/>
            <w:shd w:val="clear" w:color="auto" w:fill="FFFFFF" w:themeFill="background1"/>
            <w:vAlign w:val="center"/>
          </w:tcPr>
          <w:p w14:paraId="3980AF1F">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80,520.00</w:t>
            </w:r>
          </w:p>
        </w:tc>
        <w:tc>
          <w:tcPr>
            <w:tcW w:w="6221" w:type="dxa"/>
            <w:shd w:val="clear" w:color="auto" w:fill="FFFFFF" w:themeFill="background1"/>
            <w:vAlign w:val="center"/>
          </w:tcPr>
          <w:p w14:paraId="5348E39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2A59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0" w:type="auto"/>
            <w:shd w:val="clear" w:color="auto" w:fill="FFFFFF" w:themeFill="background1"/>
            <w:vAlign w:val="center"/>
          </w:tcPr>
          <w:p w14:paraId="2570EE3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3.1</w:t>
            </w:r>
          </w:p>
        </w:tc>
        <w:tc>
          <w:tcPr>
            <w:tcW w:w="5660" w:type="dxa"/>
            <w:gridSpan w:val="4"/>
            <w:shd w:val="clear" w:color="auto" w:fill="FFFFFF" w:themeFill="background1"/>
            <w:vAlign w:val="center"/>
          </w:tcPr>
          <w:p w14:paraId="3A043046">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r>
              <w:rPr>
                <w:rFonts w:hint="eastAsia" w:ascii="宋体" w:hAnsi="宋体" w:eastAsia="宋体" w:cs="宋体"/>
                <w:b/>
                <w:bCs/>
                <w:color w:val="000000"/>
                <w:sz w:val="24"/>
                <w:szCs w:val="24"/>
              </w:rPr>
              <w:t>样品送样检测</w:t>
            </w:r>
          </w:p>
        </w:tc>
        <w:tc>
          <w:tcPr>
            <w:tcW w:w="1477" w:type="dxa"/>
            <w:shd w:val="clear" w:color="auto" w:fill="FFFFFF" w:themeFill="background1"/>
            <w:vAlign w:val="center"/>
          </w:tcPr>
          <w:p w14:paraId="1AC1C3A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E81FFE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38FD72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5C3FD89B">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3.1.1</w:t>
            </w:r>
          </w:p>
        </w:tc>
        <w:tc>
          <w:tcPr>
            <w:tcW w:w="2773" w:type="dxa"/>
            <w:shd w:val="clear" w:color="auto" w:fill="FFFFFF" w:themeFill="background1"/>
            <w:vAlign w:val="center"/>
          </w:tcPr>
          <w:p w14:paraId="357B0367">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垃圾样送样检测（物理指标）</w:t>
            </w:r>
          </w:p>
        </w:tc>
        <w:tc>
          <w:tcPr>
            <w:tcW w:w="883" w:type="dxa"/>
            <w:shd w:val="clear" w:color="auto" w:fill="FFFFFF" w:themeFill="background1"/>
            <w:vAlign w:val="center"/>
          </w:tcPr>
          <w:p w14:paraId="03B3502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7FB268C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25</w:t>
            </w:r>
          </w:p>
        </w:tc>
        <w:tc>
          <w:tcPr>
            <w:tcW w:w="1172" w:type="dxa"/>
            <w:shd w:val="clear" w:color="auto" w:fill="FFFFFF" w:themeFill="background1"/>
            <w:vAlign w:val="center"/>
          </w:tcPr>
          <w:p w14:paraId="4215A9F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CC5F7D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08CD52E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在垃圾堆体内钻孔过程中取得垃圾样25组，进行物理指标测试，包括含水率、组分、密度。</w:t>
            </w:r>
          </w:p>
        </w:tc>
      </w:tr>
      <w:tr w14:paraId="27F303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29FAC7B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3.1.2</w:t>
            </w:r>
          </w:p>
        </w:tc>
        <w:tc>
          <w:tcPr>
            <w:tcW w:w="2773" w:type="dxa"/>
            <w:shd w:val="clear" w:color="auto" w:fill="FFFFFF" w:themeFill="background1"/>
            <w:vAlign w:val="center"/>
          </w:tcPr>
          <w:p w14:paraId="227C9747">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垃圾样送样检测（化学指标）</w:t>
            </w:r>
          </w:p>
        </w:tc>
        <w:tc>
          <w:tcPr>
            <w:tcW w:w="883" w:type="dxa"/>
            <w:shd w:val="clear" w:color="auto" w:fill="FFFFFF" w:themeFill="background1"/>
            <w:vAlign w:val="center"/>
          </w:tcPr>
          <w:p w14:paraId="0E039D0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6F6EF18D">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10</w:t>
            </w:r>
          </w:p>
        </w:tc>
        <w:tc>
          <w:tcPr>
            <w:tcW w:w="1172" w:type="dxa"/>
            <w:shd w:val="clear" w:color="auto" w:fill="FFFFFF" w:themeFill="background1"/>
            <w:vAlign w:val="center"/>
          </w:tcPr>
          <w:p w14:paraId="4101A4F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C3584F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45BC7B91">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在垃圾堆体内钻孔过程中取得垃圾样10组，进行化学指标测试，包括有机质含量、木质素、纤维素。</w:t>
            </w:r>
          </w:p>
        </w:tc>
      </w:tr>
      <w:tr w14:paraId="6B2BF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155F8FF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3.1.3</w:t>
            </w:r>
          </w:p>
        </w:tc>
        <w:tc>
          <w:tcPr>
            <w:tcW w:w="2773" w:type="dxa"/>
            <w:shd w:val="clear" w:color="auto" w:fill="FFFFFF" w:themeFill="background1"/>
            <w:vAlign w:val="center"/>
          </w:tcPr>
          <w:p w14:paraId="6E4545D0">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渗滤液送样检测</w:t>
            </w:r>
          </w:p>
        </w:tc>
        <w:tc>
          <w:tcPr>
            <w:tcW w:w="883" w:type="dxa"/>
            <w:shd w:val="clear" w:color="auto" w:fill="FFFFFF" w:themeFill="background1"/>
            <w:vAlign w:val="center"/>
          </w:tcPr>
          <w:p w14:paraId="7AB1EBD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2CB9FC4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10</w:t>
            </w:r>
          </w:p>
        </w:tc>
        <w:tc>
          <w:tcPr>
            <w:tcW w:w="1172" w:type="dxa"/>
            <w:shd w:val="clear" w:color="auto" w:fill="FFFFFF" w:themeFill="background1"/>
            <w:vAlign w:val="center"/>
          </w:tcPr>
          <w:p w14:paraId="57CE0ED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5D40EAB">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5BEF0D2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在测斜井（深层水平位移监测井）中取得渗滤液样10组，检测指标包括COD</w:t>
            </w:r>
            <w:r>
              <w:rPr>
                <w:rFonts w:hint="eastAsia" w:ascii="宋体" w:hAnsi="宋体" w:eastAsia="宋体" w:cs="宋体"/>
                <w:color w:val="000000"/>
                <w:sz w:val="24"/>
                <w:szCs w:val="24"/>
                <w:vertAlign w:val="subscript"/>
              </w:rPr>
              <w:t>cr</w:t>
            </w:r>
            <w:r>
              <w:rPr>
                <w:rFonts w:hint="eastAsia" w:ascii="宋体" w:hAnsi="宋体" w:eastAsia="宋体" w:cs="宋体"/>
                <w:color w:val="000000"/>
                <w:sz w:val="24"/>
                <w:szCs w:val="24"/>
              </w:rPr>
              <w:t>、氨氮、BOD</w:t>
            </w:r>
            <w:r>
              <w:rPr>
                <w:rFonts w:hint="eastAsia" w:ascii="宋体" w:hAnsi="宋体" w:eastAsia="宋体" w:cs="宋体"/>
                <w:color w:val="000000"/>
                <w:sz w:val="24"/>
                <w:szCs w:val="24"/>
                <w:vertAlign w:val="subscript"/>
              </w:rPr>
              <w:t>5</w:t>
            </w:r>
            <w:r>
              <w:rPr>
                <w:rFonts w:hint="eastAsia" w:ascii="宋体" w:hAnsi="宋体" w:eastAsia="宋体" w:cs="宋体"/>
                <w:color w:val="000000"/>
                <w:sz w:val="24"/>
                <w:szCs w:val="24"/>
              </w:rPr>
              <w:t>、VFA、SUV</w:t>
            </w:r>
            <w:r>
              <w:rPr>
                <w:rFonts w:hint="eastAsia" w:ascii="宋体" w:hAnsi="宋体" w:eastAsia="宋体" w:cs="宋体"/>
                <w:color w:val="000000"/>
                <w:sz w:val="24"/>
                <w:szCs w:val="24"/>
                <w:vertAlign w:val="subscript"/>
              </w:rPr>
              <w:t>254</w:t>
            </w:r>
            <w:r>
              <w:rPr>
                <w:rFonts w:hint="eastAsia" w:ascii="宋体" w:hAnsi="宋体" w:eastAsia="宋体" w:cs="宋体"/>
                <w:color w:val="000000"/>
                <w:sz w:val="24"/>
                <w:szCs w:val="24"/>
              </w:rPr>
              <w:t>、DOC和三维荧光光谱，其中氨氮、BOD</w:t>
            </w:r>
            <w:r>
              <w:rPr>
                <w:rFonts w:hint="eastAsia" w:ascii="宋体" w:hAnsi="宋体" w:eastAsia="宋体" w:cs="宋体"/>
                <w:color w:val="000000"/>
                <w:sz w:val="24"/>
                <w:szCs w:val="24"/>
                <w:vertAlign w:val="subscript"/>
              </w:rPr>
              <w:t>5</w:t>
            </w:r>
            <w:r>
              <w:rPr>
                <w:rFonts w:hint="eastAsia" w:ascii="宋体" w:hAnsi="宋体" w:eastAsia="宋体" w:cs="宋体"/>
                <w:color w:val="000000"/>
                <w:sz w:val="24"/>
                <w:szCs w:val="24"/>
              </w:rPr>
              <w:t>、COD</w:t>
            </w:r>
            <w:r>
              <w:rPr>
                <w:rFonts w:hint="eastAsia" w:ascii="宋体" w:hAnsi="宋体" w:eastAsia="宋体" w:cs="宋体"/>
                <w:color w:val="000000"/>
                <w:sz w:val="24"/>
                <w:szCs w:val="24"/>
                <w:vertAlign w:val="subscript"/>
              </w:rPr>
              <w:t>cr</w:t>
            </w:r>
            <w:r>
              <w:rPr>
                <w:rFonts w:hint="eastAsia" w:ascii="宋体" w:hAnsi="宋体" w:eastAsia="宋体" w:cs="宋体"/>
                <w:color w:val="000000"/>
                <w:sz w:val="24"/>
                <w:szCs w:val="24"/>
              </w:rPr>
              <w:t>按照GB/T 18772规定方法测试；VFA按照化学滴定法测试；SUV</w:t>
            </w:r>
            <w:r>
              <w:rPr>
                <w:rFonts w:hint="eastAsia" w:ascii="宋体" w:hAnsi="宋体" w:eastAsia="宋体" w:cs="宋体"/>
                <w:color w:val="000000"/>
                <w:sz w:val="24"/>
                <w:szCs w:val="24"/>
                <w:vertAlign w:val="subscript"/>
              </w:rPr>
              <w:t>254</w:t>
            </w:r>
            <w:r>
              <w:rPr>
                <w:rFonts w:hint="eastAsia" w:ascii="宋体" w:hAnsi="宋体" w:eastAsia="宋体" w:cs="宋体"/>
                <w:color w:val="000000"/>
                <w:sz w:val="24"/>
                <w:szCs w:val="24"/>
              </w:rPr>
              <w:t>使用分光光度计测试；DOC按照HJ 501燃烧氧化-非分散红外吸收法测试；三维荧光光谱采用荧光光谱仪测试。</w:t>
            </w:r>
          </w:p>
        </w:tc>
      </w:tr>
      <w:tr w14:paraId="226291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7400D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3.2</w:t>
            </w:r>
          </w:p>
        </w:tc>
        <w:tc>
          <w:tcPr>
            <w:tcW w:w="2773" w:type="dxa"/>
            <w:shd w:val="clear" w:color="auto" w:fill="FFFFFF" w:themeFill="background1"/>
            <w:vAlign w:val="center"/>
          </w:tcPr>
          <w:p w14:paraId="1208D9AC">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堆体降解稳定化评估</w:t>
            </w:r>
          </w:p>
        </w:tc>
        <w:tc>
          <w:tcPr>
            <w:tcW w:w="883" w:type="dxa"/>
            <w:shd w:val="clear" w:color="auto" w:fill="FFFFFF" w:themeFill="background1"/>
            <w:vAlign w:val="center"/>
          </w:tcPr>
          <w:p w14:paraId="58477A6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项</w:t>
            </w:r>
          </w:p>
        </w:tc>
        <w:tc>
          <w:tcPr>
            <w:tcW w:w="832" w:type="dxa"/>
            <w:shd w:val="clear" w:color="auto" w:fill="FFFFFF" w:themeFill="background1"/>
            <w:vAlign w:val="center"/>
          </w:tcPr>
          <w:p w14:paraId="092CDE2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1</w:t>
            </w:r>
          </w:p>
        </w:tc>
        <w:tc>
          <w:tcPr>
            <w:tcW w:w="1172" w:type="dxa"/>
            <w:shd w:val="clear" w:color="auto" w:fill="FFFFFF" w:themeFill="background1"/>
            <w:vAlign w:val="center"/>
          </w:tcPr>
          <w:p w14:paraId="2585997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D86057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EE521B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b/>
                <w:bCs/>
                <w:color w:val="000000"/>
                <w:sz w:val="24"/>
                <w:szCs w:val="24"/>
              </w:rPr>
              <w:t>包括对堆体降解潜力进行分析评估以及报告的编制等相关技术工作</w:t>
            </w:r>
          </w:p>
        </w:tc>
      </w:tr>
      <w:tr w14:paraId="1B8F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1B493BA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四</w:t>
            </w:r>
          </w:p>
        </w:tc>
        <w:tc>
          <w:tcPr>
            <w:tcW w:w="5660" w:type="dxa"/>
            <w:gridSpan w:val="4"/>
            <w:shd w:val="clear" w:color="auto" w:fill="FFFFFF" w:themeFill="background1"/>
            <w:vAlign w:val="center"/>
          </w:tcPr>
          <w:p w14:paraId="57CB8EF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渗滤液积存量动态评估</w:t>
            </w:r>
          </w:p>
        </w:tc>
        <w:tc>
          <w:tcPr>
            <w:tcW w:w="1477" w:type="dxa"/>
            <w:shd w:val="clear" w:color="auto" w:fill="FFFFFF" w:themeFill="background1"/>
            <w:vAlign w:val="center"/>
          </w:tcPr>
          <w:p w14:paraId="04080A1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21,000.00</w:t>
            </w:r>
          </w:p>
        </w:tc>
        <w:tc>
          <w:tcPr>
            <w:tcW w:w="6221" w:type="dxa"/>
            <w:shd w:val="clear" w:color="auto" w:fill="FFFFFF" w:themeFill="background1"/>
            <w:vAlign w:val="center"/>
          </w:tcPr>
          <w:p w14:paraId="40E5D2D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5B1368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461121B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4.1</w:t>
            </w:r>
          </w:p>
        </w:tc>
        <w:tc>
          <w:tcPr>
            <w:tcW w:w="2773" w:type="dxa"/>
            <w:shd w:val="clear" w:color="auto" w:fill="FFFFFF" w:themeFill="background1"/>
            <w:vAlign w:val="center"/>
          </w:tcPr>
          <w:p w14:paraId="7B02ABF6">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渗滤液积存量建模计算</w:t>
            </w:r>
          </w:p>
        </w:tc>
        <w:tc>
          <w:tcPr>
            <w:tcW w:w="883" w:type="dxa"/>
            <w:shd w:val="clear" w:color="auto" w:fill="FFFFFF" w:themeFill="background1"/>
            <w:vAlign w:val="center"/>
          </w:tcPr>
          <w:p w14:paraId="6E4CF84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7662369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27D9DBE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1AB536C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112B2B0">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根据现场监测的主滞水位数据及前期资料，采用积存量计算经验公式，利用三维建模软件对堆体内的渗滤液积存量进行计算。频次为每季度1次，总共3次。</w:t>
            </w:r>
          </w:p>
        </w:tc>
      </w:tr>
      <w:tr w14:paraId="60E2F8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21B06B0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五</w:t>
            </w:r>
          </w:p>
        </w:tc>
        <w:tc>
          <w:tcPr>
            <w:tcW w:w="5660" w:type="dxa"/>
            <w:gridSpan w:val="4"/>
            <w:shd w:val="clear" w:color="auto" w:fill="FFFFFF" w:themeFill="background1"/>
            <w:vAlign w:val="center"/>
          </w:tcPr>
          <w:p w14:paraId="2ED58B9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渗滤液导排系统效能跟踪评估</w:t>
            </w:r>
          </w:p>
        </w:tc>
        <w:tc>
          <w:tcPr>
            <w:tcW w:w="1477" w:type="dxa"/>
            <w:shd w:val="clear" w:color="auto" w:fill="FFFFFF" w:themeFill="background1"/>
            <w:vAlign w:val="center"/>
          </w:tcPr>
          <w:p w14:paraId="444DC0B2">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29,280.00</w:t>
            </w:r>
          </w:p>
        </w:tc>
        <w:tc>
          <w:tcPr>
            <w:tcW w:w="6221" w:type="dxa"/>
            <w:shd w:val="clear" w:color="auto" w:fill="FFFFFF" w:themeFill="background1"/>
            <w:vAlign w:val="center"/>
          </w:tcPr>
          <w:p w14:paraId="1FE56D38">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425BD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012CC4F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5.1</w:t>
            </w:r>
          </w:p>
        </w:tc>
        <w:tc>
          <w:tcPr>
            <w:tcW w:w="2773" w:type="dxa"/>
            <w:shd w:val="clear" w:color="auto" w:fill="FFFFFF" w:themeFill="background1"/>
            <w:vAlign w:val="center"/>
          </w:tcPr>
          <w:p w14:paraId="244C64F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现场调查与数据收集</w:t>
            </w:r>
          </w:p>
        </w:tc>
        <w:tc>
          <w:tcPr>
            <w:tcW w:w="883" w:type="dxa"/>
            <w:shd w:val="clear" w:color="auto" w:fill="FFFFFF" w:themeFill="background1"/>
            <w:vAlign w:val="center"/>
          </w:tcPr>
          <w:p w14:paraId="54E9CF0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301BA3B7">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5EE2659D">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7BAE438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9BD2CE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在填埋场全场开展渗滤液导排系统效能评估，对全场约280口渗滤液抽排竖井进行实地检查，收集记录每口渗滤液抽排竖井的状态信息，同时对渗滤液输送管道开展实地调查。频次为每季度1次，总共3次。</w:t>
            </w:r>
          </w:p>
        </w:tc>
      </w:tr>
      <w:tr w14:paraId="398E27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54282D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5.3</w:t>
            </w:r>
          </w:p>
        </w:tc>
        <w:tc>
          <w:tcPr>
            <w:tcW w:w="2773" w:type="dxa"/>
            <w:shd w:val="clear" w:color="auto" w:fill="FFFFFF" w:themeFill="background1"/>
            <w:vAlign w:val="center"/>
          </w:tcPr>
          <w:p w14:paraId="344BE39E">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渗滤液导排系统效能评估技术工作费</w:t>
            </w:r>
          </w:p>
        </w:tc>
        <w:tc>
          <w:tcPr>
            <w:tcW w:w="883" w:type="dxa"/>
            <w:shd w:val="clear" w:color="auto" w:fill="FFFFFF" w:themeFill="background1"/>
            <w:vAlign w:val="center"/>
          </w:tcPr>
          <w:p w14:paraId="3F700725">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项</w:t>
            </w:r>
          </w:p>
        </w:tc>
        <w:tc>
          <w:tcPr>
            <w:tcW w:w="832" w:type="dxa"/>
            <w:shd w:val="clear" w:color="auto" w:fill="FFFFFF" w:themeFill="background1"/>
            <w:vAlign w:val="center"/>
          </w:tcPr>
          <w:p w14:paraId="60FF704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w:t>
            </w:r>
          </w:p>
        </w:tc>
        <w:tc>
          <w:tcPr>
            <w:tcW w:w="1172" w:type="dxa"/>
            <w:shd w:val="clear" w:color="auto" w:fill="FFFFFF" w:themeFill="background1"/>
            <w:vAlign w:val="center"/>
          </w:tcPr>
          <w:p w14:paraId="14D2CB54">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p>
        </w:tc>
        <w:tc>
          <w:tcPr>
            <w:tcW w:w="1477" w:type="dxa"/>
            <w:shd w:val="clear" w:color="auto" w:fill="FFFFFF" w:themeFill="background1"/>
            <w:vAlign w:val="center"/>
          </w:tcPr>
          <w:p w14:paraId="435333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270F97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根据实地调查得到的结果，对全场渗滤液导排系统的效能进行评估。</w:t>
            </w:r>
          </w:p>
        </w:tc>
      </w:tr>
      <w:tr w14:paraId="55436A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shd w:val="clear" w:color="auto" w:fill="FFFFFF" w:themeFill="background1"/>
            <w:vAlign w:val="center"/>
          </w:tcPr>
          <w:p w14:paraId="42C6D552">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六</w:t>
            </w:r>
          </w:p>
        </w:tc>
        <w:tc>
          <w:tcPr>
            <w:tcW w:w="5660" w:type="dxa"/>
            <w:gridSpan w:val="4"/>
            <w:shd w:val="clear" w:color="auto" w:fill="FFFFFF" w:themeFill="background1"/>
            <w:vAlign w:val="center"/>
          </w:tcPr>
          <w:p w14:paraId="09FF118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填埋气收集效能跟踪评估</w:t>
            </w:r>
          </w:p>
        </w:tc>
        <w:tc>
          <w:tcPr>
            <w:tcW w:w="1477" w:type="dxa"/>
            <w:shd w:val="clear" w:color="auto" w:fill="FFFFFF" w:themeFill="background1"/>
            <w:vAlign w:val="center"/>
          </w:tcPr>
          <w:p w14:paraId="6DD8D1E5">
            <w:pPr>
              <w:keepNext w:val="0"/>
              <w:keepLines w:val="0"/>
              <w:pageBreakBefore w:val="0"/>
              <w:kinsoku/>
              <w:wordWrap/>
              <w:overflowPunct/>
              <w:topLinePunct w:val="0"/>
              <w:autoSpaceDE/>
              <w:autoSpaceDN/>
              <w:bidi w:val="0"/>
              <w:adjustRightInd/>
              <w:snapToGrid/>
              <w:spacing w:line="320" w:lineRule="exact"/>
              <w:jc w:val="center"/>
              <w:textAlignment w:val="auto"/>
              <w:rPr>
                <w:rFonts w:hint="eastAsia" w:ascii="宋体" w:hAnsi="宋体" w:eastAsia="宋体" w:cs="宋体"/>
                <w:b/>
                <w:bCs/>
                <w:sz w:val="24"/>
                <w:szCs w:val="24"/>
                <w:vertAlign w:val="baseline"/>
              </w:rPr>
            </w:pPr>
            <w:r>
              <w:rPr>
                <w:rFonts w:hint="eastAsia" w:ascii="宋体" w:hAnsi="宋体" w:eastAsia="宋体" w:cs="宋体"/>
                <w:b/>
                <w:bCs/>
                <w:color w:val="000000"/>
                <w:sz w:val="24"/>
                <w:szCs w:val="24"/>
              </w:rPr>
              <w:t>58,560.00</w:t>
            </w:r>
          </w:p>
        </w:tc>
        <w:tc>
          <w:tcPr>
            <w:tcW w:w="6221" w:type="dxa"/>
            <w:shd w:val="clear" w:color="auto" w:fill="FFFFFF" w:themeFill="background1"/>
            <w:vAlign w:val="center"/>
          </w:tcPr>
          <w:p w14:paraId="0AF947B9">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r w14:paraId="3EAD76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CellMar>
            <w:top w:w="0" w:type="dxa"/>
            <w:left w:w="108" w:type="dxa"/>
            <w:bottom w:w="0" w:type="dxa"/>
            <w:right w:w="108" w:type="dxa"/>
          </w:tblCellMar>
        </w:tblPrEx>
        <w:tc>
          <w:tcPr>
            <w:tcW w:w="0" w:type="auto"/>
            <w:shd w:val="clear" w:color="auto" w:fill="FFFFFF" w:themeFill="background1"/>
            <w:vAlign w:val="center"/>
          </w:tcPr>
          <w:p w14:paraId="79128D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6.1</w:t>
            </w:r>
          </w:p>
        </w:tc>
        <w:tc>
          <w:tcPr>
            <w:tcW w:w="2773" w:type="dxa"/>
            <w:shd w:val="clear" w:color="auto" w:fill="FFFFFF" w:themeFill="background1"/>
            <w:vAlign w:val="center"/>
          </w:tcPr>
          <w:p w14:paraId="454C6249">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气体组分测试</w:t>
            </w:r>
          </w:p>
        </w:tc>
        <w:tc>
          <w:tcPr>
            <w:tcW w:w="883" w:type="dxa"/>
            <w:shd w:val="clear" w:color="auto" w:fill="FFFFFF" w:themeFill="background1"/>
            <w:vAlign w:val="center"/>
          </w:tcPr>
          <w:p w14:paraId="7E87758A">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组</w:t>
            </w:r>
          </w:p>
        </w:tc>
        <w:tc>
          <w:tcPr>
            <w:tcW w:w="832" w:type="dxa"/>
            <w:shd w:val="clear" w:color="auto" w:fill="FFFFFF" w:themeFill="background1"/>
            <w:vAlign w:val="center"/>
          </w:tcPr>
          <w:p w14:paraId="7C246700">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30</w:t>
            </w:r>
          </w:p>
        </w:tc>
        <w:tc>
          <w:tcPr>
            <w:tcW w:w="1172" w:type="dxa"/>
            <w:shd w:val="clear" w:color="auto" w:fill="FFFFFF" w:themeFill="background1"/>
            <w:vAlign w:val="center"/>
          </w:tcPr>
          <w:p w14:paraId="43411937">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2CC7F14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2E94D802">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利用沼气分析仪测试填埋气导排井和深层水平位移监测井内的填埋气气体组分，测试指标包括甲烷、二氧化碳、氧气、硫化氢。</w:t>
            </w:r>
          </w:p>
        </w:tc>
      </w:tr>
      <w:tr w14:paraId="123B2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7" w:hRule="atLeast"/>
        </w:trPr>
        <w:tc>
          <w:tcPr>
            <w:tcW w:w="0" w:type="auto"/>
            <w:shd w:val="clear" w:color="auto" w:fill="FFFFFF" w:themeFill="background1"/>
            <w:vAlign w:val="center"/>
          </w:tcPr>
          <w:p w14:paraId="06A62BDC">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6.2</w:t>
            </w:r>
          </w:p>
        </w:tc>
        <w:tc>
          <w:tcPr>
            <w:tcW w:w="2773" w:type="dxa"/>
            <w:shd w:val="clear" w:color="auto" w:fill="FFFFFF" w:themeFill="background1"/>
            <w:vAlign w:val="center"/>
          </w:tcPr>
          <w:p w14:paraId="617E700C">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现场调查与数据收集</w:t>
            </w:r>
          </w:p>
        </w:tc>
        <w:tc>
          <w:tcPr>
            <w:tcW w:w="883" w:type="dxa"/>
            <w:shd w:val="clear" w:color="auto" w:fill="FFFFFF" w:themeFill="background1"/>
            <w:vAlign w:val="center"/>
          </w:tcPr>
          <w:p w14:paraId="6070D953">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次</w:t>
            </w:r>
          </w:p>
        </w:tc>
        <w:tc>
          <w:tcPr>
            <w:tcW w:w="832" w:type="dxa"/>
            <w:shd w:val="clear" w:color="auto" w:fill="FFFFFF" w:themeFill="background1"/>
            <w:vAlign w:val="center"/>
          </w:tcPr>
          <w:p w14:paraId="157F0E78">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3</w:t>
            </w:r>
          </w:p>
        </w:tc>
        <w:tc>
          <w:tcPr>
            <w:tcW w:w="1172" w:type="dxa"/>
            <w:shd w:val="clear" w:color="auto" w:fill="FFFFFF" w:themeFill="background1"/>
            <w:vAlign w:val="center"/>
          </w:tcPr>
          <w:p w14:paraId="40C795FE">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708CC715">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75842C2D">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在填埋场实地调查目前的填埋气收集导排系统的效能，包括抽气竖井和水平井（总计约80口）的完整性、有效性及运行状态，同时收集发电厂的填埋气收集利用信息。频次为每季度1次，总共3次。</w:t>
            </w:r>
          </w:p>
        </w:tc>
      </w:tr>
      <w:tr w14:paraId="4261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54" w:hRule="atLeast"/>
        </w:trPr>
        <w:tc>
          <w:tcPr>
            <w:tcW w:w="0" w:type="auto"/>
            <w:shd w:val="clear" w:color="auto" w:fill="FFFFFF" w:themeFill="background1"/>
            <w:vAlign w:val="center"/>
          </w:tcPr>
          <w:p w14:paraId="0FE4127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6.3</w:t>
            </w:r>
          </w:p>
        </w:tc>
        <w:tc>
          <w:tcPr>
            <w:tcW w:w="2773" w:type="dxa"/>
            <w:shd w:val="clear" w:color="auto" w:fill="FFFFFF" w:themeFill="background1"/>
            <w:vAlign w:val="center"/>
          </w:tcPr>
          <w:p w14:paraId="322C5A72">
            <w:pPr>
              <w:keepNext w:val="0"/>
              <w:keepLines w:val="0"/>
              <w:pageBreakBefore w:val="0"/>
              <w:widowControl/>
              <w:kinsoku/>
              <w:wordWrap/>
              <w:overflowPunct/>
              <w:topLinePunct w:val="0"/>
              <w:autoSpaceDE/>
              <w:autoSpaceDN/>
              <w:bidi w:val="0"/>
              <w:adjustRightInd/>
              <w:snapToGrid/>
              <w:spacing w:line="320" w:lineRule="exact"/>
              <w:ind w:firstLine="0" w:firstLineChars="0"/>
              <w:jc w:val="both"/>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填埋气产量评估技术工作费</w:t>
            </w:r>
          </w:p>
        </w:tc>
        <w:tc>
          <w:tcPr>
            <w:tcW w:w="883" w:type="dxa"/>
            <w:shd w:val="clear" w:color="auto" w:fill="FFFFFF" w:themeFill="background1"/>
            <w:vAlign w:val="center"/>
          </w:tcPr>
          <w:p w14:paraId="16046039">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项</w:t>
            </w:r>
          </w:p>
        </w:tc>
        <w:tc>
          <w:tcPr>
            <w:tcW w:w="832" w:type="dxa"/>
            <w:shd w:val="clear" w:color="auto" w:fill="FFFFFF" w:themeFill="background1"/>
            <w:vAlign w:val="center"/>
          </w:tcPr>
          <w:p w14:paraId="46BC97D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sz w:val="24"/>
                <w:szCs w:val="24"/>
              </w:rPr>
              <w:t>1</w:t>
            </w:r>
          </w:p>
        </w:tc>
        <w:tc>
          <w:tcPr>
            <w:tcW w:w="1172" w:type="dxa"/>
            <w:shd w:val="clear" w:color="auto" w:fill="FFFFFF" w:themeFill="background1"/>
            <w:vAlign w:val="center"/>
          </w:tcPr>
          <w:p w14:paraId="3DC5F4F3">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1477" w:type="dxa"/>
            <w:shd w:val="clear" w:color="auto" w:fill="FFFFFF" w:themeFill="background1"/>
            <w:vAlign w:val="center"/>
          </w:tcPr>
          <w:p w14:paraId="36CF0EDF">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b/>
                <w:sz w:val="24"/>
                <w:szCs w:val="24"/>
                <w:vertAlign w:val="baseline"/>
              </w:rPr>
            </w:pPr>
          </w:p>
        </w:tc>
        <w:tc>
          <w:tcPr>
            <w:tcW w:w="6221" w:type="dxa"/>
            <w:shd w:val="clear" w:color="auto" w:fill="FFFFFF" w:themeFill="background1"/>
            <w:vAlign w:val="center"/>
          </w:tcPr>
          <w:p w14:paraId="6AC3B3D4">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利用现场测试及调查得到的数据，对填埋场堆体内填埋气组分进行分析，并评估填埋场填埋气收集效能，建模计算填埋气的产量，根据结果为业主提出后续填埋气的利用建议。</w:t>
            </w:r>
          </w:p>
        </w:tc>
      </w:tr>
      <w:tr w14:paraId="45DC6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6476" w:type="dxa"/>
            <w:gridSpan w:val="5"/>
            <w:shd w:val="clear" w:color="auto" w:fill="FFFFFF" w:themeFill="background1"/>
            <w:vAlign w:val="center"/>
          </w:tcPr>
          <w:p w14:paraId="01B0505E">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费用合计</w:t>
            </w:r>
          </w:p>
        </w:tc>
        <w:tc>
          <w:tcPr>
            <w:tcW w:w="1477" w:type="dxa"/>
            <w:shd w:val="clear" w:color="auto" w:fill="FFFFFF" w:themeFill="background1"/>
            <w:vAlign w:val="center"/>
          </w:tcPr>
          <w:p w14:paraId="360DA104">
            <w:pPr>
              <w:keepNext w:val="0"/>
              <w:keepLines w:val="0"/>
              <w:pageBreakBefore w:val="0"/>
              <w:widowControl/>
              <w:kinsoku/>
              <w:wordWrap/>
              <w:overflowPunct/>
              <w:topLinePunct w:val="0"/>
              <w:autoSpaceDE/>
              <w:autoSpaceDN/>
              <w:bidi w:val="0"/>
              <w:adjustRightInd/>
              <w:snapToGrid/>
              <w:spacing w:line="320" w:lineRule="exact"/>
              <w:ind w:firstLine="0" w:firstLineChars="0"/>
              <w:jc w:val="center"/>
              <w:textAlignment w:val="auto"/>
              <w:rPr>
                <w:rFonts w:hint="eastAsia" w:ascii="宋体" w:hAnsi="宋体" w:eastAsia="宋体" w:cs="宋体"/>
                <w:b/>
                <w:bCs/>
                <w:color w:val="000000"/>
                <w:kern w:val="2"/>
                <w:sz w:val="24"/>
                <w:szCs w:val="24"/>
                <w:lang w:val="en-US" w:eastAsia="zh-CN" w:bidi="ar-SA"/>
              </w:rPr>
            </w:pPr>
            <w:r>
              <w:rPr>
                <w:rFonts w:hint="eastAsia" w:ascii="宋体" w:hAnsi="宋体" w:eastAsia="宋体" w:cs="宋体"/>
                <w:b/>
                <w:bCs/>
                <w:color w:val="000000"/>
                <w:sz w:val="24"/>
                <w:szCs w:val="24"/>
              </w:rPr>
              <w:t>900,</w:t>
            </w:r>
            <w:r>
              <w:rPr>
                <w:rFonts w:hint="eastAsia" w:ascii="宋体" w:hAnsi="宋体" w:eastAsia="宋体" w:cs="宋体"/>
                <w:b/>
                <w:bCs/>
                <w:color w:val="000000"/>
                <w:sz w:val="24"/>
                <w:szCs w:val="24"/>
                <w:lang w:val="en-US" w:eastAsia="zh-CN"/>
              </w:rPr>
              <w:t>000</w:t>
            </w:r>
            <w:r>
              <w:rPr>
                <w:rFonts w:hint="eastAsia" w:ascii="宋体" w:hAnsi="宋体" w:eastAsia="宋体" w:cs="宋体"/>
                <w:b/>
                <w:bCs/>
                <w:color w:val="000000"/>
                <w:sz w:val="24"/>
                <w:szCs w:val="24"/>
              </w:rPr>
              <w:t>.</w:t>
            </w:r>
            <w:r>
              <w:rPr>
                <w:rFonts w:hint="eastAsia" w:ascii="宋体" w:hAnsi="宋体" w:eastAsia="宋体" w:cs="宋体"/>
                <w:b/>
                <w:bCs/>
                <w:color w:val="000000"/>
                <w:sz w:val="24"/>
                <w:szCs w:val="24"/>
                <w:lang w:val="en-US" w:eastAsia="zh-CN"/>
              </w:rPr>
              <w:t>00</w:t>
            </w:r>
          </w:p>
        </w:tc>
        <w:tc>
          <w:tcPr>
            <w:tcW w:w="6221" w:type="dxa"/>
            <w:shd w:val="clear" w:color="auto" w:fill="FFFFFF" w:themeFill="background1"/>
            <w:vAlign w:val="center"/>
          </w:tcPr>
          <w:p w14:paraId="7C9DE2DC">
            <w:pPr>
              <w:keepNext w:val="0"/>
              <w:keepLines w:val="0"/>
              <w:pageBreakBefore w:val="0"/>
              <w:kinsoku/>
              <w:wordWrap/>
              <w:overflowPunct/>
              <w:topLinePunct w:val="0"/>
              <w:autoSpaceDE/>
              <w:autoSpaceDN/>
              <w:bidi w:val="0"/>
              <w:adjustRightInd/>
              <w:snapToGrid/>
              <w:spacing w:line="320" w:lineRule="exact"/>
              <w:jc w:val="both"/>
              <w:textAlignment w:val="auto"/>
              <w:rPr>
                <w:rFonts w:hint="eastAsia" w:ascii="宋体" w:hAnsi="宋体" w:eastAsia="宋体" w:cs="宋体"/>
                <w:color w:val="000000"/>
                <w:sz w:val="24"/>
                <w:szCs w:val="24"/>
              </w:rPr>
            </w:pPr>
          </w:p>
        </w:tc>
      </w:tr>
    </w:tbl>
    <w:p w14:paraId="16AD4024">
      <w:pPr>
        <w:tabs>
          <w:tab w:val="left" w:pos="3285"/>
        </w:tabs>
        <w:spacing w:line="360" w:lineRule="auto"/>
        <w:rPr>
          <w:rFonts w:hint="eastAsia" w:ascii="宋体" w:hAnsi="宋体" w:eastAsia="宋体" w:cs="宋体"/>
          <w:sz w:val="28"/>
          <w:szCs w:val="28"/>
        </w:rPr>
      </w:pPr>
    </w:p>
    <w:p w14:paraId="12FD96D5">
      <w:pPr>
        <w:tabs>
          <w:tab w:val="left" w:pos="3285"/>
        </w:tabs>
        <w:spacing w:line="360" w:lineRule="auto"/>
        <w:rPr>
          <w:rFonts w:hint="eastAsia" w:ascii="宋体" w:hAnsi="宋体" w:eastAsia="宋体" w:cs="宋体"/>
          <w:sz w:val="28"/>
          <w:szCs w:val="28"/>
        </w:rPr>
      </w:pPr>
    </w:p>
    <w:p w14:paraId="527B6AF7">
      <w:pPr>
        <w:tabs>
          <w:tab w:val="left" w:pos="3285"/>
        </w:tabs>
        <w:spacing w:line="360" w:lineRule="auto"/>
        <w:rPr>
          <w:rFonts w:hint="eastAsia" w:ascii="宋体" w:hAnsi="宋体" w:eastAsia="宋体" w:cs="宋体"/>
          <w:b/>
          <w:bCs/>
          <w:sz w:val="28"/>
          <w:szCs w:val="28"/>
        </w:rPr>
      </w:pPr>
      <w:r>
        <w:rPr>
          <w:rFonts w:hint="eastAsia" w:ascii="宋体" w:hAnsi="宋体" w:eastAsia="宋体" w:cs="宋体"/>
          <w:b/>
          <w:bCs/>
          <w:sz w:val="28"/>
          <w:szCs w:val="28"/>
        </w:rPr>
        <w:t>注：</w:t>
      </w:r>
    </w:p>
    <w:p w14:paraId="6E9EEB2B">
      <w:pPr>
        <w:tabs>
          <w:tab w:val="left" w:pos="3285"/>
        </w:tabs>
        <w:spacing w:line="360" w:lineRule="auto"/>
        <w:rPr>
          <w:rFonts w:hint="eastAsia" w:ascii="宋体" w:hAnsi="宋体" w:eastAsia="宋体" w:cs="宋体"/>
          <w:b/>
          <w:bCs/>
          <w:sz w:val="28"/>
          <w:szCs w:val="28"/>
          <w:lang w:eastAsia="zh-CN"/>
        </w:rPr>
      </w:pPr>
      <w:r>
        <w:rPr>
          <w:rFonts w:hint="eastAsia" w:ascii="宋体" w:hAnsi="宋体" w:eastAsia="宋体" w:cs="宋体"/>
          <w:b/>
          <w:bCs/>
          <w:sz w:val="28"/>
          <w:szCs w:val="28"/>
        </w:rPr>
        <w:t>1、投标报价精确到小数点后两位</w:t>
      </w:r>
      <w:r>
        <w:rPr>
          <w:rFonts w:hint="eastAsia" w:ascii="宋体" w:hAnsi="宋体" w:cs="宋体"/>
          <w:b/>
          <w:bCs/>
          <w:sz w:val="28"/>
          <w:szCs w:val="28"/>
          <w:lang w:eastAsia="zh-CN"/>
        </w:rPr>
        <w:t>；</w:t>
      </w:r>
    </w:p>
    <w:p w14:paraId="7C206349">
      <w:pPr>
        <w:tabs>
          <w:tab w:val="left" w:pos="3285"/>
        </w:tabs>
        <w:spacing w:line="360" w:lineRule="auto"/>
        <w:rPr>
          <w:rFonts w:hint="eastAsia" w:ascii="宋体" w:hAnsi="宋体" w:eastAsia="宋体" w:cs="宋体"/>
          <w:b/>
          <w:bCs/>
          <w:sz w:val="28"/>
          <w:szCs w:val="28"/>
          <w:lang w:val="en-US" w:eastAsia="zh-CN"/>
        </w:rPr>
      </w:pPr>
      <w:r>
        <w:rPr>
          <w:rFonts w:hint="eastAsia" w:ascii="宋体" w:hAnsi="宋体" w:cs="宋体"/>
          <w:b/>
          <w:bCs/>
          <w:sz w:val="28"/>
          <w:szCs w:val="28"/>
          <w:lang w:val="en-US" w:eastAsia="zh-CN"/>
        </w:rPr>
        <w:t>2、投标报价均不得超过各分项控制价。</w:t>
      </w:r>
    </w:p>
    <w:p w14:paraId="582C5603">
      <w:pPr>
        <w:tabs>
          <w:tab w:val="left" w:pos="3285"/>
        </w:tabs>
        <w:spacing w:line="360" w:lineRule="auto"/>
        <w:rPr>
          <w:rFonts w:hint="eastAsia" w:ascii="宋体" w:hAnsi="宋体" w:eastAsia="宋体" w:cs="宋体"/>
          <w:sz w:val="28"/>
          <w:szCs w:val="28"/>
        </w:rPr>
      </w:pPr>
    </w:p>
    <w:p w14:paraId="26F8F3B8">
      <w:pPr>
        <w:tabs>
          <w:tab w:val="left" w:pos="3285"/>
        </w:tabs>
        <w:spacing w:line="360" w:lineRule="auto"/>
        <w:rPr>
          <w:rFonts w:hint="eastAsia" w:ascii="宋体" w:hAnsi="宋体" w:eastAsia="宋体" w:cs="宋体"/>
          <w:sz w:val="28"/>
          <w:szCs w:val="28"/>
        </w:rPr>
      </w:pPr>
      <w:bookmarkStart w:id="0" w:name="_GoBack"/>
      <w:bookmarkEnd w:id="0"/>
    </w:p>
    <w:p w14:paraId="3C63ECCF">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8"/>
          <w:szCs w:val="28"/>
          <w:highlight w:val="none"/>
          <w:lang w:val="en-US" w:eastAsia="zh-CN" w:bidi="ar"/>
        </w:rPr>
      </w:pPr>
      <w:r>
        <w:rPr>
          <w:rFonts w:hint="eastAsia" w:ascii="宋体" w:hAnsi="宋体" w:cs="宋体"/>
          <w:i w:val="0"/>
          <w:iCs w:val="0"/>
          <w:caps w:val="0"/>
          <w:snapToGrid w:val="0"/>
          <w:color w:val="000000"/>
          <w:spacing w:val="0"/>
          <w:kern w:val="0"/>
          <w:sz w:val="28"/>
          <w:szCs w:val="28"/>
          <w:highlight w:val="none"/>
          <w:lang w:val="en-US" w:eastAsia="zh-CN" w:bidi="ar"/>
        </w:rPr>
        <w:t>供应商</w:t>
      </w:r>
      <w:r>
        <w:rPr>
          <w:rFonts w:hint="eastAsia" w:ascii="宋体" w:hAnsi="宋体" w:eastAsia="宋体" w:cs="宋体"/>
          <w:i w:val="0"/>
          <w:iCs w:val="0"/>
          <w:caps w:val="0"/>
          <w:snapToGrid w:val="0"/>
          <w:color w:val="000000"/>
          <w:spacing w:val="0"/>
          <w:kern w:val="0"/>
          <w:sz w:val="28"/>
          <w:szCs w:val="28"/>
          <w:highlight w:val="none"/>
          <w:lang w:val="en-US" w:eastAsia="zh-CN" w:bidi="ar"/>
        </w:rPr>
        <w:t>（加盖公章）：</w:t>
      </w:r>
    </w:p>
    <w:p w14:paraId="3F0A3D9C">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rPr>
          <w:rFonts w:hint="eastAsia" w:ascii="宋体" w:hAnsi="宋体" w:eastAsia="宋体" w:cs="宋体"/>
          <w:i w:val="0"/>
          <w:iCs w:val="0"/>
          <w:caps w:val="0"/>
          <w:snapToGrid w:val="0"/>
          <w:color w:val="000000"/>
          <w:spacing w:val="0"/>
          <w:kern w:val="0"/>
          <w:sz w:val="28"/>
          <w:szCs w:val="28"/>
          <w:highlight w:val="none"/>
          <w:lang w:val="en-US" w:eastAsia="zh-CN" w:bidi="ar"/>
        </w:rPr>
      </w:pPr>
    </w:p>
    <w:p w14:paraId="7F813991">
      <w:pPr>
        <w:keepNext w:val="0"/>
        <w:keepLines w:val="0"/>
        <w:pageBreakBefore w:val="0"/>
        <w:widowControl/>
        <w:suppressLineNumbers w:val="0"/>
        <w:pBdr>
          <w:top w:val="none" w:color="auto" w:sz="0" w:space="0"/>
          <w:left w:val="none" w:color="auto" w:sz="0" w:space="0"/>
          <w:bottom w:val="none" w:color="auto" w:sz="0" w:space="0"/>
          <w:right w:val="none" w:color="auto" w:sz="0" w:space="0"/>
        </w:pBdr>
        <w:kinsoku w:val="0"/>
        <w:wordWrap/>
        <w:overflowPunct/>
        <w:topLinePunct w:val="0"/>
        <w:autoSpaceDE w:val="0"/>
        <w:autoSpaceDN w:val="0"/>
        <w:bidi w:val="0"/>
        <w:adjustRightInd w:val="0"/>
        <w:snapToGrid w:val="0"/>
        <w:spacing w:beforeAutospacing="0" w:afterAutospacing="0" w:line="360" w:lineRule="auto"/>
        <w:ind w:left="0" w:right="0" w:firstLine="0"/>
        <w:jc w:val="both"/>
        <w:textAlignment w:val="baseline"/>
      </w:pPr>
      <w:r>
        <w:rPr>
          <w:rFonts w:hint="eastAsia" w:ascii="宋体" w:hAnsi="宋体" w:eastAsia="宋体" w:cs="宋体"/>
          <w:i w:val="0"/>
          <w:iCs w:val="0"/>
          <w:caps w:val="0"/>
          <w:snapToGrid w:val="0"/>
          <w:color w:val="000000"/>
          <w:spacing w:val="0"/>
          <w:kern w:val="0"/>
          <w:sz w:val="28"/>
          <w:szCs w:val="28"/>
          <w:highlight w:val="none"/>
          <w:lang w:val="en-US" w:eastAsia="zh-CN" w:bidi="ar"/>
        </w:rPr>
        <w:t>日期：{日期}</w:t>
      </w:r>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81"/>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0857226"/>
    <w:rsid w:val="1C026D4F"/>
    <w:rsid w:val="1EC5130A"/>
    <w:rsid w:val="1F120F82"/>
    <w:rsid w:val="2AEE4FFE"/>
    <w:rsid w:val="2EBF4557"/>
    <w:rsid w:val="35672147"/>
    <w:rsid w:val="3C43403F"/>
    <w:rsid w:val="43212C92"/>
    <w:rsid w:val="47AF4D11"/>
    <w:rsid w:val="55D00E58"/>
    <w:rsid w:val="580C3AB9"/>
    <w:rsid w:val="6162474A"/>
    <w:rsid w:val="69586B5E"/>
    <w:rsid w:val="6AD71D05"/>
    <w:rsid w:val="6C7517D5"/>
    <w:rsid w:val="700D6D99"/>
    <w:rsid w:val="70857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rFonts w:ascii="Times New Roman"/>
      <w:kern w:val="2"/>
      <w:sz w:val="18"/>
      <w:szCs w:val="18"/>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Default"/>
    <w:autoRedefine/>
    <w:qFormat/>
    <w:uiPriority w:val="0"/>
    <w:pPr>
      <w:widowControl w:val="0"/>
      <w:autoSpaceDE w:val="0"/>
      <w:autoSpaceDN w:val="0"/>
      <w:adjustRightInd w:val="0"/>
    </w:pPr>
    <w:rPr>
      <w:rFonts w:ascii="宋体" w:hAnsi="宋体" w:eastAsia="宋体" w:cs="宋体"/>
      <w:color w:val="00000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1987</Words>
  <Characters>2296</Characters>
  <Lines>0</Lines>
  <Paragraphs>0</Paragraphs>
  <TotalTime>0</TotalTime>
  <ScaleCrop>false</ScaleCrop>
  <LinksUpToDate>false</LinksUpToDate>
  <CharactersWithSpaces>2304</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2026-04-30T07:24:00Z</dcterms:created>
  <dc:creator>关月</dc:creator>
  <cp:lastModifiedBy>关月</cp:lastModifiedBy>
  <dcterms:modified xsi:type="dcterms:W3CDTF">2026-05-06T03:01:57Z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BF29F5C9A3364137A23B9A1A9023C139_11</vt:lpwstr>
  </property>
  <property fmtid="{D5CDD505-2E9C-101B-9397-08002B2CF9AE}" pid="4" name="KSOTemplateDocerSaveRecord">
    <vt:lpwstr>eyJoZGlkIjoiZTVmYmM5ZTVmMGE4MTkyOGYwZWJhOGYyMmY1ZTQxZTIiLCJ1c2VySWQiOiIzNjE1OTQzMjYifQ==</vt:lpwstr>
  </property>
</Properties>
</file>