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C1046">
      <w:pPr>
        <w:jc w:val="center"/>
      </w:pPr>
      <w:r>
        <w:rPr>
          <w:rFonts w:ascii="仿宋_GB2312" w:hAnsi="仿宋_GB2312" w:eastAsia="仿宋_GB2312" w:cs="仿宋_GB2312"/>
          <w:b/>
          <w:sz w:val="36"/>
        </w:rPr>
        <w:t>拟签订采购合同文本</w:t>
      </w:r>
    </w:p>
    <w:p w14:paraId="0C02CEC5">
      <w:pPr>
        <w:adjustRightInd w:val="0"/>
        <w:snapToGrid w:val="0"/>
        <w:spacing w:line="360" w:lineRule="auto"/>
        <w:ind w:firstLine="304" w:firstLineChars="145"/>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rPr>
        <w:br w:type="textWrapping"/>
      </w:r>
    </w:p>
    <w:p w14:paraId="163E5DAD">
      <w:pPr>
        <w:adjustRightInd w:val="0"/>
        <w:snapToGrid w:val="0"/>
        <w:spacing w:line="360" w:lineRule="auto"/>
        <w:ind w:firstLine="406" w:firstLineChars="145"/>
        <w:rPr>
          <w:rFonts w:ascii="Times New Roman" w:hAnsi="Times New Roman" w:eastAsia="黑体"/>
          <w:sz w:val="28"/>
        </w:rPr>
      </w:pPr>
      <w:r>
        <w:rPr>
          <w:rFonts w:ascii="Times New Roman" w:hAnsi="Times New Roman" w:eastAsia="黑体"/>
          <w:sz w:val="28"/>
        </w:rPr>
        <w:t>合同编号：</w:t>
      </w:r>
    </w:p>
    <w:p w14:paraId="719C6CB1">
      <w:pPr>
        <w:adjustRightInd w:val="0"/>
        <w:snapToGrid w:val="0"/>
        <w:spacing w:line="360" w:lineRule="auto"/>
        <w:ind w:firstLine="198" w:firstLineChars="45"/>
        <w:rPr>
          <w:rFonts w:ascii="Times New Roman" w:hAnsi="Times New Roman"/>
          <w:sz w:val="44"/>
        </w:rPr>
      </w:pPr>
    </w:p>
    <w:p w14:paraId="1902C102">
      <w:pPr>
        <w:adjustRightInd w:val="0"/>
        <w:snapToGrid w:val="0"/>
        <w:spacing w:line="312" w:lineRule="auto"/>
        <w:jc w:val="center"/>
        <w:rPr>
          <w:rFonts w:ascii="Times New Roman" w:hAnsi="Times New Roman" w:eastAsia="黑体"/>
          <w:sz w:val="44"/>
        </w:rPr>
      </w:pPr>
    </w:p>
    <w:p w14:paraId="19B32333">
      <w:pPr>
        <w:adjustRightInd w:val="0"/>
        <w:snapToGrid w:val="0"/>
        <w:spacing w:line="312" w:lineRule="auto"/>
        <w:ind w:firstLine="418" w:firstLineChars="80"/>
        <w:jc w:val="center"/>
        <w:rPr>
          <w:rFonts w:ascii="Times New Roman" w:hAnsi="Times New Roman" w:eastAsia="黑体"/>
          <w:b/>
          <w:bCs/>
          <w:sz w:val="52"/>
        </w:rPr>
      </w:pPr>
      <w:r>
        <w:rPr>
          <w:rFonts w:ascii="Times New Roman" w:hAnsi="Times New Roman" w:eastAsia="黑体"/>
          <w:b/>
          <w:bCs/>
          <w:sz w:val="52"/>
        </w:rPr>
        <w:t>技术服务合同</w:t>
      </w:r>
      <w:r>
        <w:rPr>
          <w:rFonts w:hint="eastAsia" w:ascii="Times New Roman" w:hAnsi="Times New Roman" w:eastAsia="黑体"/>
          <w:b/>
          <w:bCs/>
          <w:sz w:val="52"/>
        </w:rPr>
        <w:t>主要条款</w:t>
      </w:r>
    </w:p>
    <w:p w14:paraId="085A1B38">
      <w:pPr>
        <w:adjustRightInd w:val="0"/>
        <w:snapToGrid w:val="0"/>
        <w:spacing w:line="312" w:lineRule="auto"/>
        <w:rPr>
          <w:rFonts w:ascii="Times New Roman" w:hAnsi="Times New Roman"/>
          <w:sz w:val="36"/>
        </w:rPr>
      </w:pPr>
    </w:p>
    <w:p w14:paraId="03D2F5F6">
      <w:pPr>
        <w:adjustRightInd w:val="0"/>
        <w:snapToGrid w:val="0"/>
        <w:spacing w:line="312" w:lineRule="auto"/>
        <w:rPr>
          <w:rFonts w:ascii="Times New Roman" w:hAnsi="Times New Roman"/>
          <w:sz w:val="36"/>
        </w:rPr>
      </w:pPr>
    </w:p>
    <w:p w14:paraId="4F327DD6">
      <w:pPr>
        <w:adjustRightInd w:val="0"/>
        <w:snapToGrid w:val="0"/>
        <w:spacing w:line="312" w:lineRule="auto"/>
        <w:rPr>
          <w:rFonts w:ascii="Times New Roman" w:hAnsi="Times New Roman" w:eastAsia="仿宋_GB2312"/>
          <w:sz w:val="36"/>
        </w:rPr>
      </w:pPr>
    </w:p>
    <w:p w14:paraId="5F125FAB">
      <w:pPr>
        <w:adjustRightInd w:val="0"/>
        <w:snapToGrid w:val="0"/>
        <w:spacing w:after="100" w:afterAutospacing="1" w:line="360" w:lineRule="auto"/>
        <w:ind w:left="134" w:leftChars="64" w:firstLine="321" w:firstLineChars="100"/>
        <w:rPr>
          <w:rFonts w:ascii="Times New Roman" w:hAnsi="Times New Roman" w:eastAsia="仿宋_GB2312"/>
          <w:b/>
          <w:bCs/>
          <w:sz w:val="32"/>
          <w:szCs w:val="32"/>
          <w:u w:val="single"/>
        </w:rPr>
      </w:pPr>
      <w:r>
        <w:rPr>
          <w:rFonts w:ascii="Times New Roman" w:hAnsi="Times New Roman" w:eastAsia="仿宋_GB2312"/>
          <w:b/>
          <w:bCs/>
          <w:sz w:val="32"/>
          <w:szCs w:val="32"/>
        </w:rPr>
        <w:t>项目名称：</w:t>
      </w:r>
      <w:r>
        <w:rPr>
          <w:rFonts w:ascii="Times New Roman" w:hAnsi="Times New Roman" w:eastAsia="仿宋_GB2312"/>
          <w:b/>
          <w:bCs/>
          <w:sz w:val="32"/>
          <w:szCs w:val="32"/>
          <w:u w:val="single"/>
        </w:rPr>
        <w:t xml:space="preserve"> </w:t>
      </w:r>
      <w:r>
        <w:rPr>
          <w:rFonts w:hint="eastAsia" w:eastAsia="仿宋_GB2312"/>
          <w:b/>
          <w:bCs/>
          <w:sz w:val="32"/>
          <w:szCs w:val="32"/>
          <w:u w:val="single"/>
          <w:lang w:eastAsia="zh-CN"/>
        </w:rPr>
        <w:t>2026年江村沟填埋场堆体安全监测服务</w:t>
      </w:r>
      <w:r>
        <w:rPr>
          <w:rFonts w:ascii="Times New Roman" w:hAnsi="Times New Roman" w:eastAsia="仿宋_GB2312"/>
          <w:b/>
          <w:bCs/>
          <w:sz w:val="32"/>
          <w:szCs w:val="32"/>
          <w:u w:val="single"/>
        </w:rPr>
        <w:t xml:space="preserve">  </w:t>
      </w:r>
    </w:p>
    <w:p w14:paraId="5EED16A9">
      <w:pPr>
        <w:adjustRightInd w:val="0"/>
        <w:snapToGrid w:val="0"/>
        <w:spacing w:after="100" w:afterAutospacing="1" w:line="360" w:lineRule="auto"/>
        <w:ind w:left="134" w:leftChars="64" w:firstLine="321" w:firstLineChars="100"/>
        <w:rPr>
          <w:rFonts w:ascii="Times New Roman" w:hAnsi="Times New Roman" w:eastAsia="仿宋_GB2312"/>
          <w:b/>
          <w:bCs/>
          <w:sz w:val="32"/>
          <w:szCs w:val="32"/>
          <w:u w:val="single"/>
        </w:rPr>
      </w:pPr>
      <w:r>
        <w:rPr>
          <w:rFonts w:ascii="Times New Roman" w:hAnsi="Times New Roman" w:eastAsia="仿宋_GB2312"/>
          <w:b/>
          <w:bCs/>
          <w:sz w:val="32"/>
          <w:szCs w:val="32"/>
        </w:rPr>
        <w:t>项目地点：</w:t>
      </w:r>
      <w:r>
        <w:rPr>
          <w:rFonts w:ascii="Times New Roman" w:hAnsi="Times New Roman" w:eastAsia="仿宋_GB2312"/>
          <w:b/>
          <w:bCs/>
          <w:sz w:val="32"/>
          <w:szCs w:val="32"/>
          <w:u w:val="single"/>
        </w:rPr>
        <w:t xml:space="preserve">     </w:t>
      </w:r>
      <w:r>
        <w:rPr>
          <w:rFonts w:hint="eastAsia" w:ascii="Times New Roman" w:hAnsi="Times New Roman" w:eastAsia="仿宋_GB2312"/>
          <w:b/>
          <w:bCs/>
          <w:sz w:val="32"/>
          <w:szCs w:val="32"/>
          <w:u w:val="single"/>
        </w:rPr>
        <w:t>西安市江村沟垃圾填埋场</w:t>
      </w:r>
      <w:r>
        <w:rPr>
          <w:rFonts w:ascii="Times New Roman" w:hAnsi="Times New Roman" w:eastAsia="仿宋_GB2312"/>
          <w:b/>
          <w:bCs/>
          <w:sz w:val="32"/>
          <w:szCs w:val="32"/>
          <w:u w:val="single"/>
        </w:rPr>
        <w:t xml:space="preserve">           </w:t>
      </w:r>
    </w:p>
    <w:p w14:paraId="488B2EAE">
      <w:pPr>
        <w:adjustRightInd w:val="0"/>
        <w:snapToGrid w:val="0"/>
        <w:spacing w:after="100" w:afterAutospacing="1" w:line="360" w:lineRule="auto"/>
        <w:ind w:left="134" w:leftChars="64" w:firstLine="321" w:firstLineChars="100"/>
        <w:rPr>
          <w:rFonts w:ascii="Times New Roman" w:hAnsi="Times New Roman" w:eastAsia="仿宋_GB2312"/>
          <w:b/>
          <w:bCs/>
          <w:sz w:val="32"/>
          <w:szCs w:val="32"/>
        </w:rPr>
      </w:pPr>
      <w:r>
        <w:rPr>
          <w:rFonts w:ascii="Times New Roman" w:hAnsi="Times New Roman" w:eastAsia="仿宋_GB2312"/>
          <w:b/>
          <w:bCs/>
          <w:sz w:val="32"/>
          <w:szCs w:val="32"/>
        </w:rPr>
        <w:t>委托方（甲方）：</w:t>
      </w:r>
      <w:r>
        <w:rPr>
          <w:rFonts w:hint="eastAsia" w:ascii="Times New Roman" w:hAnsi="Times New Roman" w:eastAsia="仿宋_GB2312"/>
          <w:b/>
          <w:bCs/>
          <w:sz w:val="32"/>
          <w:szCs w:val="32"/>
          <w:u w:val="single"/>
        </w:rPr>
        <w:t xml:space="preserve"> </w:t>
      </w:r>
      <w:r>
        <w:rPr>
          <w:rFonts w:ascii="Times New Roman" w:hAnsi="Times New Roman" w:eastAsia="仿宋_GB2312"/>
          <w:b/>
          <w:bCs/>
          <w:sz w:val="32"/>
          <w:szCs w:val="32"/>
          <w:u w:val="single"/>
        </w:rPr>
        <w:t xml:space="preserve">  </w:t>
      </w:r>
      <w:r>
        <w:rPr>
          <w:rFonts w:hint="eastAsia" w:ascii="Times New Roman" w:hAnsi="Times New Roman" w:eastAsia="仿宋_GB2312"/>
          <w:b/>
          <w:bCs/>
          <w:sz w:val="32"/>
          <w:szCs w:val="32"/>
          <w:u w:val="single"/>
        </w:rPr>
        <w:t>西安市固体废弃物处置中心</w:t>
      </w:r>
      <w:r>
        <w:rPr>
          <w:rFonts w:ascii="Times New Roman" w:hAnsi="Times New Roman" w:eastAsia="仿宋_GB2312"/>
          <w:b/>
          <w:bCs/>
          <w:sz w:val="32"/>
          <w:szCs w:val="32"/>
          <w:u w:val="single"/>
        </w:rPr>
        <w:t xml:space="preserve">    </w:t>
      </w:r>
    </w:p>
    <w:p w14:paraId="1E8AA886">
      <w:pPr>
        <w:adjustRightInd w:val="0"/>
        <w:snapToGrid w:val="0"/>
        <w:spacing w:after="100" w:afterAutospacing="1" w:line="360" w:lineRule="auto"/>
        <w:ind w:left="134" w:leftChars="64" w:firstLine="321" w:firstLineChars="100"/>
        <w:rPr>
          <w:rFonts w:ascii="Times New Roman" w:hAnsi="Times New Roman" w:eastAsia="仿宋_GB2312"/>
          <w:b/>
          <w:bCs/>
          <w:sz w:val="32"/>
          <w:szCs w:val="32"/>
        </w:rPr>
      </w:pPr>
      <w:r>
        <w:rPr>
          <w:rFonts w:ascii="Times New Roman" w:hAnsi="Times New Roman" w:eastAsia="仿宋_GB2312"/>
          <w:b/>
          <w:bCs/>
          <w:sz w:val="32"/>
          <w:szCs w:val="32"/>
        </w:rPr>
        <w:t>受托方（乙方）：</w:t>
      </w:r>
      <w:r>
        <w:rPr>
          <w:rFonts w:hint="eastAsia" w:ascii="Times New Roman" w:hAnsi="Times New Roman" w:eastAsia="仿宋_GB2312"/>
          <w:b/>
          <w:bCs/>
          <w:sz w:val="32"/>
          <w:szCs w:val="32"/>
          <w:u w:val="single"/>
        </w:rPr>
        <w:t xml:space="preserve"> </w:t>
      </w:r>
      <w:r>
        <w:rPr>
          <w:rFonts w:ascii="Times New Roman" w:hAnsi="Times New Roman" w:eastAsia="仿宋_GB2312"/>
          <w:b/>
          <w:bCs/>
          <w:sz w:val="32"/>
          <w:szCs w:val="32"/>
          <w:u w:val="single"/>
        </w:rPr>
        <w:t xml:space="preserve">                              </w:t>
      </w:r>
    </w:p>
    <w:p w14:paraId="486FD1F4">
      <w:pPr>
        <w:adjustRightInd w:val="0"/>
        <w:snapToGrid w:val="0"/>
        <w:spacing w:after="100" w:afterAutospacing="1" w:line="360" w:lineRule="auto"/>
        <w:ind w:left="134" w:leftChars="64" w:firstLine="321" w:firstLineChars="100"/>
        <w:rPr>
          <w:rFonts w:ascii="Times New Roman" w:hAnsi="Times New Roman"/>
          <w:b/>
          <w:bCs/>
          <w:sz w:val="32"/>
          <w:szCs w:val="32"/>
        </w:rPr>
      </w:pPr>
      <w:r>
        <w:rPr>
          <w:rFonts w:ascii="Times New Roman" w:hAnsi="Times New Roman" w:eastAsia="仿宋_GB2312"/>
          <w:b/>
          <w:bCs/>
          <w:sz w:val="32"/>
          <w:szCs w:val="32"/>
        </w:rPr>
        <w:t>签订地点：</w:t>
      </w:r>
      <w:r>
        <w:rPr>
          <w:rFonts w:ascii="Times New Roman" w:hAnsi="Times New Roman" w:eastAsia="仿宋_GB2312"/>
          <w:b/>
          <w:bCs/>
          <w:sz w:val="32"/>
          <w:szCs w:val="32"/>
          <w:u w:val="single"/>
        </w:rPr>
        <w:t xml:space="preserve">                                      </w:t>
      </w:r>
    </w:p>
    <w:p w14:paraId="04D65D1A">
      <w:pPr>
        <w:adjustRightInd w:val="0"/>
        <w:snapToGrid w:val="0"/>
        <w:spacing w:line="312" w:lineRule="auto"/>
        <w:rPr>
          <w:rFonts w:ascii="Times New Roman" w:hAnsi="Times New Roman"/>
          <w:b/>
          <w:bCs/>
          <w:sz w:val="36"/>
        </w:rPr>
      </w:pPr>
    </w:p>
    <w:p w14:paraId="2EBE71A8">
      <w:pPr>
        <w:adjustRightInd w:val="0"/>
        <w:snapToGrid w:val="0"/>
        <w:spacing w:line="312" w:lineRule="auto"/>
        <w:rPr>
          <w:rFonts w:ascii="Times New Roman" w:hAnsi="Times New Roman"/>
          <w:b/>
          <w:bCs/>
          <w:sz w:val="36"/>
        </w:rPr>
      </w:pPr>
    </w:p>
    <w:p w14:paraId="38718836">
      <w:pPr>
        <w:adjustRightInd w:val="0"/>
        <w:snapToGrid w:val="0"/>
        <w:spacing w:before="405" w:beforeLines="130" w:line="288" w:lineRule="auto"/>
        <w:ind w:firstLine="405" w:firstLineChars="112"/>
        <w:jc w:val="center"/>
        <w:rPr>
          <w:rFonts w:ascii="Times New Roman" w:hAnsi="Times New Roman" w:eastAsia="黑体"/>
          <w:b/>
          <w:bCs/>
          <w:sz w:val="36"/>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025ABABC">
      <w:pPr>
        <w:pStyle w:val="2"/>
        <w:spacing w:line="324" w:lineRule="auto"/>
        <w:rPr>
          <w:rFonts w:hint="eastAsia" w:ascii="宋体" w:hAnsi="宋体" w:eastAsia="宋体" w:cs="宋体"/>
          <w:sz w:val="24"/>
          <w:szCs w:val="24"/>
        </w:rPr>
      </w:pPr>
      <w:r>
        <w:rPr>
          <w:rFonts w:hint="eastAsia" w:ascii="宋体" w:hAnsi="宋体" w:eastAsia="宋体" w:cs="宋体"/>
          <w:sz w:val="24"/>
          <w:szCs w:val="24"/>
        </w:rPr>
        <w:t>委托方（甲方）：</w:t>
      </w:r>
      <w:r>
        <w:rPr>
          <w:rFonts w:hint="eastAsia" w:ascii="宋体" w:hAnsi="宋体" w:eastAsia="宋体" w:cs="宋体"/>
          <w:sz w:val="24"/>
          <w:szCs w:val="24"/>
          <w:u w:val="single"/>
        </w:rPr>
        <w:t xml:space="preserve">   西安市固体废弃物处置中心    </w:t>
      </w:r>
    </w:p>
    <w:p w14:paraId="1F3691FE">
      <w:pPr>
        <w:pStyle w:val="2"/>
        <w:spacing w:line="336" w:lineRule="auto"/>
        <w:rPr>
          <w:rFonts w:hint="eastAsia" w:ascii="宋体" w:hAnsi="宋体" w:eastAsia="宋体" w:cs="宋体"/>
          <w:sz w:val="24"/>
          <w:szCs w:val="24"/>
        </w:rPr>
      </w:pPr>
      <w:r>
        <w:rPr>
          <w:rFonts w:hint="eastAsia" w:ascii="宋体" w:hAnsi="宋体" w:eastAsia="宋体" w:cs="宋体"/>
          <w:sz w:val="24"/>
          <w:szCs w:val="24"/>
        </w:rPr>
        <w:t>受托方（乙方）：</w:t>
      </w:r>
      <w:r>
        <w:rPr>
          <w:rFonts w:hint="eastAsia" w:ascii="宋体" w:hAnsi="宋体" w:eastAsia="宋体" w:cs="宋体"/>
          <w:sz w:val="24"/>
          <w:szCs w:val="24"/>
          <w:u w:val="single"/>
        </w:rPr>
        <w:t xml:space="preserve">                               </w:t>
      </w:r>
    </w:p>
    <w:p w14:paraId="03D9C63F">
      <w:pPr>
        <w:pStyle w:val="2"/>
        <w:spacing w:line="324" w:lineRule="auto"/>
        <w:rPr>
          <w:rFonts w:hint="eastAsia" w:ascii="宋体" w:hAnsi="宋体" w:eastAsia="宋体" w:cs="宋体"/>
          <w:sz w:val="24"/>
          <w:szCs w:val="24"/>
          <w:u w:val="single"/>
        </w:rPr>
      </w:pPr>
      <w:r>
        <w:rPr>
          <w:rFonts w:hint="eastAsia" w:ascii="宋体" w:hAnsi="宋体" w:eastAsia="宋体" w:cs="宋体"/>
          <w:sz w:val="24"/>
          <w:szCs w:val="24"/>
        </w:rPr>
        <w:t>本合同甲方委托乙方就</w:t>
      </w:r>
      <w:r>
        <w:rPr>
          <w:rFonts w:hint="eastAsia" w:cs="宋体"/>
          <w:sz w:val="24"/>
          <w:szCs w:val="24"/>
          <w:u w:val="single"/>
          <w:lang w:eastAsia="zh-CN"/>
        </w:rPr>
        <w:t>2026年江村沟填埋场堆体安全监测服务</w:t>
      </w:r>
      <w:r>
        <w:rPr>
          <w:rFonts w:hint="eastAsia" w:ascii="宋体" w:hAnsi="宋体" w:eastAsia="宋体" w:cs="宋体"/>
          <w:sz w:val="24"/>
          <w:szCs w:val="24"/>
        </w:rPr>
        <w:t>项目提供技术服务工作，并支付相应的技术服务报酬，双方经过平等协商，在真实、充分地表达各自意愿的基础上，根据《中华人民共和国民法典》和国家有关规定的规定，达成如下协议，并由双方共同恪守。</w:t>
      </w:r>
    </w:p>
    <w:p w14:paraId="5497241F">
      <w:pPr>
        <w:pStyle w:val="2"/>
        <w:numPr>
          <w:ilvl w:val="0"/>
          <w:numId w:val="1"/>
        </w:numPr>
        <w:spacing w:line="324" w:lineRule="auto"/>
        <w:ind w:left="0" w:firstLine="562"/>
        <w:rPr>
          <w:rFonts w:hint="eastAsia" w:ascii="宋体" w:hAnsi="宋体" w:eastAsia="宋体" w:cs="宋体"/>
          <w:b/>
          <w:sz w:val="24"/>
          <w:szCs w:val="24"/>
        </w:rPr>
      </w:pPr>
      <w:r>
        <w:rPr>
          <w:rFonts w:hint="eastAsia" w:ascii="宋体" w:hAnsi="宋体" w:eastAsia="宋体" w:cs="宋体"/>
          <w:b/>
          <w:sz w:val="24"/>
          <w:szCs w:val="24"/>
        </w:rPr>
        <w:t>乙方进行技术服务的内容、要求和方式：</w:t>
      </w:r>
    </w:p>
    <w:p w14:paraId="5659EFB2">
      <w:pPr>
        <w:adjustRightInd w:val="0"/>
        <w:snapToGrid w:val="0"/>
        <w:spacing w:line="32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1.技术服务内容：</w:t>
      </w:r>
    </w:p>
    <w:p w14:paraId="30BBAB47">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（1）堆体安全监测及稳定性评估</w:t>
      </w:r>
    </w:p>
    <w:p w14:paraId="3F70B251">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为满足《生活垃圾卫生填埋处理岩土工程技术标准》GB/T51451-2025要求及安全监测需要，需新建表面变形点位8处、孔压监测井6口、气压监测井3口。监测内容包括但不限于堆体表面水平位移与沉降监测、深层水平位移监测、滞水位监测、主水位监测和气压监测。堆体安全监测周期为8个月。开展监测工作后，通过表面位移和沉降监测获得堆体滑移影响的范围，并通过水位测试判断可能引起滑移的原因，每月形成监测报告提交甲方，包括监测结果分析和堆体稳定评估，本项目监测结束后提交监测年报。当堆体稳定情况恶化时，需要及时预警，并提出有效的堆体安全控制建议及填埋场安全问题技术咨询等。</w:t>
      </w:r>
    </w:p>
    <w:p w14:paraId="3898C263">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（2）垃圾坝及场界边坡安全监测及评估</w:t>
      </w:r>
    </w:p>
    <w:p w14:paraId="1C2019E4">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为满足相关标准要求及安全监测需要，需在上下垃圾坝新建监测井3口。监测内容包括坝体表面水平位移与沉降监测、深层水平位移监测和滞水位监测。</w:t>
      </w:r>
    </w:p>
    <w:p w14:paraId="39274C1F">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开展监测工作后，通过坝体的表面变形和深层水平位移情况及水位变化判断上下游垃圾坝的安全稳定性，每月形成监测报告提交甲方，包括监测结果分析和堆体稳定评估。当坝体安全稳定情况恶化时，需要及时预警并提供技术咨询。</w:t>
      </w:r>
    </w:p>
    <w:p w14:paraId="73825F80">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（3）取样分析及降解稳定化动态评估</w:t>
      </w:r>
    </w:p>
    <w:p w14:paraId="12ACEE73">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在本项目新钻井的过程中做好垃圾样的取样工作，并在全场范围内进行渗滤液样品的取样。对垃圾样品和渗滤液样品进行分析测试，针对堆体降解稳定化情况对堆体降解潜力做出预测。</w:t>
      </w:r>
    </w:p>
    <w:p w14:paraId="555C8FCB">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（4）渗滤液积存量动态评估</w:t>
      </w:r>
    </w:p>
    <w:p w14:paraId="09224728">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根据全场主滞水位的监测结果，按季度对全场渗滤液的积存量进行动态评估。</w:t>
      </w:r>
    </w:p>
    <w:p w14:paraId="32484A1D">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（5）渗滤液导排系统效能跟踪评估</w:t>
      </w:r>
    </w:p>
    <w:p w14:paraId="641F7029">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对全场的渗滤液导排收集系统进行实地勘察与信息资料收集，评估渗滤液抽排系统是否完整、抽排能力强弱等，同时统计每口井的具体信息和实际状态，以此评估渗滤液导排系统的实际效能。此项工作每按季度开展一次。</w:t>
      </w:r>
    </w:p>
    <w:p w14:paraId="24FE71EF">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（6）填埋气收集效能跟踪评估</w:t>
      </w:r>
    </w:p>
    <w:p w14:paraId="37E2052B">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全场填埋气抽排竖井或监测井内开展填埋气组分的测试工作。同时对全场的填埋气收集系统有效性进行调查，根据调查结果及相关资料对全场填埋气的产量进行分析评估，并对后续的填埋气收集利用提出建议。此项工作每按季度开展一次。</w:t>
      </w:r>
    </w:p>
    <w:p w14:paraId="5B401E51">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bCs/>
          <w:sz w:val="24"/>
          <w:szCs w:val="24"/>
        </w:rPr>
        <w:t>2.监测工作量：</w:t>
      </w:r>
      <w:r>
        <w:rPr>
          <w:rFonts w:hint="eastAsia" w:ascii="宋体" w:hAnsi="宋体" w:eastAsia="宋体" w:cs="宋体"/>
          <w:sz w:val="24"/>
          <w:szCs w:val="24"/>
          <w:u w:val="single"/>
        </w:rPr>
        <w:t>按</w:t>
      </w:r>
      <w:r>
        <w:rPr>
          <w:rFonts w:hint="eastAsia" w:ascii="宋体" w:hAnsi="宋体" w:eastAsia="宋体" w:cs="宋体"/>
          <w:sz w:val="24"/>
          <w:szCs w:val="24"/>
          <w:u w:val="single"/>
          <w:lang w:val="en-US" w:eastAsia="zh-CN"/>
        </w:rPr>
        <w:t>附</w:t>
      </w:r>
      <w:r>
        <w:rPr>
          <w:rFonts w:hint="eastAsia" w:ascii="宋体" w:hAnsi="宋体" w:eastAsia="宋体" w:cs="宋体"/>
          <w:sz w:val="24"/>
          <w:szCs w:val="24"/>
          <w:u w:val="single"/>
        </w:rPr>
        <w:t>表执行</w:t>
      </w:r>
    </w:p>
    <w:p w14:paraId="66AD1012">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3.服务要求:</w:t>
      </w:r>
    </w:p>
    <w:p w14:paraId="2E0B5819">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lang w:val="en-US" w:eastAsia="zh-Hans"/>
        </w:rPr>
        <w:t>（1）人员和设备要求：</w:t>
      </w:r>
      <w:r>
        <w:rPr>
          <w:rFonts w:hint="eastAsia" w:ascii="宋体" w:hAnsi="宋体" w:cs="宋体"/>
          <w:sz w:val="24"/>
          <w:szCs w:val="24"/>
          <w:u w:val="single"/>
          <w:lang w:val="en-US" w:eastAsia="zh-CN"/>
        </w:rPr>
        <w:t>①人员要求：</w:t>
      </w:r>
      <w:r>
        <w:rPr>
          <w:rFonts w:hint="eastAsia" w:ascii="宋体" w:hAnsi="宋体" w:eastAsia="宋体" w:cs="宋体"/>
          <w:sz w:val="24"/>
          <w:szCs w:val="24"/>
          <w:u w:val="single"/>
          <w:lang w:val="en-US" w:eastAsia="zh-Hans"/>
        </w:rPr>
        <w:t>现场配备技术负责人一名，</w:t>
      </w:r>
      <w:r>
        <w:rPr>
          <w:rFonts w:hint="eastAsia" w:ascii="宋体" w:hAnsi="宋体" w:eastAsia="宋体" w:cs="宋体"/>
          <w:sz w:val="24"/>
          <w:szCs w:val="24"/>
          <w:u w:val="single"/>
          <w:lang w:val="en-US" w:eastAsia="zh-CN"/>
        </w:rPr>
        <w:t>需具备</w:t>
      </w:r>
      <w:r>
        <w:rPr>
          <w:rFonts w:hint="eastAsia" w:ascii="宋体" w:hAnsi="宋体" w:eastAsia="宋体" w:cs="宋体"/>
          <w:sz w:val="24"/>
          <w:szCs w:val="24"/>
          <w:u w:val="single"/>
          <w:lang w:val="en-US" w:eastAsia="zh-Hans"/>
        </w:rPr>
        <w:t>注册土木工程师（岩土）或相关专业</w:t>
      </w:r>
      <w:r>
        <w:rPr>
          <w:rFonts w:hint="eastAsia" w:ascii="宋体" w:hAnsi="宋体" w:eastAsia="宋体" w:cs="宋体"/>
          <w:sz w:val="24"/>
          <w:szCs w:val="24"/>
          <w:u w:val="single"/>
          <w:lang w:val="en-US" w:eastAsia="zh-CN"/>
        </w:rPr>
        <w:t>高</w:t>
      </w:r>
      <w:r>
        <w:rPr>
          <w:rFonts w:hint="eastAsia" w:ascii="宋体" w:hAnsi="宋体" w:eastAsia="宋体" w:cs="宋体"/>
          <w:sz w:val="24"/>
          <w:szCs w:val="24"/>
          <w:u w:val="single"/>
          <w:lang w:val="en-US" w:eastAsia="zh-Hans"/>
        </w:rPr>
        <w:t>级技术职称</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lang w:val="en-US" w:eastAsia="zh-Hans"/>
        </w:rPr>
        <w:t>监测技术团队不少于2名专业技术人员和必要的辅助人员。乙方在本项目派驻的技术人员应当具备法律规定、行业规定的相关资质并对其工作期间的行为负责。若乙方指派人员在工作中因故意或过失给甲方造成损失的，由乙方承担全部法律责任。</w:t>
      </w:r>
      <w:r>
        <w:rPr>
          <w:rFonts w:hint="eastAsia" w:ascii="宋体" w:hAnsi="宋体" w:cs="宋体"/>
          <w:sz w:val="24"/>
          <w:szCs w:val="24"/>
          <w:u w:val="single"/>
          <w:lang w:val="en-US" w:eastAsia="zh-CN"/>
        </w:rPr>
        <w:t>②</w:t>
      </w:r>
      <w:r>
        <w:rPr>
          <w:rFonts w:hint="eastAsia" w:ascii="宋体" w:hAnsi="宋体" w:eastAsia="宋体" w:cs="宋体"/>
          <w:sz w:val="24"/>
          <w:szCs w:val="24"/>
          <w:u w:val="single"/>
          <w:lang w:val="en-US" w:eastAsia="zh-Hans"/>
        </w:rPr>
        <w:t>设备要求：需配备必要的专用监测设备和仪器，保证服务期内工作正常开展。</w:t>
      </w:r>
    </w:p>
    <w:p w14:paraId="053E8217">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（2）监测结果反馈要求：按月提交监测报告，包括监测结果分析和堆体稳定评估，出现异常情况必须第一时间向甲方反馈并提出预警，24小时内相关技术人员到达现场，提出整改方案。</w:t>
      </w:r>
    </w:p>
    <w:p w14:paraId="42E40B49">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（3）技术服务要求：</w:t>
      </w:r>
    </w:p>
    <w:p w14:paraId="73A6FC9D">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①委托方进场后，应根据现场实际，编制详尽的监测和评估方案，内容包括但不限于现场概况、各区域监测频次、监测办法、取样点位、测试内容等，且监测工作量不少于合同附表约定。</w:t>
      </w:r>
    </w:p>
    <w:p w14:paraId="3D0B5DF2">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②发现稳定异常后应及时根据需要增加布点、加密监测频次，及时向甲方进行汇报并提交整治建议方案，并对方案的实施全程提供技术支持，服务期内将所有整治措施的效能列入监测范围，根据实际情况提出整改建议，同时向甲方提供必要的技术培训。若加密监测涉及增设点位的，相关费用双方另行协商。</w:t>
      </w:r>
    </w:p>
    <w:p w14:paraId="7413A41E">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（4）配合工作要求：</w:t>
      </w:r>
    </w:p>
    <w:p w14:paraId="39C77839">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①监测工作完成后需向甲方提供全部监测数据及相关点位初始值，并配合做好与后续监测单位的交接工作。</w:t>
      </w:r>
    </w:p>
    <w:p w14:paraId="650B002C">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②配合甲方完成填埋场的其他相关的技术工作。</w:t>
      </w:r>
    </w:p>
    <w:p w14:paraId="7A0278CF">
      <w:pPr>
        <w:adjustRightInd w:val="0"/>
        <w:snapToGrid w:val="0"/>
        <w:spacing w:line="32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第二条　</w:t>
      </w:r>
      <w:r>
        <w:rPr>
          <w:rFonts w:hint="eastAsia" w:ascii="宋体" w:hAnsi="宋体" w:eastAsia="宋体" w:cs="宋体"/>
          <w:b/>
          <w:sz w:val="24"/>
          <w:szCs w:val="24"/>
        </w:rPr>
        <w:t>履行期限、方式和成果资料：</w:t>
      </w:r>
    </w:p>
    <w:p w14:paraId="28210BE1">
      <w:pPr>
        <w:adjustRightInd w:val="0"/>
        <w:snapToGrid w:val="0"/>
        <w:spacing w:line="324"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1.项目履行期限：2026年5月  日至2026年12月15日（且乙方保证约定工作量完成）。</w:t>
      </w:r>
    </w:p>
    <w:p w14:paraId="793530BC">
      <w:pPr>
        <w:adjustRightInd w:val="0"/>
        <w:snapToGrid w:val="0"/>
        <w:spacing w:line="32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2.本合同的履行方式：</w:t>
      </w:r>
    </w:p>
    <w:p w14:paraId="02B9AF88">
      <w:pPr>
        <w:adjustRightInd w:val="0"/>
        <w:snapToGrid w:val="0"/>
        <w:spacing w:line="32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由技术支持团队对现场的问题提供技术咨询服务；</w:t>
      </w:r>
    </w:p>
    <w:p w14:paraId="33AD1E7B">
      <w:pPr>
        <w:adjustRightInd w:val="0"/>
        <w:snapToGrid w:val="0"/>
        <w:spacing w:line="32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w:t>
      </w:r>
      <w:r>
        <w:rPr>
          <w:rFonts w:hint="eastAsia" w:ascii="宋体" w:hAnsi="宋体" w:eastAsia="宋体" w:cs="宋体"/>
          <w:sz w:val="24"/>
          <w:szCs w:val="24"/>
          <w:u w:val="single"/>
        </w:rPr>
        <w:t>根据现场监测数据、理论分析计算结果编制评估报告。</w:t>
      </w:r>
    </w:p>
    <w:p w14:paraId="42489265">
      <w:pPr>
        <w:adjustRightInd w:val="0"/>
        <w:snapToGrid w:val="0"/>
        <w:spacing w:line="32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本项目的成果资料：乙方向甲方提交评估报告一式四份（包括月报及项目总结报告），并提供电子版一份。乙方提交的评估报告不能满足合同约定要求的，乙方应负责限期内修改、完善直至达到合同约定要求；</w:t>
      </w:r>
    </w:p>
    <w:p w14:paraId="0EB565B2">
      <w:pPr>
        <w:adjustRightInd w:val="0"/>
        <w:snapToGrid w:val="0"/>
        <w:spacing w:line="32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第三条　</w:t>
      </w:r>
      <w:r>
        <w:rPr>
          <w:rFonts w:hint="eastAsia" w:ascii="宋体" w:hAnsi="宋体" w:eastAsia="宋体" w:cs="宋体"/>
          <w:b/>
          <w:sz w:val="24"/>
          <w:szCs w:val="24"/>
        </w:rPr>
        <w:t>甲方向乙方支付技术服务报酬及支付方式为：</w:t>
      </w:r>
    </w:p>
    <w:p w14:paraId="61C8552B">
      <w:pPr>
        <w:adjustRightInd w:val="0"/>
        <w:snapToGrid w:val="0"/>
        <w:spacing w:line="32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１.本合同总</w:t>
      </w:r>
      <w:r>
        <w:rPr>
          <w:rFonts w:hint="eastAsia" w:ascii="宋体" w:hAnsi="宋体" w:cs="宋体"/>
          <w:sz w:val="24"/>
          <w:szCs w:val="24"/>
          <w:lang w:val="en-US" w:eastAsia="zh-CN"/>
        </w:rPr>
        <w:t>金</w:t>
      </w:r>
      <w:r>
        <w:rPr>
          <w:rFonts w:hint="eastAsia" w:ascii="宋体" w:hAnsi="宋体" w:eastAsia="宋体" w:cs="宋体"/>
          <w:sz w:val="24"/>
          <w:szCs w:val="24"/>
        </w:rPr>
        <w:t>额为：</w:t>
      </w:r>
      <w:r>
        <w:rPr>
          <w:rFonts w:hint="eastAsia" w:ascii="宋体" w:hAnsi="宋体" w:eastAsia="宋体" w:cs="宋体"/>
          <w:sz w:val="24"/>
          <w:szCs w:val="24"/>
          <w:u w:val="single"/>
        </w:rPr>
        <w:t xml:space="preserve">      元（大写人民币：    圆整） 合同</w:t>
      </w:r>
      <w:r>
        <w:rPr>
          <w:rFonts w:hint="eastAsia" w:ascii="宋体" w:hAnsi="宋体" w:cs="宋体"/>
          <w:sz w:val="24"/>
          <w:szCs w:val="24"/>
          <w:u w:val="single"/>
          <w:lang w:val="en-US" w:eastAsia="zh-CN"/>
        </w:rPr>
        <w:t>总</w:t>
      </w:r>
      <w:bookmarkStart w:id="0" w:name="_GoBack"/>
      <w:bookmarkEnd w:id="0"/>
      <w:r>
        <w:rPr>
          <w:rFonts w:hint="eastAsia" w:ascii="宋体" w:hAnsi="宋体" w:cs="宋体"/>
          <w:sz w:val="24"/>
          <w:szCs w:val="24"/>
          <w:u w:val="single"/>
          <w:lang w:val="en-US" w:eastAsia="zh-CN"/>
        </w:rPr>
        <w:t>金</w:t>
      </w:r>
      <w:r>
        <w:rPr>
          <w:rFonts w:hint="eastAsia" w:ascii="宋体" w:hAnsi="宋体" w:eastAsia="宋体" w:cs="宋体"/>
          <w:sz w:val="24"/>
          <w:szCs w:val="24"/>
          <w:u w:val="single"/>
        </w:rPr>
        <w:t>额包括合同规定的乙方的全部费用，即包括所有机械设备费、服务费、规范规定的检验费、保险费、管理费、税费、规费和利润，以及汛期或特殊情况开展的加密检测工作费用等一切费用，如有缺漏项，视同包含在合同总价内</w:t>
      </w:r>
      <w:r>
        <w:rPr>
          <w:rFonts w:hint="eastAsia" w:ascii="宋体" w:hAnsi="宋体" w:eastAsia="宋体" w:cs="宋体"/>
          <w:sz w:val="24"/>
          <w:szCs w:val="24"/>
        </w:rPr>
        <w:t>。</w:t>
      </w:r>
    </w:p>
    <w:p w14:paraId="168B8AF4">
      <w:pPr>
        <w:pStyle w:val="2"/>
        <w:spacing w:line="336"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2.技术服务费支付方式：</w:t>
      </w:r>
    </w:p>
    <w:p w14:paraId="3A5267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jc w:val="left"/>
        <w:rPr>
          <w:rFonts w:hint="eastAsia" w:ascii="宋体" w:hAnsi="宋体" w:eastAsia="宋体" w:cs="宋体"/>
          <w:color w:val="000000"/>
          <w:kern w:val="2"/>
          <w:sz w:val="24"/>
          <w:szCs w:val="24"/>
          <w:lang w:val="en-US" w:eastAsia="zh-CN" w:bidi="ar-SA"/>
        </w:rPr>
      </w:pPr>
      <w:r>
        <w:rPr>
          <w:rFonts w:hint="eastAsia" w:ascii="宋体" w:hAnsi="宋体" w:cs="宋体"/>
          <w:color w:val="000000"/>
          <w:kern w:val="2"/>
          <w:sz w:val="24"/>
          <w:szCs w:val="24"/>
          <w:lang w:val="en-US" w:eastAsia="zh-CN" w:bidi="ar-SA"/>
        </w:rPr>
        <w:t>（1）</w:t>
      </w:r>
      <w:r>
        <w:rPr>
          <w:rFonts w:hint="eastAsia" w:ascii="宋体" w:hAnsi="宋体" w:eastAsia="宋体" w:cs="宋体"/>
          <w:color w:val="000000"/>
          <w:kern w:val="2"/>
          <w:sz w:val="24"/>
          <w:szCs w:val="24"/>
          <w:lang w:val="en-US" w:eastAsia="zh-CN" w:bidi="ar-SA"/>
        </w:rPr>
        <w:t>合同签订之日起30日内，支付合同总金额的40.00%作为预付款；</w:t>
      </w:r>
    </w:p>
    <w:p w14:paraId="2C8699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jc w:val="left"/>
        <w:rPr>
          <w:rFonts w:hint="eastAsia" w:ascii="宋体" w:hAnsi="宋体" w:eastAsia="宋体" w:cs="宋体"/>
          <w:color w:val="000000"/>
          <w:kern w:val="2"/>
          <w:sz w:val="24"/>
          <w:szCs w:val="24"/>
          <w:lang w:val="en-US" w:eastAsia="zh-CN" w:bidi="ar-SA"/>
        </w:rPr>
      </w:pPr>
      <w:r>
        <w:rPr>
          <w:rFonts w:hint="eastAsia" w:ascii="宋体" w:hAnsi="宋体" w:cs="宋体"/>
          <w:color w:val="000000"/>
          <w:kern w:val="2"/>
          <w:sz w:val="24"/>
          <w:szCs w:val="24"/>
          <w:lang w:val="en-US" w:eastAsia="zh-CN" w:bidi="ar-SA"/>
        </w:rPr>
        <w:t>（2）九月底</w:t>
      </w:r>
      <w:r>
        <w:rPr>
          <w:rFonts w:hint="eastAsia" w:ascii="宋体" w:hAnsi="宋体" w:eastAsia="宋体" w:cs="宋体"/>
          <w:color w:val="000000"/>
          <w:kern w:val="2"/>
          <w:sz w:val="24"/>
          <w:szCs w:val="24"/>
          <w:lang w:val="en-US" w:eastAsia="zh-CN" w:bidi="ar-SA"/>
        </w:rPr>
        <w:t>，乙方按照合同约定完成相应工作量，经</w:t>
      </w:r>
      <w:r>
        <w:rPr>
          <w:rFonts w:hint="eastAsia" w:ascii="宋体" w:hAnsi="宋体" w:cs="宋体"/>
          <w:color w:val="000000"/>
          <w:kern w:val="2"/>
          <w:sz w:val="24"/>
          <w:szCs w:val="24"/>
          <w:lang w:val="en-US" w:eastAsia="zh-CN" w:bidi="ar-SA"/>
        </w:rPr>
        <w:t>甲方</w:t>
      </w:r>
      <w:r>
        <w:rPr>
          <w:rFonts w:hint="eastAsia" w:ascii="宋体" w:hAnsi="宋体" w:eastAsia="宋体" w:cs="宋体"/>
          <w:color w:val="000000"/>
          <w:kern w:val="2"/>
          <w:sz w:val="24"/>
          <w:szCs w:val="24"/>
          <w:lang w:val="en-US" w:eastAsia="zh-CN" w:bidi="ar-SA"/>
        </w:rPr>
        <w:t>审核确认，自达到付款条件之日起30日内，支付合同总金额的40.00%（即支付至合同总金额的80.00%）；</w:t>
      </w:r>
    </w:p>
    <w:p w14:paraId="681CE6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③乙方按照合同要求完成所有服务内容并出具项目总结报告，通过甲方组织的专家验收和项目履约验收后，自达到付款条件之日起30日内，支付合同总金额的20.00%（即支付至合同总金额的100.00%）；</w:t>
      </w:r>
    </w:p>
    <w:p w14:paraId="02A3B798">
      <w:pPr>
        <w:adjustRightInd w:val="0"/>
        <w:snapToGrid w:val="0"/>
        <w:spacing w:line="360" w:lineRule="auto"/>
        <w:ind w:firstLine="555"/>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3.每次付款前乙方均须提供等额有效的增值税发票给甲方，甲方在收到发票且在财政资金到位的情况下，将应付款项支付给乙方。因财政、政策、审计、不可抗力等原因导致付款延迟的除外。</w:t>
      </w:r>
    </w:p>
    <w:p w14:paraId="15B9B592">
      <w:pPr>
        <w:adjustRightInd w:val="0"/>
        <w:snapToGrid w:val="0"/>
        <w:spacing w:line="360" w:lineRule="auto"/>
        <w:ind w:firstLine="555"/>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4.甲乙双方约定的技术服务费支付方式为：【银行转账】</w:t>
      </w:r>
    </w:p>
    <w:p w14:paraId="10775D89">
      <w:pPr>
        <w:adjustRightInd w:val="0"/>
        <w:snapToGrid w:val="0"/>
        <w:spacing w:line="312" w:lineRule="auto"/>
        <w:ind w:firstLine="555"/>
        <w:rPr>
          <w:rFonts w:hint="eastAsia" w:ascii="宋体" w:hAnsi="宋体" w:eastAsia="宋体" w:cs="宋体"/>
          <w:color w:val="000000"/>
          <w:sz w:val="24"/>
          <w:szCs w:val="24"/>
        </w:rPr>
      </w:pPr>
      <w:r>
        <w:rPr>
          <w:rFonts w:hint="eastAsia" w:ascii="宋体" w:hAnsi="宋体" w:eastAsia="宋体" w:cs="宋体"/>
          <w:color w:val="000000"/>
          <w:sz w:val="24"/>
          <w:szCs w:val="24"/>
        </w:rPr>
        <w:t>乙方指定的收款账户：</w:t>
      </w:r>
    </w:p>
    <w:p w14:paraId="4E4C0CC9">
      <w:pPr>
        <w:adjustRightInd w:val="0"/>
        <w:snapToGrid w:val="0"/>
        <w:spacing w:line="312" w:lineRule="auto"/>
        <w:ind w:firstLine="555"/>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开户名： </w:t>
      </w:r>
    </w:p>
    <w:p w14:paraId="569367D0">
      <w:pPr>
        <w:adjustRightInd w:val="0"/>
        <w:snapToGrid w:val="0"/>
        <w:spacing w:line="312" w:lineRule="auto"/>
        <w:ind w:firstLine="555"/>
        <w:rPr>
          <w:rFonts w:hint="eastAsia" w:ascii="宋体" w:hAnsi="宋体" w:eastAsia="宋体" w:cs="宋体"/>
          <w:color w:val="000000"/>
          <w:sz w:val="24"/>
          <w:szCs w:val="24"/>
        </w:rPr>
      </w:pPr>
      <w:r>
        <w:rPr>
          <w:rFonts w:hint="eastAsia" w:ascii="宋体" w:hAnsi="宋体" w:eastAsia="宋体" w:cs="宋体"/>
          <w:color w:val="000000"/>
          <w:sz w:val="24"/>
          <w:szCs w:val="24"/>
        </w:rPr>
        <w:t>账  号：</w:t>
      </w:r>
    </w:p>
    <w:p w14:paraId="645887BE">
      <w:pPr>
        <w:adjustRightInd w:val="0"/>
        <w:snapToGrid w:val="0"/>
        <w:spacing w:line="312" w:lineRule="auto"/>
        <w:ind w:firstLine="555"/>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开户行： </w:t>
      </w:r>
    </w:p>
    <w:p w14:paraId="5DC6FAF0">
      <w:pPr>
        <w:pStyle w:val="2"/>
        <w:spacing w:line="336" w:lineRule="auto"/>
        <w:rPr>
          <w:rFonts w:hint="eastAsia" w:ascii="宋体" w:hAnsi="宋体" w:eastAsia="宋体" w:cs="宋体"/>
          <w:sz w:val="24"/>
          <w:szCs w:val="24"/>
        </w:rPr>
      </w:pPr>
      <w:r>
        <w:rPr>
          <w:rFonts w:hint="eastAsia" w:ascii="宋体" w:hAnsi="宋体" w:eastAsia="宋体" w:cs="宋体"/>
          <w:sz w:val="24"/>
          <w:szCs w:val="24"/>
        </w:rPr>
        <w:t xml:space="preserve">第四条  安全及保密责任 </w:t>
      </w:r>
    </w:p>
    <w:p w14:paraId="27CF31FB">
      <w:pPr>
        <w:pStyle w:val="2"/>
        <w:spacing w:line="348" w:lineRule="auto"/>
        <w:rPr>
          <w:rFonts w:hint="eastAsia" w:ascii="宋体" w:hAnsi="宋体" w:eastAsia="宋体" w:cs="宋体"/>
          <w:sz w:val="24"/>
          <w:szCs w:val="24"/>
        </w:rPr>
      </w:pPr>
      <w:r>
        <w:rPr>
          <w:rFonts w:hint="eastAsia" w:ascii="宋体" w:hAnsi="宋体" w:eastAsia="宋体" w:cs="宋体"/>
          <w:sz w:val="24"/>
          <w:szCs w:val="24"/>
        </w:rPr>
        <w:t>1.乙方负责监测评估服务过程中的人员设备安全，并承担全部安全责任。</w:t>
      </w:r>
    </w:p>
    <w:p w14:paraId="5A48D2DE">
      <w:pPr>
        <w:pStyle w:val="2"/>
        <w:spacing w:line="348" w:lineRule="auto"/>
        <w:rPr>
          <w:rFonts w:hint="eastAsia" w:ascii="宋体" w:hAnsi="宋体" w:eastAsia="宋体" w:cs="宋体"/>
          <w:sz w:val="24"/>
          <w:szCs w:val="24"/>
        </w:rPr>
      </w:pPr>
      <w:r>
        <w:rPr>
          <w:rFonts w:hint="eastAsia" w:ascii="宋体" w:hAnsi="宋体" w:eastAsia="宋体" w:cs="宋体"/>
          <w:sz w:val="24"/>
          <w:szCs w:val="24"/>
        </w:rPr>
        <w:t>2.评估报告的所有权、使用权、著作权等一切知识产权归甲方所有，乙方不得以任何名义以此进行牟利活动，不得发表，也不得向任何第三方透露，否则应赔偿由此给甲方造成的损失。</w:t>
      </w:r>
    </w:p>
    <w:p w14:paraId="3595B649">
      <w:pPr>
        <w:pStyle w:val="2"/>
        <w:spacing w:line="348" w:lineRule="auto"/>
        <w:rPr>
          <w:rFonts w:hint="eastAsia" w:ascii="宋体" w:hAnsi="宋体" w:eastAsia="宋体" w:cs="宋体"/>
          <w:sz w:val="24"/>
          <w:szCs w:val="24"/>
        </w:rPr>
      </w:pPr>
      <w:r>
        <w:rPr>
          <w:rFonts w:hint="eastAsia" w:ascii="宋体" w:hAnsi="宋体" w:eastAsia="宋体" w:cs="宋体"/>
          <w:sz w:val="24"/>
          <w:szCs w:val="24"/>
        </w:rPr>
        <w:t>3.双方均应保护对方的知识产权及商业秘密，未经对方同意，任何一方均不得对对方的资料及文件擅自修改、复制或者向第三人转让或用于本合同项目外的项目。如发生以上情况，泄密方承担一切由此引起的后果并承担赔偿责任。</w:t>
      </w:r>
    </w:p>
    <w:p w14:paraId="5F097E91">
      <w:pPr>
        <w:pStyle w:val="2"/>
        <w:spacing w:line="336" w:lineRule="auto"/>
        <w:ind w:firstLineChars="0"/>
        <w:rPr>
          <w:rFonts w:hint="eastAsia" w:ascii="宋体" w:hAnsi="宋体" w:eastAsia="宋体" w:cs="宋体"/>
          <w:b/>
          <w:sz w:val="24"/>
          <w:szCs w:val="24"/>
        </w:rPr>
      </w:pPr>
      <w:r>
        <w:rPr>
          <w:rFonts w:hint="eastAsia" w:ascii="宋体" w:hAnsi="宋体" w:eastAsia="宋体" w:cs="宋体"/>
          <w:sz w:val="24"/>
          <w:szCs w:val="24"/>
        </w:rPr>
        <w:t xml:space="preserve">第五条  </w:t>
      </w:r>
      <w:r>
        <w:rPr>
          <w:rFonts w:hint="eastAsia" w:ascii="宋体" w:hAnsi="宋体" w:eastAsia="宋体" w:cs="宋体"/>
          <w:b/>
          <w:sz w:val="24"/>
          <w:szCs w:val="24"/>
        </w:rPr>
        <w:t>本合同的变更必须由双方协商一致，并以书面形式确定。</w:t>
      </w:r>
    </w:p>
    <w:p w14:paraId="13EA77BA">
      <w:pPr>
        <w:pStyle w:val="2"/>
        <w:spacing w:line="336" w:lineRule="auto"/>
        <w:rPr>
          <w:rFonts w:hint="eastAsia" w:ascii="宋体" w:hAnsi="宋体" w:eastAsia="宋体" w:cs="宋体"/>
          <w:sz w:val="24"/>
          <w:szCs w:val="24"/>
        </w:rPr>
      </w:pPr>
      <w:r>
        <w:rPr>
          <w:rFonts w:hint="eastAsia" w:ascii="宋体" w:hAnsi="宋体" w:eastAsia="宋体" w:cs="宋体"/>
          <w:sz w:val="24"/>
          <w:szCs w:val="24"/>
        </w:rPr>
        <w:t xml:space="preserve">第六条 </w:t>
      </w:r>
      <w:r>
        <w:rPr>
          <w:rFonts w:hint="eastAsia" w:ascii="宋体" w:hAnsi="宋体" w:eastAsia="宋体" w:cs="宋体"/>
          <w:b/>
          <w:sz w:val="24"/>
          <w:szCs w:val="24"/>
        </w:rPr>
        <w:t xml:space="preserve"> 双方确定，按以下约定承担各自的违约责任：</w:t>
      </w:r>
    </w:p>
    <w:p w14:paraId="24FFC7E7">
      <w:pPr>
        <w:adjustRightInd w:val="0"/>
        <w:snapToGrid w:val="0"/>
        <w:spacing w:line="312"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u w:val="single"/>
        </w:rPr>
        <w:t xml:space="preserve"> 乙 </w:t>
      </w:r>
      <w:r>
        <w:rPr>
          <w:rFonts w:hint="eastAsia" w:ascii="宋体" w:hAnsi="宋体" w:eastAsia="宋体" w:cs="宋体"/>
          <w:color w:val="000000"/>
          <w:sz w:val="24"/>
          <w:szCs w:val="24"/>
        </w:rPr>
        <w:t>方违反本合同第</w:t>
      </w:r>
      <w:r>
        <w:rPr>
          <w:rFonts w:hint="eastAsia" w:ascii="宋体" w:hAnsi="宋体" w:eastAsia="宋体" w:cs="宋体"/>
          <w:color w:val="000000"/>
          <w:sz w:val="24"/>
          <w:szCs w:val="24"/>
          <w:u w:val="single"/>
        </w:rPr>
        <w:t xml:space="preserve"> 一/二 </w:t>
      </w:r>
      <w:r>
        <w:rPr>
          <w:rFonts w:hint="eastAsia" w:ascii="宋体" w:hAnsi="宋体" w:eastAsia="宋体" w:cs="宋体"/>
          <w:color w:val="000000"/>
          <w:sz w:val="24"/>
          <w:szCs w:val="24"/>
        </w:rPr>
        <w:t>条约定，</w:t>
      </w:r>
      <w:r>
        <w:rPr>
          <w:rFonts w:hint="eastAsia" w:ascii="宋体" w:hAnsi="宋体" w:eastAsia="宋体" w:cs="宋体"/>
          <w:sz w:val="24"/>
          <w:szCs w:val="24"/>
        </w:rPr>
        <w:t>每逾期一天，乙方应向甲方支付技术服务总额0.1%作为逾期违约金。逾期超过30日，甲方有权解除合同，乙方应向甲方支付技术服务总额20%作为违约金。</w:t>
      </w:r>
    </w:p>
    <w:p w14:paraId="62324542">
      <w:pPr>
        <w:adjustRightInd w:val="0"/>
        <w:snapToGrid w:val="0"/>
        <w:spacing w:line="312"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2.甲、乙双方违反本合同第</w:t>
      </w:r>
      <w:r>
        <w:rPr>
          <w:rFonts w:hint="eastAsia" w:ascii="宋体" w:hAnsi="宋体" w:eastAsia="宋体" w:cs="宋体"/>
          <w:sz w:val="24"/>
          <w:szCs w:val="24"/>
          <w:u w:val="single"/>
        </w:rPr>
        <w:t xml:space="preserve"> 四 </w:t>
      </w:r>
      <w:r>
        <w:rPr>
          <w:rFonts w:hint="eastAsia" w:ascii="宋体" w:hAnsi="宋体" w:eastAsia="宋体" w:cs="宋体"/>
          <w:sz w:val="24"/>
          <w:szCs w:val="24"/>
        </w:rPr>
        <w:t>条约定，违约方应当向另一方支付技术服务费总额20%作为违约金。</w:t>
      </w:r>
    </w:p>
    <w:p w14:paraId="07FE3E09">
      <w:pPr>
        <w:adjustRightInd w:val="0"/>
        <w:snapToGrid w:val="0"/>
        <w:spacing w:line="312"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若因乙方违约甲方解除本合同的，乙方应当在合同解除之日起30日内将已支付的技术服务费用全额退还给甲方，逾期退还的，乙方应向甲方支付技术服务总额0.1%作为逾期违约金，若逾期超过30日，甲方有权利要求乙方立即支付全部未退还款项，并承担相当于技术服务费总额20%作为违约金。</w:t>
      </w:r>
    </w:p>
    <w:p w14:paraId="4FCE5AC0">
      <w:pPr>
        <w:pStyle w:val="2"/>
        <w:spacing w:line="324" w:lineRule="auto"/>
        <w:rPr>
          <w:rFonts w:hint="eastAsia" w:ascii="宋体" w:hAnsi="宋体" w:eastAsia="宋体" w:cs="宋体"/>
          <w:sz w:val="24"/>
          <w:szCs w:val="24"/>
        </w:rPr>
      </w:pPr>
      <w:r>
        <w:rPr>
          <w:rFonts w:hint="eastAsia" w:ascii="宋体" w:hAnsi="宋体" w:eastAsia="宋体" w:cs="宋体"/>
          <w:sz w:val="24"/>
          <w:szCs w:val="24"/>
        </w:rPr>
        <w:t>第七条  双方确定，在本合同有效期内，甲方指定</w:t>
      </w:r>
      <w:r>
        <w:rPr>
          <w:rFonts w:hint="eastAsia" w:ascii="宋体" w:hAnsi="宋体" w:eastAsia="宋体" w:cs="宋体"/>
          <w:sz w:val="24"/>
          <w:szCs w:val="24"/>
          <w:u w:val="single"/>
        </w:rPr>
        <w:t xml:space="preserve">     </w:t>
      </w:r>
      <w:r>
        <w:rPr>
          <w:rFonts w:hint="eastAsia" w:ascii="宋体" w:hAnsi="宋体" w:eastAsia="宋体" w:cs="宋体"/>
          <w:sz w:val="24"/>
          <w:szCs w:val="24"/>
        </w:rPr>
        <w:t>为甲方项目联系人，乙方指定</w:t>
      </w:r>
      <w:r>
        <w:rPr>
          <w:rFonts w:hint="eastAsia" w:ascii="宋体" w:hAnsi="宋体" w:eastAsia="宋体" w:cs="宋体"/>
          <w:sz w:val="24"/>
          <w:szCs w:val="24"/>
          <w:u w:val="single"/>
        </w:rPr>
        <w:t xml:space="preserve">     </w:t>
      </w:r>
      <w:r>
        <w:rPr>
          <w:rFonts w:hint="eastAsia" w:ascii="宋体" w:hAnsi="宋体" w:eastAsia="宋体" w:cs="宋体"/>
          <w:sz w:val="24"/>
          <w:szCs w:val="24"/>
        </w:rPr>
        <w:t>为乙方项目联系人。项目联系人承担以下责任：</w:t>
      </w:r>
    </w:p>
    <w:p w14:paraId="3A7C64B2">
      <w:pPr>
        <w:adjustRightInd w:val="0"/>
        <w:snapToGrid w:val="0"/>
        <w:spacing w:line="32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1．按照约定联系时间、方式和地点完成交办的相关工作；</w:t>
      </w:r>
    </w:p>
    <w:p w14:paraId="512FDE8C">
      <w:pPr>
        <w:adjustRightInd w:val="0"/>
        <w:snapToGrid w:val="0"/>
        <w:spacing w:line="32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2．防止因人事变动而使本合同难以履行或无法履行；</w:t>
      </w:r>
    </w:p>
    <w:p w14:paraId="3479918D">
      <w:pPr>
        <w:adjustRightInd w:val="0"/>
        <w:snapToGrid w:val="0"/>
        <w:spacing w:line="32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3．保证以适当的时间、方式、标准履行本合同。</w:t>
      </w:r>
    </w:p>
    <w:p w14:paraId="36D1AF41">
      <w:pPr>
        <w:pStyle w:val="2"/>
        <w:spacing w:line="324" w:lineRule="auto"/>
        <w:rPr>
          <w:rFonts w:hint="eastAsia" w:ascii="宋体" w:hAnsi="宋体" w:eastAsia="宋体" w:cs="宋体"/>
          <w:sz w:val="24"/>
          <w:szCs w:val="24"/>
        </w:rPr>
      </w:pPr>
      <w:r>
        <w:rPr>
          <w:rFonts w:hint="eastAsia" w:ascii="宋体" w:hAnsi="宋体" w:eastAsia="宋体" w:cs="宋体"/>
          <w:sz w:val="24"/>
          <w:szCs w:val="24"/>
        </w:rPr>
        <w:t>一方变更项目联系人的，应当及时以书面形式通知另一方。未及时通知并影响本合同履行或造成损失的，应承担相应的责任。</w:t>
      </w:r>
    </w:p>
    <w:p w14:paraId="253D3312">
      <w:pPr>
        <w:adjustRightInd w:val="0"/>
        <w:snapToGrid w:val="0"/>
        <w:spacing w:line="312"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 xml:space="preserve">第八条 </w:t>
      </w:r>
      <w:r>
        <w:rPr>
          <w:rFonts w:hint="eastAsia" w:ascii="宋体" w:hAnsi="宋体" w:eastAsia="宋体" w:cs="宋体"/>
          <w:b/>
          <w:bCs/>
          <w:sz w:val="24"/>
          <w:szCs w:val="24"/>
        </w:rPr>
        <w:t xml:space="preserve"> </w:t>
      </w:r>
      <w:r>
        <w:rPr>
          <w:rFonts w:hint="eastAsia" w:ascii="宋体" w:hAnsi="宋体" w:eastAsia="宋体" w:cs="宋体"/>
          <w:sz w:val="24"/>
          <w:szCs w:val="24"/>
        </w:rPr>
        <w:t>双方确定，出现下列情形，致使本合同的履行成为不必要或不可能的，可以解除本合同：</w:t>
      </w:r>
    </w:p>
    <w:p w14:paraId="37DD06F1">
      <w:pPr>
        <w:pStyle w:val="2"/>
        <w:spacing w:line="324" w:lineRule="auto"/>
        <w:ind w:firstLineChars="0"/>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sz w:val="24"/>
          <w:szCs w:val="24"/>
          <w:u w:val="single"/>
        </w:rPr>
        <w:t>因发生不可抗力或技术风险</w:t>
      </w:r>
      <w:r>
        <w:rPr>
          <w:rFonts w:hint="eastAsia" w:ascii="宋体" w:hAnsi="宋体" w:eastAsia="宋体" w:cs="宋体"/>
          <w:sz w:val="24"/>
          <w:szCs w:val="24"/>
        </w:rPr>
        <w:t xml:space="preserve">； </w:t>
      </w:r>
    </w:p>
    <w:p w14:paraId="35601761">
      <w:pPr>
        <w:adjustRightInd w:val="0"/>
        <w:snapToGrid w:val="0"/>
        <w:spacing w:line="32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在履行合同的过程中，第三人公开了相同的技术成果，导致本合同的进一步履行已无意义</w:t>
      </w:r>
      <w:r>
        <w:rPr>
          <w:rFonts w:hint="eastAsia" w:ascii="宋体" w:hAnsi="宋体" w:eastAsia="宋体" w:cs="宋体"/>
          <w:sz w:val="24"/>
          <w:szCs w:val="24"/>
        </w:rPr>
        <w:t>。</w:t>
      </w:r>
    </w:p>
    <w:p w14:paraId="426DB72F">
      <w:pPr>
        <w:pStyle w:val="2"/>
        <w:spacing w:line="324" w:lineRule="auto"/>
        <w:rPr>
          <w:rFonts w:hint="eastAsia" w:ascii="宋体" w:hAnsi="宋体" w:eastAsia="宋体" w:cs="宋体"/>
          <w:sz w:val="24"/>
          <w:szCs w:val="24"/>
        </w:rPr>
      </w:pPr>
      <w:r>
        <w:rPr>
          <w:rFonts w:hint="eastAsia" w:ascii="宋体" w:hAnsi="宋体" w:eastAsia="宋体" w:cs="宋体"/>
          <w:bCs/>
          <w:sz w:val="24"/>
          <w:szCs w:val="24"/>
        </w:rPr>
        <w:t>第九条</w:t>
      </w:r>
      <w:r>
        <w:rPr>
          <w:rFonts w:hint="eastAsia" w:ascii="宋体" w:hAnsi="宋体" w:eastAsia="宋体" w:cs="宋体"/>
          <w:sz w:val="24"/>
          <w:szCs w:val="24"/>
        </w:rPr>
        <w:t xml:space="preserve">  双方因履行本合同而发生的争议，应协商、调解解决。协商、调解不成的，任何一方都有权向甲方所在地人民法院提起诉讼解决。</w:t>
      </w:r>
    </w:p>
    <w:p w14:paraId="061962D7">
      <w:pPr>
        <w:adjustRightInd w:val="0"/>
        <w:snapToGrid w:val="0"/>
        <w:spacing w:line="336"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第十条</w:t>
      </w:r>
      <w:r>
        <w:rPr>
          <w:rFonts w:hint="eastAsia" w:ascii="宋体" w:hAnsi="宋体" w:eastAsia="宋体" w:cs="宋体"/>
          <w:sz w:val="24"/>
          <w:szCs w:val="24"/>
        </w:rPr>
        <w:t xml:space="preserve">  本合同一式</w:t>
      </w:r>
      <w:r>
        <w:rPr>
          <w:rFonts w:hint="eastAsia" w:ascii="宋体" w:hAnsi="宋体" w:eastAsia="宋体" w:cs="宋体"/>
          <w:sz w:val="24"/>
          <w:szCs w:val="24"/>
          <w:u w:val="single"/>
        </w:rPr>
        <w:t xml:space="preserve"> 捌 </w:t>
      </w:r>
      <w:r>
        <w:rPr>
          <w:rFonts w:hint="eastAsia" w:ascii="宋体" w:hAnsi="宋体" w:eastAsia="宋体" w:cs="宋体"/>
          <w:sz w:val="24"/>
          <w:szCs w:val="24"/>
        </w:rPr>
        <w:t>份，甲方执</w:t>
      </w:r>
      <w:r>
        <w:rPr>
          <w:rFonts w:hint="eastAsia" w:ascii="宋体" w:hAnsi="宋体" w:eastAsia="宋体" w:cs="宋体"/>
          <w:sz w:val="24"/>
          <w:szCs w:val="24"/>
          <w:u w:val="single"/>
        </w:rPr>
        <w:t xml:space="preserve"> 陆 </w:t>
      </w:r>
      <w:r>
        <w:rPr>
          <w:rFonts w:hint="eastAsia" w:ascii="宋体" w:hAnsi="宋体" w:eastAsia="宋体" w:cs="宋体"/>
          <w:sz w:val="24"/>
          <w:szCs w:val="24"/>
        </w:rPr>
        <w:t>份，乙方执</w:t>
      </w:r>
      <w:r>
        <w:rPr>
          <w:rFonts w:hint="eastAsia" w:ascii="宋体" w:hAnsi="宋体" w:eastAsia="宋体" w:cs="宋体"/>
          <w:sz w:val="24"/>
          <w:szCs w:val="24"/>
          <w:u w:val="single"/>
        </w:rPr>
        <w:t xml:space="preserve"> 贰 </w:t>
      </w:r>
      <w:r>
        <w:rPr>
          <w:rFonts w:hint="eastAsia" w:ascii="宋体" w:hAnsi="宋体" w:eastAsia="宋体" w:cs="宋体"/>
          <w:sz w:val="24"/>
          <w:szCs w:val="24"/>
        </w:rPr>
        <w:t>份，均具有同等法律效力。</w:t>
      </w:r>
    </w:p>
    <w:p w14:paraId="16F180A4">
      <w:pPr>
        <w:adjustRightInd w:val="0"/>
        <w:snapToGrid w:val="0"/>
        <w:spacing w:line="336"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第十一条</w:t>
      </w:r>
      <w:r>
        <w:rPr>
          <w:rFonts w:hint="eastAsia" w:ascii="宋体" w:hAnsi="宋体" w:eastAsia="宋体" w:cs="宋体"/>
          <w:sz w:val="24"/>
          <w:szCs w:val="24"/>
        </w:rPr>
        <w:t xml:space="preserve">  本合同经双方签字盖章后生效。（以下无正文）</w:t>
      </w:r>
    </w:p>
    <w:p w14:paraId="4E192314">
      <w:pPr>
        <w:adjustRightInd w:val="0"/>
        <w:snapToGrid w:val="0"/>
        <w:spacing w:line="336" w:lineRule="auto"/>
        <w:ind w:firstLine="480" w:firstLineChars="200"/>
        <w:rPr>
          <w:rFonts w:hint="eastAsia" w:ascii="宋体" w:hAnsi="宋体" w:eastAsia="宋体" w:cs="宋体"/>
          <w:sz w:val="24"/>
          <w:szCs w:val="24"/>
        </w:rPr>
      </w:pPr>
    </w:p>
    <w:p w14:paraId="35639221">
      <w:pPr>
        <w:adjustRightInd w:val="0"/>
        <w:snapToGrid w:val="0"/>
        <w:spacing w:line="336" w:lineRule="auto"/>
        <w:ind w:firstLine="480" w:firstLineChars="200"/>
        <w:rPr>
          <w:rFonts w:hint="eastAsia" w:ascii="宋体" w:hAnsi="宋体" w:eastAsia="宋体" w:cs="宋体"/>
          <w:sz w:val="24"/>
          <w:szCs w:val="24"/>
        </w:rPr>
      </w:pPr>
    </w:p>
    <w:p w14:paraId="47E9C9FD">
      <w:pPr>
        <w:adjustRightInd w:val="0"/>
        <w:snapToGrid w:val="0"/>
        <w:spacing w:line="336" w:lineRule="auto"/>
        <w:ind w:firstLine="480" w:firstLineChars="200"/>
        <w:rPr>
          <w:rFonts w:hint="eastAsia" w:ascii="宋体" w:hAnsi="宋体" w:eastAsia="宋体" w:cs="宋体"/>
          <w:sz w:val="24"/>
          <w:szCs w:val="24"/>
        </w:rPr>
      </w:pPr>
    </w:p>
    <w:p w14:paraId="6EF6CC1E">
      <w:pPr>
        <w:adjustRightInd w:val="0"/>
        <w:snapToGrid w:val="0"/>
        <w:spacing w:line="336" w:lineRule="auto"/>
        <w:ind w:firstLine="480" w:firstLineChars="200"/>
        <w:rPr>
          <w:rFonts w:hint="eastAsia" w:ascii="宋体" w:hAnsi="宋体" w:eastAsia="宋体" w:cs="宋体"/>
          <w:sz w:val="24"/>
          <w:szCs w:val="24"/>
        </w:rPr>
      </w:pPr>
    </w:p>
    <w:p w14:paraId="36ABA1FD">
      <w:pPr>
        <w:adjustRightInd w:val="0"/>
        <w:snapToGrid w:val="0"/>
        <w:spacing w:line="336" w:lineRule="auto"/>
        <w:ind w:firstLine="480" w:firstLineChars="200"/>
        <w:rPr>
          <w:rFonts w:hint="eastAsia" w:ascii="宋体" w:hAnsi="宋体" w:eastAsia="宋体" w:cs="宋体"/>
          <w:sz w:val="24"/>
          <w:szCs w:val="24"/>
        </w:rPr>
      </w:pPr>
    </w:p>
    <w:p w14:paraId="71724385">
      <w:pPr>
        <w:adjustRightInd w:val="0"/>
        <w:snapToGrid w:val="0"/>
        <w:spacing w:line="336" w:lineRule="auto"/>
        <w:rPr>
          <w:rFonts w:hint="eastAsia" w:ascii="宋体" w:hAnsi="宋体" w:eastAsia="宋体" w:cs="宋体"/>
          <w:sz w:val="24"/>
          <w:szCs w:val="24"/>
        </w:rPr>
      </w:pPr>
    </w:p>
    <w:p w14:paraId="479532A3">
      <w:pPr>
        <w:adjustRightInd w:val="0"/>
        <w:snapToGrid w:val="0"/>
        <w:spacing w:line="336" w:lineRule="auto"/>
        <w:rPr>
          <w:rFonts w:hint="eastAsia" w:ascii="宋体" w:hAnsi="宋体" w:eastAsia="宋体" w:cs="宋体"/>
          <w:sz w:val="24"/>
          <w:szCs w:val="24"/>
        </w:rPr>
      </w:pPr>
    </w:p>
    <w:p w14:paraId="41C471A7">
      <w:pPr>
        <w:adjustRightInd w:val="0"/>
        <w:snapToGrid w:val="0"/>
        <w:spacing w:line="336" w:lineRule="auto"/>
        <w:rPr>
          <w:rFonts w:hint="eastAsia" w:ascii="宋体" w:hAnsi="宋体" w:eastAsia="宋体" w:cs="宋体"/>
          <w:sz w:val="24"/>
          <w:szCs w:val="24"/>
        </w:rPr>
      </w:pPr>
    </w:p>
    <w:p w14:paraId="1CFE62E7">
      <w:pPr>
        <w:adjustRightInd w:val="0"/>
        <w:snapToGrid w:val="0"/>
        <w:spacing w:line="336" w:lineRule="auto"/>
        <w:rPr>
          <w:rFonts w:hint="eastAsia" w:ascii="宋体" w:hAnsi="宋体" w:eastAsia="宋体" w:cs="宋体"/>
          <w:sz w:val="24"/>
          <w:szCs w:val="24"/>
        </w:rPr>
      </w:pPr>
    </w:p>
    <w:p w14:paraId="337DFB4F">
      <w:pPr>
        <w:adjustRightInd w:val="0"/>
        <w:snapToGrid w:val="0"/>
        <w:spacing w:line="336" w:lineRule="auto"/>
        <w:rPr>
          <w:rFonts w:hint="eastAsia" w:ascii="宋体" w:hAnsi="宋体" w:eastAsia="宋体" w:cs="宋体"/>
          <w:sz w:val="24"/>
          <w:szCs w:val="24"/>
        </w:rPr>
      </w:pPr>
    </w:p>
    <w:p w14:paraId="527E0249">
      <w:pPr>
        <w:adjustRightInd w:val="0"/>
        <w:snapToGrid w:val="0"/>
        <w:spacing w:line="336" w:lineRule="auto"/>
        <w:rPr>
          <w:rFonts w:hint="eastAsia" w:ascii="宋体" w:hAnsi="宋体" w:eastAsia="宋体" w:cs="宋体"/>
          <w:sz w:val="24"/>
          <w:szCs w:val="24"/>
        </w:rPr>
      </w:pPr>
    </w:p>
    <w:p w14:paraId="485AC11C">
      <w:pPr>
        <w:adjustRightInd w:val="0"/>
        <w:snapToGrid w:val="0"/>
        <w:spacing w:line="336" w:lineRule="auto"/>
        <w:rPr>
          <w:rFonts w:hint="eastAsia" w:ascii="宋体" w:hAnsi="宋体" w:eastAsia="宋体" w:cs="宋体"/>
          <w:sz w:val="24"/>
          <w:szCs w:val="24"/>
        </w:rPr>
      </w:pPr>
    </w:p>
    <w:p w14:paraId="46F047D2">
      <w:pPr>
        <w:adjustRightInd w:val="0"/>
        <w:snapToGrid w:val="0"/>
        <w:spacing w:line="336" w:lineRule="auto"/>
        <w:rPr>
          <w:rFonts w:hint="eastAsia" w:ascii="宋体" w:hAnsi="宋体" w:eastAsia="宋体" w:cs="宋体"/>
          <w:sz w:val="24"/>
          <w:szCs w:val="24"/>
        </w:rPr>
      </w:pPr>
    </w:p>
    <w:p w14:paraId="209513B4">
      <w:pPr>
        <w:adjustRightInd w:val="0"/>
        <w:snapToGrid w:val="0"/>
        <w:spacing w:line="336" w:lineRule="auto"/>
        <w:rPr>
          <w:rFonts w:hint="eastAsia" w:ascii="宋体" w:hAnsi="宋体" w:eastAsia="宋体" w:cs="宋体"/>
          <w:sz w:val="24"/>
          <w:szCs w:val="24"/>
        </w:rPr>
      </w:pPr>
    </w:p>
    <w:p w14:paraId="2EAB0C61">
      <w:pPr>
        <w:adjustRightInd w:val="0"/>
        <w:snapToGrid w:val="0"/>
        <w:spacing w:line="336" w:lineRule="auto"/>
        <w:rPr>
          <w:rFonts w:hint="eastAsia" w:ascii="宋体" w:hAnsi="宋体" w:eastAsia="宋体" w:cs="宋体"/>
          <w:sz w:val="24"/>
          <w:szCs w:val="24"/>
        </w:rPr>
      </w:pPr>
    </w:p>
    <w:p w14:paraId="2848F6BA">
      <w:pPr>
        <w:adjustRightInd w:val="0"/>
        <w:snapToGrid w:val="0"/>
        <w:spacing w:line="336" w:lineRule="auto"/>
        <w:rPr>
          <w:rFonts w:hint="eastAsia" w:ascii="宋体" w:hAnsi="宋体" w:eastAsia="宋体" w:cs="宋体"/>
          <w:sz w:val="24"/>
          <w:szCs w:val="24"/>
        </w:rPr>
      </w:pPr>
    </w:p>
    <w:tbl>
      <w:tblPr>
        <w:tblStyle w:val="5"/>
        <w:tblpPr w:leftFromText="180" w:rightFromText="180" w:vertAnchor="page" w:horzAnchor="margin" w:tblpXSpec="center" w:tblpY="9764"/>
        <w:tblW w:w="9775" w:type="dxa"/>
        <w:tblInd w:w="0" w:type="dxa"/>
        <w:tblLayout w:type="fixed"/>
        <w:tblCellMar>
          <w:top w:w="0" w:type="dxa"/>
          <w:left w:w="0" w:type="dxa"/>
          <w:bottom w:w="0" w:type="dxa"/>
          <w:right w:w="0" w:type="dxa"/>
        </w:tblCellMar>
      </w:tblPr>
      <w:tblGrid>
        <w:gridCol w:w="4935"/>
        <w:gridCol w:w="6"/>
        <w:gridCol w:w="4834"/>
      </w:tblGrid>
      <w:tr w14:paraId="21B2D017">
        <w:tblPrEx>
          <w:tblCellMar>
            <w:top w:w="0" w:type="dxa"/>
            <w:left w:w="0" w:type="dxa"/>
            <w:bottom w:w="0" w:type="dxa"/>
            <w:right w:w="0" w:type="dxa"/>
          </w:tblCellMar>
        </w:tblPrEx>
        <w:trPr>
          <w:cantSplit/>
          <w:trHeight w:val="1298" w:hRule="atLeast"/>
        </w:trPr>
        <w:tc>
          <w:tcPr>
            <w:tcW w:w="4941" w:type="dxa"/>
            <w:gridSpan w:val="2"/>
            <w:tcMar>
              <w:left w:w="108" w:type="dxa"/>
              <w:right w:w="108" w:type="dxa"/>
            </w:tcMar>
            <w:vAlign w:val="center"/>
          </w:tcPr>
          <w:p w14:paraId="4E8CFBEA">
            <w:pPr>
              <w:snapToGrid w:val="0"/>
              <w:spacing w:line="360" w:lineRule="auto"/>
              <w:rPr>
                <w:rFonts w:hint="eastAsia" w:ascii="宋体" w:hAnsi="宋体" w:eastAsia="宋体" w:cs="宋体"/>
                <w:b/>
                <w:bCs/>
                <w:sz w:val="24"/>
                <w:szCs w:val="24"/>
              </w:rPr>
            </w:pPr>
            <w:r>
              <w:rPr>
                <w:rFonts w:hint="eastAsia" w:ascii="宋体" w:hAnsi="宋体" w:eastAsia="宋体" w:cs="宋体"/>
                <w:b/>
                <w:bCs/>
                <w:sz w:val="24"/>
                <w:szCs w:val="24"/>
                <w:lang w:bidi="ar"/>
              </w:rPr>
              <w:t>甲方：（盖章）西安市固体废弃物处置中心</w:t>
            </w:r>
          </w:p>
        </w:tc>
        <w:tc>
          <w:tcPr>
            <w:tcW w:w="4834" w:type="dxa"/>
            <w:tcMar>
              <w:left w:w="108" w:type="dxa"/>
              <w:right w:w="108" w:type="dxa"/>
            </w:tcMar>
            <w:vAlign w:val="center"/>
          </w:tcPr>
          <w:p w14:paraId="11A929BC">
            <w:pPr>
              <w:snapToGrid w:val="0"/>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lang w:bidi="ar"/>
              </w:rPr>
              <w:t>乙方：</w:t>
            </w:r>
            <w:r>
              <w:rPr>
                <w:rFonts w:hint="eastAsia" w:ascii="宋体" w:hAnsi="宋体" w:eastAsia="宋体" w:cs="宋体"/>
                <w:b/>
                <w:bCs/>
                <w:sz w:val="24"/>
                <w:szCs w:val="24"/>
              </w:rPr>
              <w:t xml:space="preserve"> </w:t>
            </w:r>
          </w:p>
        </w:tc>
      </w:tr>
      <w:tr w14:paraId="119B1217">
        <w:tblPrEx>
          <w:tblCellMar>
            <w:top w:w="0" w:type="dxa"/>
            <w:left w:w="0" w:type="dxa"/>
            <w:bottom w:w="0" w:type="dxa"/>
            <w:right w:w="0" w:type="dxa"/>
          </w:tblCellMar>
        </w:tblPrEx>
        <w:trPr>
          <w:cantSplit/>
          <w:trHeight w:val="768" w:hRule="atLeast"/>
        </w:trPr>
        <w:tc>
          <w:tcPr>
            <w:tcW w:w="4941" w:type="dxa"/>
            <w:gridSpan w:val="2"/>
            <w:tcMar>
              <w:left w:w="108" w:type="dxa"/>
              <w:right w:w="108" w:type="dxa"/>
            </w:tcMar>
            <w:vAlign w:val="center"/>
          </w:tcPr>
          <w:p w14:paraId="63E5BE12">
            <w:pPr>
              <w:snapToGrid w:val="0"/>
              <w:textAlignment w:val="center"/>
              <w:rPr>
                <w:rFonts w:hint="eastAsia" w:ascii="宋体" w:hAnsi="宋体" w:eastAsia="宋体" w:cs="宋体"/>
                <w:b/>
                <w:bCs/>
                <w:sz w:val="24"/>
                <w:szCs w:val="24"/>
                <w:lang w:eastAsia="zh-CN" w:bidi="ar"/>
              </w:rPr>
            </w:pPr>
            <w:r>
              <w:rPr>
                <w:rFonts w:hint="eastAsia" w:ascii="宋体" w:hAnsi="宋体" w:eastAsia="宋体" w:cs="宋体"/>
                <w:b/>
                <w:bCs/>
                <w:sz w:val="24"/>
                <w:szCs w:val="24"/>
                <w:lang w:bidi="ar"/>
              </w:rPr>
              <w:t>地址：</w:t>
            </w:r>
            <w:r>
              <w:rPr>
                <w:rFonts w:hint="eastAsia" w:ascii="宋体" w:hAnsi="宋体" w:cs="宋体"/>
                <w:b/>
                <w:bCs/>
                <w:sz w:val="24"/>
                <w:szCs w:val="24"/>
                <w:lang w:eastAsia="zh-CN" w:bidi="ar"/>
              </w:rPr>
              <w:t>西安市灞桥区白鹿西路北段</w:t>
            </w:r>
          </w:p>
        </w:tc>
        <w:tc>
          <w:tcPr>
            <w:tcW w:w="4834" w:type="dxa"/>
            <w:tcMar>
              <w:left w:w="108" w:type="dxa"/>
              <w:right w:w="108" w:type="dxa"/>
            </w:tcMar>
            <w:vAlign w:val="center"/>
          </w:tcPr>
          <w:p w14:paraId="7FB9AFD2">
            <w:pPr>
              <w:snapToGrid w:val="0"/>
              <w:jc w:val="left"/>
              <w:rPr>
                <w:rFonts w:hint="eastAsia" w:ascii="宋体" w:hAnsi="宋体" w:eastAsia="宋体" w:cs="宋体"/>
                <w:b/>
                <w:bCs/>
                <w:sz w:val="24"/>
                <w:szCs w:val="24"/>
                <w:lang w:bidi="ar"/>
              </w:rPr>
            </w:pPr>
            <w:r>
              <w:rPr>
                <w:rFonts w:hint="eastAsia" w:ascii="宋体" w:hAnsi="宋体" w:eastAsia="宋体" w:cs="宋体"/>
                <w:b/>
                <w:bCs/>
                <w:sz w:val="24"/>
                <w:szCs w:val="24"/>
                <w:lang w:bidi="ar"/>
              </w:rPr>
              <w:t>地址：</w:t>
            </w:r>
          </w:p>
        </w:tc>
      </w:tr>
      <w:tr w14:paraId="408AE0CC">
        <w:tblPrEx>
          <w:tblCellMar>
            <w:top w:w="0" w:type="dxa"/>
            <w:left w:w="0" w:type="dxa"/>
            <w:bottom w:w="0" w:type="dxa"/>
            <w:right w:w="0" w:type="dxa"/>
          </w:tblCellMar>
        </w:tblPrEx>
        <w:trPr>
          <w:trHeight w:val="688" w:hRule="atLeast"/>
        </w:trPr>
        <w:tc>
          <w:tcPr>
            <w:tcW w:w="4941" w:type="dxa"/>
            <w:gridSpan w:val="2"/>
            <w:tcMar>
              <w:left w:w="108" w:type="dxa"/>
              <w:right w:w="108" w:type="dxa"/>
            </w:tcMar>
            <w:vAlign w:val="center"/>
          </w:tcPr>
          <w:p w14:paraId="0511A725">
            <w:pPr>
              <w:tabs>
                <w:tab w:val="right" w:pos="4860"/>
              </w:tabs>
              <w:snapToGrid w:val="0"/>
              <w:rPr>
                <w:rFonts w:hint="eastAsia" w:ascii="宋体" w:hAnsi="宋体" w:eastAsia="宋体" w:cs="宋体"/>
                <w:b/>
                <w:bCs/>
                <w:sz w:val="24"/>
                <w:szCs w:val="24"/>
              </w:rPr>
            </w:pPr>
            <w:r>
              <w:rPr>
                <w:rFonts w:hint="eastAsia" w:ascii="宋体" w:hAnsi="宋体" w:eastAsia="宋体" w:cs="宋体"/>
                <w:b/>
                <w:bCs/>
                <w:sz w:val="24"/>
                <w:szCs w:val="24"/>
                <w:lang w:bidi="ar"/>
              </w:rPr>
              <w:t>法定代表人：</w:t>
            </w:r>
            <w:r>
              <w:rPr>
                <w:rFonts w:hint="eastAsia" w:ascii="宋体" w:hAnsi="宋体" w:eastAsia="宋体" w:cs="宋体"/>
                <w:b/>
                <w:bCs/>
                <w:sz w:val="24"/>
                <w:szCs w:val="24"/>
                <w:lang w:bidi="ar"/>
              </w:rPr>
              <w:tab/>
            </w:r>
          </w:p>
        </w:tc>
        <w:tc>
          <w:tcPr>
            <w:tcW w:w="4834" w:type="dxa"/>
            <w:tcMar>
              <w:left w:w="108" w:type="dxa"/>
              <w:right w:w="108" w:type="dxa"/>
            </w:tcMar>
            <w:vAlign w:val="center"/>
          </w:tcPr>
          <w:p w14:paraId="1145DF0E">
            <w:pPr>
              <w:snapToGrid w:val="0"/>
              <w:rPr>
                <w:rFonts w:hint="eastAsia" w:ascii="宋体" w:hAnsi="宋体" w:eastAsia="宋体" w:cs="宋体"/>
                <w:b/>
                <w:bCs/>
                <w:sz w:val="24"/>
                <w:szCs w:val="24"/>
              </w:rPr>
            </w:pPr>
            <w:r>
              <w:rPr>
                <w:rFonts w:hint="eastAsia" w:ascii="宋体" w:hAnsi="宋体" w:eastAsia="宋体" w:cs="宋体"/>
                <w:b/>
                <w:bCs/>
                <w:sz w:val="24"/>
                <w:szCs w:val="24"/>
                <w:lang w:bidi="ar"/>
              </w:rPr>
              <w:t>法定代表人：</w:t>
            </w:r>
          </w:p>
        </w:tc>
      </w:tr>
      <w:tr w14:paraId="554BD80C">
        <w:tblPrEx>
          <w:tblCellMar>
            <w:top w:w="0" w:type="dxa"/>
            <w:left w:w="0" w:type="dxa"/>
            <w:bottom w:w="0" w:type="dxa"/>
            <w:right w:w="0" w:type="dxa"/>
          </w:tblCellMar>
        </w:tblPrEx>
        <w:trPr>
          <w:trHeight w:val="619" w:hRule="atLeast"/>
        </w:trPr>
        <w:tc>
          <w:tcPr>
            <w:tcW w:w="4941" w:type="dxa"/>
            <w:gridSpan w:val="2"/>
            <w:tcMar>
              <w:left w:w="108" w:type="dxa"/>
              <w:right w:w="108" w:type="dxa"/>
            </w:tcMar>
            <w:vAlign w:val="center"/>
          </w:tcPr>
          <w:p w14:paraId="2ADEBB3E">
            <w:pPr>
              <w:snapToGrid w:val="0"/>
              <w:rPr>
                <w:rFonts w:hint="eastAsia" w:ascii="宋体" w:hAnsi="宋体" w:eastAsia="宋体" w:cs="宋体"/>
                <w:b/>
                <w:bCs/>
                <w:sz w:val="24"/>
                <w:szCs w:val="24"/>
              </w:rPr>
            </w:pPr>
            <w:r>
              <w:rPr>
                <w:rFonts w:hint="eastAsia" w:ascii="宋体" w:hAnsi="宋体" w:eastAsia="宋体" w:cs="宋体"/>
                <w:b/>
                <w:bCs/>
                <w:sz w:val="24"/>
                <w:szCs w:val="24"/>
                <w:lang w:bidi="ar"/>
              </w:rPr>
              <w:t>经办人：</w:t>
            </w:r>
          </w:p>
        </w:tc>
        <w:tc>
          <w:tcPr>
            <w:tcW w:w="4834" w:type="dxa"/>
            <w:tcMar>
              <w:left w:w="108" w:type="dxa"/>
              <w:right w:w="108" w:type="dxa"/>
            </w:tcMar>
            <w:vAlign w:val="center"/>
          </w:tcPr>
          <w:p w14:paraId="3DC1F7CA">
            <w:pPr>
              <w:snapToGrid w:val="0"/>
              <w:rPr>
                <w:rFonts w:hint="eastAsia" w:ascii="宋体" w:hAnsi="宋体" w:eastAsia="宋体" w:cs="宋体"/>
                <w:b/>
                <w:bCs/>
                <w:sz w:val="24"/>
                <w:szCs w:val="24"/>
              </w:rPr>
            </w:pPr>
            <w:r>
              <w:rPr>
                <w:rFonts w:hint="eastAsia" w:ascii="宋体" w:hAnsi="宋体" w:eastAsia="宋体" w:cs="宋体"/>
                <w:b/>
                <w:bCs/>
                <w:sz w:val="24"/>
                <w:szCs w:val="24"/>
                <w:lang w:bidi="ar"/>
              </w:rPr>
              <w:t>经办人</w:t>
            </w:r>
          </w:p>
        </w:tc>
      </w:tr>
      <w:tr w14:paraId="6C7AF0D5">
        <w:tblPrEx>
          <w:tblCellMar>
            <w:top w:w="0" w:type="dxa"/>
            <w:left w:w="0" w:type="dxa"/>
            <w:bottom w:w="0" w:type="dxa"/>
            <w:right w:w="0" w:type="dxa"/>
          </w:tblCellMar>
        </w:tblPrEx>
        <w:trPr>
          <w:trHeight w:val="548" w:hRule="atLeast"/>
        </w:trPr>
        <w:tc>
          <w:tcPr>
            <w:tcW w:w="4941" w:type="dxa"/>
            <w:gridSpan w:val="2"/>
            <w:tcMar>
              <w:left w:w="108" w:type="dxa"/>
              <w:right w:w="108" w:type="dxa"/>
            </w:tcMar>
            <w:vAlign w:val="center"/>
          </w:tcPr>
          <w:p w14:paraId="59AC3221">
            <w:pPr>
              <w:snapToGrid w:val="0"/>
              <w:rPr>
                <w:rFonts w:hint="eastAsia" w:ascii="宋体" w:hAnsi="宋体" w:eastAsia="宋体" w:cs="宋体"/>
                <w:b/>
                <w:bCs/>
                <w:sz w:val="24"/>
                <w:szCs w:val="24"/>
              </w:rPr>
            </w:pPr>
            <w:r>
              <w:rPr>
                <w:rFonts w:hint="eastAsia" w:ascii="宋体" w:hAnsi="宋体" w:eastAsia="宋体" w:cs="宋体"/>
                <w:b/>
                <w:bCs/>
                <w:sz w:val="24"/>
                <w:szCs w:val="24"/>
              </w:rPr>
              <w:t>电话：</w:t>
            </w:r>
          </w:p>
        </w:tc>
        <w:tc>
          <w:tcPr>
            <w:tcW w:w="4834" w:type="dxa"/>
            <w:tcMar>
              <w:left w:w="108" w:type="dxa"/>
              <w:right w:w="108" w:type="dxa"/>
            </w:tcMar>
            <w:vAlign w:val="center"/>
          </w:tcPr>
          <w:p w14:paraId="3E0BF9CD">
            <w:pPr>
              <w:snapToGrid w:val="0"/>
              <w:jc w:val="left"/>
              <w:rPr>
                <w:rFonts w:hint="eastAsia" w:ascii="宋体" w:hAnsi="宋体" w:eastAsia="宋体" w:cs="宋体"/>
                <w:b/>
                <w:bCs/>
                <w:sz w:val="24"/>
                <w:szCs w:val="24"/>
              </w:rPr>
            </w:pPr>
            <w:r>
              <w:rPr>
                <w:rFonts w:hint="eastAsia" w:ascii="宋体" w:hAnsi="宋体" w:eastAsia="宋体" w:cs="宋体"/>
                <w:b/>
                <w:bCs/>
                <w:sz w:val="24"/>
                <w:szCs w:val="24"/>
                <w:lang w:bidi="ar"/>
              </w:rPr>
              <w:t>电话：</w:t>
            </w:r>
          </w:p>
        </w:tc>
      </w:tr>
      <w:tr w14:paraId="7BD2A312">
        <w:tblPrEx>
          <w:tblCellMar>
            <w:top w:w="0" w:type="dxa"/>
            <w:left w:w="0" w:type="dxa"/>
            <w:bottom w:w="0" w:type="dxa"/>
            <w:right w:w="0" w:type="dxa"/>
          </w:tblCellMar>
        </w:tblPrEx>
        <w:trPr>
          <w:trHeight w:val="533" w:hRule="atLeast"/>
        </w:trPr>
        <w:tc>
          <w:tcPr>
            <w:tcW w:w="4941" w:type="dxa"/>
            <w:gridSpan w:val="2"/>
            <w:tcMar>
              <w:left w:w="108" w:type="dxa"/>
              <w:right w:w="108" w:type="dxa"/>
            </w:tcMar>
            <w:vAlign w:val="center"/>
          </w:tcPr>
          <w:p w14:paraId="43760088">
            <w:pPr>
              <w:snapToGrid w:val="0"/>
              <w:rPr>
                <w:rFonts w:hint="eastAsia" w:ascii="宋体" w:hAnsi="宋体" w:eastAsia="宋体" w:cs="宋体"/>
                <w:b/>
                <w:bCs/>
                <w:sz w:val="24"/>
                <w:szCs w:val="24"/>
              </w:rPr>
            </w:pPr>
          </w:p>
        </w:tc>
        <w:tc>
          <w:tcPr>
            <w:tcW w:w="4834" w:type="dxa"/>
            <w:tcMar>
              <w:left w:w="108" w:type="dxa"/>
              <w:right w:w="108" w:type="dxa"/>
            </w:tcMar>
            <w:vAlign w:val="center"/>
          </w:tcPr>
          <w:p w14:paraId="20FF43A4">
            <w:pPr>
              <w:snapToGrid w:val="0"/>
              <w:rPr>
                <w:rFonts w:hint="eastAsia" w:ascii="宋体" w:hAnsi="宋体" w:eastAsia="宋体" w:cs="宋体"/>
                <w:b/>
                <w:bCs/>
                <w:sz w:val="24"/>
                <w:szCs w:val="24"/>
              </w:rPr>
            </w:pPr>
          </w:p>
        </w:tc>
      </w:tr>
      <w:tr w14:paraId="174B1F55">
        <w:tblPrEx>
          <w:tblCellMar>
            <w:top w:w="0" w:type="dxa"/>
            <w:left w:w="0" w:type="dxa"/>
            <w:bottom w:w="0" w:type="dxa"/>
            <w:right w:w="0" w:type="dxa"/>
          </w:tblCellMar>
        </w:tblPrEx>
        <w:trPr>
          <w:trHeight w:val="663" w:hRule="atLeast"/>
        </w:trPr>
        <w:tc>
          <w:tcPr>
            <w:tcW w:w="4935" w:type="dxa"/>
            <w:tcMar>
              <w:left w:w="108" w:type="dxa"/>
              <w:right w:w="108" w:type="dxa"/>
            </w:tcMar>
            <w:vAlign w:val="center"/>
          </w:tcPr>
          <w:p w14:paraId="5AC6E817">
            <w:pPr>
              <w:snapToGrid w:val="0"/>
              <w:jc w:val="left"/>
              <w:rPr>
                <w:rFonts w:hint="eastAsia" w:ascii="宋体" w:hAnsi="宋体" w:eastAsia="宋体" w:cs="宋体"/>
                <w:b/>
                <w:bCs/>
                <w:sz w:val="24"/>
                <w:szCs w:val="24"/>
              </w:rPr>
            </w:pPr>
            <w:r>
              <w:rPr>
                <w:rFonts w:hint="eastAsia" w:ascii="宋体" w:hAnsi="宋体" w:eastAsia="宋体" w:cs="宋体"/>
                <w:b/>
                <w:bCs/>
                <w:sz w:val="24"/>
                <w:szCs w:val="24"/>
                <w:lang w:bidi="ar"/>
              </w:rPr>
              <w:t>签约日期：   年   月    日</w:t>
            </w:r>
          </w:p>
        </w:tc>
        <w:tc>
          <w:tcPr>
            <w:tcW w:w="4840" w:type="dxa"/>
            <w:gridSpan w:val="2"/>
            <w:vAlign w:val="center"/>
          </w:tcPr>
          <w:p w14:paraId="1BC2B29E">
            <w:pPr>
              <w:snapToGrid w:val="0"/>
              <w:jc w:val="left"/>
              <w:rPr>
                <w:rFonts w:hint="eastAsia" w:ascii="宋体" w:hAnsi="宋体" w:eastAsia="宋体" w:cs="宋体"/>
                <w:b/>
                <w:bCs/>
                <w:sz w:val="24"/>
                <w:szCs w:val="24"/>
              </w:rPr>
            </w:pPr>
            <w:r>
              <w:rPr>
                <w:rFonts w:hint="eastAsia" w:ascii="宋体" w:hAnsi="宋体" w:eastAsia="宋体" w:cs="宋体"/>
                <w:b/>
                <w:bCs/>
                <w:sz w:val="24"/>
                <w:szCs w:val="24"/>
                <w:lang w:bidi="ar"/>
              </w:rPr>
              <w:t>签约日期：   年   月    日</w:t>
            </w:r>
          </w:p>
        </w:tc>
      </w:tr>
    </w:tbl>
    <w:p w14:paraId="0917C43E">
      <w:pPr>
        <w:adjustRightInd w:val="0"/>
        <w:snapToGrid w:val="0"/>
        <w:spacing w:line="336" w:lineRule="auto"/>
        <w:rPr>
          <w:rFonts w:hint="eastAsia" w:ascii="宋体" w:hAnsi="宋体" w:eastAsia="宋体" w:cs="宋体"/>
          <w:b/>
          <w:bCs/>
          <w:sz w:val="28"/>
          <w:szCs w:val="28"/>
        </w:rPr>
        <w:sectPr>
          <w:footerReference r:id="rId3" w:type="default"/>
          <w:pgSz w:w="11906" w:h="16838"/>
          <w:pgMar w:top="1440" w:right="1803" w:bottom="1440" w:left="1803" w:header="851" w:footer="992" w:gutter="0"/>
          <w:pgNumType w:fmt="decimal"/>
          <w:cols w:space="0" w:num="1"/>
          <w:rtlGutter w:val="0"/>
          <w:docGrid w:type="lines" w:linePitch="319" w:charSpace="0"/>
        </w:sectPr>
      </w:pPr>
    </w:p>
    <w:p w14:paraId="2ED5196B">
      <w:pPr>
        <w:adjustRightInd w:val="0"/>
        <w:snapToGrid w:val="0"/>
        <w:spacing w:line="336" w:lineRule="auto"/>
        <w:rPr>
          <w:rFonts w:hint="eastAsia" w:ascii="宋体" w:hAnsi="宋体" w:eastAsia="宋体" w:cs="宋体"/>
          <w:b/>
          <w:bCs/>
          <w:sz w:val="28"/>
          <w:szCs w:val="28"/>
        </w:rPr>
      </w:pPr>
      <w:r>
        <w:rPr>
          <w:rFonts w:hint="eastAsia" w:ascii="宋体" w:hAnsi="宋体" w:eastAsia="宋体" w:cs="宋体"/>
          <w:b/>
          <w:bCs/>
          <w:sz w:val="28"/>
          <w:szCs w:val="28"/>
        </w:rPr>
        <w:t>附表：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816"/>
        <w:gridCol w:w="2773"/>
        <w:gridCol w:w="883"/>
        <w:gridCol w:w="832"/>
        <w:gridCol w:w="1172"/>
        <w:gridCol w:w="1477"/>
        <w:gridCol w:w="6221"/>
      </w:tblGrid>
      <w:tr w14:paraId="215F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16" w:type="dxa"/>
            <w:shd w:val="clear" w:color="auto" w:fill="FFFFFF" w:themeFill="background1"/>
            <w:vAlign w:val="center"/>
          </w:tcPr>
          <w:p w14:paraId="6FDCA4A4">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序号</w:t>
            </w:r>
          </w:p>
        </w:tc>
        <w:tc>
          <w:tcPr>
            <w:tcW w:w="2773" w:type="dxa"/>
            <w:shd w:val="clear" w:color="auto" w:fill="FFFFFF" w:themeFill="background1"/>
            <w:vAlign w:val="center"/>
          </w:tcPr>
          <w:p w14:paraId="31E35328">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工作内容</w:t>
            </w:r>
          </w:p>
        </w:tc>
        <w:tc>
          <w:tcPr>
            <w:tcW w:w="883" w:type="dxa"/>
            <w:shd w:val="clear" w:color="auto" w:fill="FFFFFF" w:themeFill="background1"/>
            <w:vAlign w:val="center"/>
          </w:tcPr>
          <w:p w14:paraId="77994C14">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单位</w:t>
            </w:r>
          </w:p>
        </w:tc>
        <w:tc>
          <w:tcPr>
            <w:tcW w:w="832" w:type="dxa"/>
            <w:shd w:val="clear" w:color="auto" w:fill="FFFFFF" w:themeFill="background1"/>
            <w:vAlign w:val="center"/>
          </w:tcPr>
          <w:p w14:paraId="306863ED">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数量</w:t>
            </w:r>
          </w:p>
        </w:tc>
        <w:tc>
          <w:tcPr>
            <w:tcW w:w="1172" w:type="dxa"/>
            <w:shd w:val="clear" w:color="auto" w:fill="FFFFFF" w:themeFill="background1"/>
            <w:vAlign w:val="center"/>
          </w:tcPr>
          <w:p w14:paraId="6809FA19">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单价（元）</w:t>
            </w:r>
          </w:p>
        </w:tc>
        <w:tc>
          <w:tcPr>
            <w:tcW w:w="1477" w:type="dxa"/>
            <w:shd w:val="clear" w:color="auto" w:fill="FFFFFF" w:themeFill="background1"/>
            <w:vAlign w:val="center"/>
          </w:tcPr>
          <w:p w14:paraId="3DCB2F96">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总价</w:t>
            </w:r>
          </w:p>
          <w:p w14:paraId="64B10231">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（元）</w:t>
            </w:r>
          </w:p>
        </w:tc>
        <w:tc>
          <w:tcPr>
            <w:tcW w:w="6221" w:type="dxa"/>
            <w:shd w:val="clear" w:color="auto" w:fill="FFFFFF" w:themeFill="background1"/>
            <w:vAlign w:val="center"/>
          </w:tcPr>
          <w:p w14:paraId="316141B6">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备注</w:t>
            </w:r>
          </w:p>
        </w:tc>
      </w:tr>
      <w:tr w14:paraId="0ADC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16" w:type="dxa"/>
            <w:shd w:val="clear" w:color="auto" w:fill="FFFFFF" w:themeFill="background1"/>
            <w:vAlign w:val="center"/>
          </w:tcPr>
          <w:p w14:paraId="3BF7633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b/>
                <w:bCs/>
                <w:color w:val="000000"/>
                <w:sz w:val="24"/>
                <w:szCs w:val="24"/>
                <w:highlight w:val="none"/>
              </w:rPr>
              <w:t>一</w:t>
            </w:r>
          </w:p>
        </w:tc>
        <w:tc>
          <w:tcPr>
            <w:tcW w:w="5660" w:type="dxa"/>
            <w:gridSpan w:val="4"/>
            <w:shd w:val="clear" w:color="auto" w:fill="FFFFFF" w:themeFill="background1"/>
            <w:vAlign w:val="center"/>
          </w:tcPr>
          <w:p w14:paraId="42AA094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val="0"/>
                <w:sz w:val="24"/>
                <w:szCs w:val="24"/>
                <w:highlight w:val="none"/>
                <w:vertAlign w:val="baseline"/>
              </w:rPr>
            </w:pPr>
            <w:r>
              <w:rPr>
                <w:rFonts w:hint="eastAsia" w:ascii="宋体" w:hAnsi="宋体" w:eastAsia="宋体" w:cs="宋体"/>
                <w:b/>
                <w:bCs/>
                <w:color w:val="000000"/>
                <w:sz w:val="24"/>
                <w:szCs w:val="24"/>
                <w:highlight w:val="none"/>
              </w:rPr>
              <w:t>堆体安全监测及稳定评估</w:t>
            </w:r>
          </w:p>
        </w:tc>
        <w:tc>
          <w:tcPr>
            <w:tcW w:w="1477" w:type="dxa"/>
            <w:shd w:val="clear" w:color="auto" w:fill="FFFFFF" w:themeFill="background1"/>
            <w:vAlign w:val="center"/>
          </w:tcPr>
          <w:p w14:paraId="64EE7D10">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highlight w:val="none"/>
                <w:vertAlign w:val="baseline"/>
              </w:rPr>
            </w:pPr>
            <w:r>
              <w:rPr>
                <w:rFonts w:hint="eastAsia" w:ascii="宋体" w:hAnsi="宋体" w:eastAsia="宋体" w:cs="宋体"/>
                <w:b/>
                <w:bCs/>
                <w:sz w:val="24"/>
                <w:szCs w:val="24"/>
                <w:highlight w:val="none"/>
                <w:vertAlign w:val="baseline"/>
                <w:lang w:val="en-US" w:eastAsia="zh-CN"/>
              </w:rPr>
              <w:t>622448.00</w:t>
            </w:r>
          </w:p>
        </w:tc>
        <w:tc>
          <w:tcPr>
            <w:tcW w:w="6221" w:type="dxa"/>
            <w:shd w:val="clear" w:color="auto" w:fill="FFFFFF" w:themeFill="background1"/>
            <w:vAlign w:val="center"/>
          </w:tcPr>
          <w:p w14:paraId="280D4D0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val="0"/>
                <w:sz w:val="24"/>
                <w:szCs w:val="24"/>
                <w:vertAlign w:val="baseline"/>
              </w:rPr>
            </w:pPr>
          </w:p>
        </w:tc>
      </w:tr>
      <w:tr w14:paraId="5D13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816" w:type="dxa"/>
            <w:shd w:val="clear" w:color="auto" w:fill="FFFFFF" w:themeFill="background1"/>
            <w:vAlign w:val="center"/>
          </w:tcPr>
          <w:p w14:paraId="561EF56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1.1</w:t>
            </w:r>
          </w:p>
        </w:tc>
        <w:tc>
          <w:tcPr>
            <w:tcW w:w="5660" w:type="dxa"/>
            <w:gridSpan w:val="4"/>
            <w:shd w:val="clear" w:color="auto" w:fill="FFFFFF" w:themeFill="background1"/>
            <w:vAlign w:val="center"/>
          </w:tcPr>
          <w:p w14:paraId="775C92A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监测点位建设</w:t>
            </w:r>
          </w:p>
        </w:tc>
        <w:tc>
          <w:tcPr>
            <w:tcW w:w="1477" w:type="dxa"/>
            <w:shd w:val="clear" w:color="auto" w:fill="FFFFFF" w:themeFill="background1"/>
            <w:vAlign w:val="center"/>
          </w:tcPr>
          <w:p w14:paraId="6CF62AEB">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207C7A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r>
      <w:tr w14:paraId="790E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128" w:hRule="atLeast"/>
        </w:trPr>
        <w:tc>
          <w:tcPr>
            <w:tcW w:w="816" w:type="dxa"/>
            <w:shd w:val="clear" w:color="auto" w:fill="FFFFFF" w:themeFill="background1"/>
            <w:vAlign w:val="center"/>
          </w:tcPr>
          <w:p w14:paraId="680272EF">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1.1.1</w:t>
            </w:r>
          </w:p>
        </w:tc>
        <w:tc>
          <w:tcPr>
            <w:tcW w:w="2773" w:type="dxa"/>
            <w:shd w:val="clear" w:color="auto" w:fill="FFFFFF" w:themeFill="background1"/>
            <w:vAlign w:val="center"/>
          </w:tcPr>
          <w:p w14:paraId="5A86F37B">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填埋堆体内钻孔费</w:t>
            </w:r>
          </w:p>
        </w:tc>
        <w:tc>
          <w:tcPr>
            <w:tcW w:w="883" w:type="dxa"/>
            <w:shd w:val="clear" w:color="auto" w:fill="FFFFFF" w:themeFill="background1"/>
            <w:vAlign w:val="center"/>
          </w:tcPr>
          <w:p w14:paraId="2825E022">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w:t>
            </w:r>
          </w:p>
        </w:tc>
        <w:tc>
          <w:tcPr>
            <w:tcW w:w="832" w:type="dxa"/>
            <w:shd w:val="clear" w:color="auto" w:fill="FFFFFF" w:themeFill="background1"/>
            <w:vAlign w:val="center"/>
          </w:tcPr>
          <w:p w14:paraId="6A92A7CF">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225</w:t>
            </w:r>
          </w:p>
        </w:tc>
        <w:tc>
          <w:tcPr>
            <w:tcW w:w="1172" w:type="dxa"/>
            <w:shd w:val="clear" w:color="auto" w:fill="FFFFFF" w:themeFill="background1"/>
            <w:vAlign w:val="center"/>
          </w:tcPr>
          <w:p w14:paraId="30C0279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62B1C6E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8F236F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在堆体内钻孔9个，单孔平均深25m，钻进过程中需要做好垃圾摆样和垃圾取样工作（每5m取一个垃圾样品），取出的多余垃圾需要按业主要求进行妥善处理。</w:t>
            </w:r>
          </w:p>
        </w:tc>
      </w:tr>
      <w:tr w14:paraId="272B4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343" w:hRule="atLeast"/>
        </w:trPr>
        <w:tc>
          <w:tcPr>
            <w:tcW w:w="816" w:type="dxa"/>
            <w:shd w:val="clear" w:color="auto" w:fill="FFFFFF" w:themeFill="background1"/>
            <w:vAlign w:val="center"/>
          </w:tcPr>
          <w:p w14:paraId="0C20C25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1.1.2</w:t>
            </w:r>
          </w:p>
        </w:tc>
        <w:tc>
          <w:tcPr>
            <w:tcW w:w="2773" w:type="dxa"/>
            <w:shd w:val="clear" w:color="auto" w:fill="FFFFFF" w:themeFill="background1"/>
            <w:vAlign w:val="center"/>
          </w:tcPr>
          <w:p w14:paraId="55FB7AB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气压管埋设</w:t>
            </w:r>
          </w:p>
        </w:tc>
        <w:tc>
          <w:tcPr>
            <w:tcW w:w="883" w:type="dxa"/>
            <w:shd w:val="clear" w:color="auto" w:fill="FFFFFF" w:themeFill="background1"/>
            <w:vAlign w:val="center"/>
          </w:tcPr>
          <w:p w14:paraId="51E7FF9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w:t>
            </w:r>
          </w:p>
        </w:tc>
        <w:tc>
          <w:tcPr>
            <w:tcW w:w="832" w:type="dxa"/>
            <w:shd w:val="clear" w:color="auto" w:fill="FFFFFF" w:themeFill="background1"/>
            <w:vAlign w:val="center"/>
          </w:tcPr>
          <w:p w14:paraId="52A59A3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75</w:t>
            </w:r>
          </w:p>
        </w:tc>
        <w:tc>
          <w:tcPr>
            <w:tcW w:w="1172" w:type="dxa"/>
            <w:shd w:val="clear" w:color="auto" w:fill="FFFFFF" w:themeFill="background1"/>
            <w:vAlign w:val="center"/>
          </w:tcPr>
          <w:p w14:paraId="2E12CDE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66BAACB1">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E0E6256">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在其中3个钻孔中埋设气压管，气压管单井深度25m，采用DN50 PPR管，壁厚不小于2mm,管底部开筛并用有纺布包裹。此项费用包含管材、膨润土球等耗材费，以及埋设施工费。</w:t>
            </w:r>
          </w:p>
        </w:tc>
      </w:tr>
      <w:tr w14:paraId="2BD8E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0" w:type="auto"/>
            <w:shd w:val="clear" w:color="auto" w:fill="FFFFFF" w:themeFill="background1"/>
            <w:vAlign w:val="center"/>
          </w:tcPr>
          <w:p w14:paraId="3D13331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1.1.3</w:t>
            </w:r>
          </w:p>
        </w:tc>
        <w:tc>
          <w:tcPr>
            <w:tcW w:w="2773" w:type="dxa"/>
            <w:shd w:val="clear" w:color="auto" w:fill="FFFFFF" w:themeFill="background1"/>
            <w:vAlign w:val="center"/>
          </w:tcPr>
          <w:p w14:paraId="43DA72A9">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孔压计埋设</w:t>
            </w:r>
          </w:p>
        </w:tc>
        <w:tc>
          <w:tcPr>
            <w:tcW w:w="883" w:type="dxa"/>
            <w:shd w:val="clear" w:color="auto" w:fill="FFFFFF" w:themeFill="background1"/>
            <w:vAlign w:val="center"/>
          </w:tcPr>
          <w:p w14:paraId="47A17F9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个</w:t>
            </w:r>
          </w:p>
        </w:tc>
        <w:tc>
          <w:tcPr>
            <w:tcW w:w="832" w:type="dxa"/>
            <w:shd w:val="clear" w:color="auto" w:fill="FFFFFF" w:themeFill="background1"/>
            <w:vAlign w:val="center"/>
          </w:tcPr>
          <w:p w14:paraId="3BC115EA">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6</w:t>
            </w:r>
          </w:p>
        </w:tc>
        <w:tc>
          <w:tcPr>
            <w:tcW w:w="1172" w:type="dxa"/>
            <w:shd w:val="clear" w:color="auto" w:fill="FFFFFF" w:themeFill="background1"/>
            <w:vAlign w:val="center"/>
          </w:tcPr>
          <w:p w14:paraId="37BE5CA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0B77B87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14EF48B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在其中6个钻孔中埋设孔压计（包含温度测试功能），孔压计型号为VWP-0.35，线长为20m~30m。此项费用包含孔压计设备费、埋设施工费。</w:t>
            </w:r>
          </w:p>
        </w:tc>
      </w:tr>
      <w:tr w14:paraId="21802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0" w:type="auto"/>
            <w:shd w:val="clear" w:color="auto" w:fill="FFFFFF" w:themeFill="background1"/>
            <w:vAlign w:val="center"/>
          </w:tcPr>
          <w:p w14:paraId="0A2671E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1.1.4</w:t>
            </w:r>
          </w:p>
        </w:tc>
        <w:tc>
          <w:tcPr>
            <w:tcW w:w="2773" w:type="dxa"/>
            <w:shd w:val="clear" w:color="auto" w:fill="FFFFFF" w:themeFill="background1"/>
            <w:vAlign w:val="center"/>
          </w:tcPr>
          <w:p w14:paraId="3CFBBB2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表面变形监测点建设</w:t>
            </w:r>
          </w:p>
        </w:tc>
        <w:tc>
          <w:tcPr>
            <w:tcW w:w="883" w:type="dxa"/>
            <w:shd w:val="clear" w:color="auto" w:fill="FFFFFF" w:themeFill="background1"/>
            <w:vAlign w:val="center"/>
          </w:tcPr>
          <w:p w14:paraId="619D9EF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个</w:t>
            </w:r>
          </w:p>
        </w:tc>
        <w:tc>
          <w:tcPr>
            <w:tcW w:w="832" w:type="dxa"/>
            <w:shd w:val="clear" w:color="auto" w:fill="FFFFFF" w:themeFill="background1"/>
            <w:vAlign w:val="center"/>
          </w:tcPr>
          <w:p w14:paraId="0B873AE6">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8</w:t>
            </w:r>
          </w:p>
        </w:tc>
        <w:tc>
          <w:tcPr>
            <w:tcW w:w="1172" w:type="dxa"/>
            <w:shd w:val="clear" w:color="auto" w:fill="FFFFFF" w:themeFill="background1"/>
            <w:vAlign w:val="center"/>
          </w:tcPr>
          <w:p w14:paraId="7DB1E1E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6F8E32B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1A2190D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在堆体顶部覆膜区域新建表面变形监测点，总计8个，采用膜下监测点技术。此项费用包含膜下监测点材料费（包括特制螺纹杆、HDPE圆盘、膜下磁铁、膜上磁铁和小棱镜）、监测点安装施工费。</w:t>
            </w:r>
          </w:p>
        </w:tc>
      </w:tr>
      <w:tr w14:paraId="45EF0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4FFAA8A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1.2</w:t>
            </w:r>
          </w:p>
        </w:tc>
        <w:tc>
          <w:tcPr>
            <w:tcW w:w="5660" w:type="dxa"/>
            <w:gridSpan w:val="4"/>
            <w:shd w:val="clear" w:color="auto" w:fill="FFFFFF" w:themeFill="background1"/>
            <w:vAlign w:val="center"/>
          </w:tcPr>
          <w:p w14:paraId="2F2B7D1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跟踪监测</w:t>
            </w:r>
          </w:p>
        </w:tc>
        <w:tc>
          <w:tcPr>
            <w:tcW w:w="1477" w:type="dxa"/>
            <w:shd w:val="clear" w:color="auto" w:fill="FFFFFF" w:themeFill="background1"/>
            <w:vAlign w:val="center"/>
          </w:tcPr>
          <w:p w14:paraId="652D4436">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F5C9C3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监测周期为8个月，监测频率为6、7、8、9月每月2次，其余月份每月1次，总计12次。</w:t>
            </w:r>
          </w:p>
        </w:tc>
      </w:tr>
      <w:tr w14:paraId="3184C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60" w:hRule="atLeast"/>
        </w:trPr>
        <w:tc>
          <w:tcPr>
            <w:tcW w:w="0" w:type="auto"/>
            <w:shd w:val="clear" w:color="auto" w:fill="FFFFFF" w:themeFill="background1"/>
            <w:vAlign w:val="center"/>
          </w:tcPr>
          <w:p w14:paraId="79E5C7E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1.2.1</w:t>
            </w:r>
          </w:p>
        </w:tc>
        <w:tc>
          <w:tcPr>
            <w:tcW w:w="2773" w:type="dxa"/>
            <w:shd w:val="clear" w:color="auto" w:fill="FFFFFF" w:themeFill="background1"/>
            <w:vAlign w:val="center"/>
          </w:tcPr>
          <w:p w14:paraId="490AA1ED">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表面水平位移监测</w:t>
            </w:r>
          </w:p>
        </w:tc>
        <w:tc>
          <w:tcPr>
            <w:tcW w:w="883" w:type="dxa"/>
            <w:shd w:val="clear" w:color="auto" w:fill="FFFFFF" w:themeFill="background1"/>
            <w:vAlign w:val="center"/>
          </w:tcPr>
          <w:p w14:paraId="54E6A78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1A5C2EF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1716</w:t>
            </w:r>
          </w:p>
        </w:tc>
        <w:tc>
          <w:tcPr>
            <w:tcW w:w="1172" w:type="dxa"/>
            <w:shd w:val="clear" w:color="auto" w:fill="FFFFFF" w:themeFill="background1"/>
            <w:vAlign w:val="center"/>
          </w:tcPr>
          <w:p w14:paraId="19F0FFA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3B97D19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13B428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对共计143个表面水平位移监测点开展监测</w:t>
            </w:r>
          </w:p>
        </w:tc>
      </w:tr>
      <w:tr w14:paraId="072A3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78" w:hRule="atLeast"/>
        </w:trPr>
        <w:tc>
          <w:tcPr>
            <w:tcW w:w="0" w:type="auto"/>
            <w:shd w:val="clear" w:color="auto" w:fill="FFFFFF" w:themeFill="background1"/>
            <w:vAlign w:val="center"/>
          </w:tcPr>
          <w:p w14:paraId="501880D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1.2.2</w:t>
            </w:r>
          </w:p>
        </w:tc>
        <w:tc>
          <w:tcPr>
            <w:tcW w:w="2773" w:type="dxa"/>
            <w:shd w:val="clear" w:color="auto" w:fill="FFFFFF" w:themeFill="background1"/>
            <w:vAlign w:val="center"/>
          </w:tcPr>
          <w:p w14:paraId="69B2953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表面沉降监测</w:t>
            </w:r>
          </w:p>
        </w:tc>
        <w:tc>
          <w:tcPr>
            <w:tcW w:w="883" w:type="dxa"/>
            <w:shd w:val="clear" w:color="auto" w:fill="FFFFFF" w:themeFill="background1"/>
            <w:vAlign w:val="center"/>
          </w:tcPr>
          <w:p w14:paraId="28E93989">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58F97929">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1716</w:t>
            </w:r>
          </w:p>
        </w:tc>
        <w:tc>
          <w:tcPr>
            <w:tcW w:w="1172" w:type="dxa"/>
            <w:shd w:val="clear" w:color="auto" w:fill="FFFFFF" w:themeFill="background1"/>
            <w:vAlign w:val="center"/>
          </w:tcPr>
          <w:p w14:paraId="6BDB373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5A356BA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DB69C29">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对共计143个表面沉降监测点开展监测</w:t>
            </w:r>
          </w:p>
        </w:tc>
      </w:tr>
      <w:tr w14:paraId="7F16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98" w:hRule="atLeast"/>
        </w:trPr>
        <w:tc>
          <w:tcPr>
            <w:tcW w:w="0" w:type="auto"/>
            <w:shd w:val="clear" w:color="auto" w:fill="FFFFFF" w:themeFill="background1"/>
            <w:vAlign w:val="center"/>
          </w:tcPr>
          <w:p w14:paraId="02BA1775">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1.2.3</w:t>
            </w:r>
          </w:p>
        </w:tc>
        <w:tc>
          <w:tcPr>
            <w:tcW w:w="2773" w:type="dxa"/>
            <w:shd w:val="clear" w:color="auto" w:fill="FFFFFF" w:themeFill="background1"/>
            <w:vAlign w:val="center"/>
          </w:tcPr>
          <w:p w14:paraId="3945EE1A">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深层水平位移监测</w:t>
            </w:r>
          </w:p>
        </w:tc>
        <w:tc>
          <w:tcPr>
            <w:tcW w:w="883" w:type="dxa"/>
            <w:shd w:val="clear" w:color="auto" w:fill="FFFFFF" w:themeFill="background1"/>
            <w:vAlign w:val="center"/>
          </w:tcPr>
          <w:p w14:paraId="16DBC8E9">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m*次</w:t>
            </w:r>
          </w:p>
        </w:tc>
        <w:tc>
          <w:tcPr>
            <w:tcW w:w="832" w:type="dxa"/>
            <w:shd w:val="clear" w:color="auto" w:fill="FFFFFF" w:themeFill="background1"/>
            <w:vAlign w:val="center"/>
          </w:tcPr>
          <w:p w14:paraId="7531272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9240</w:t>
            </w:r>
          </w:p>
        </w:tc>
        <w:tc>
          <w:tcPr>
            <w:tcW w:w="1172" w:type="dxa"/>
            <w:shd w:val="clear" w:color="auto" w:fill="FFFFFF" w:themeFill="background1"/>
            <w:vAlign w:val="center"/>
          </w:tcPr>
          <w:p w14:paraId="4776A93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48068A5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1553A10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对共计34个深层水平位移监测井开展监测，单口井平均深度约22.6m，单次监测总进尺为770m。</w:t>
            </w:r>
          </w:p>
        </w:tc>
      </w:tr>
      <w:tr w14:paraId="3827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0" w:type="auto"/>
            <w:shd w:val="clear" w:color="auto" w:fill="FFFFFF" w:themeFill="background1"/>
            <w:vAlign w:val="center"/>
          </w:tcPr>
          <w:p w14:paraId="27B70A2D">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1.2.4</w:t>
            </w:r>
          </w:p>
        </w:tc>
        <w:tc>
          <w:tcPr>
            <w:tcW w:w="2773" w:type="dxa"/>
            <w:shd w:val="clear" w:color="auto" w:fill="FFFFFF" w:themeFill="background1"/>
            <w:vAlign w:val="center"/>
          </w:tcPr>
          <w:p w14:paraId="52448280">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滞水位监测</w:t>
            </w:r>
          </w:p>
        </w:tc>
        <w:tc>
          <w:tcPr>
            <w:tcW w:w="883" w:type="dxa"/>
            <w:shd w:val="clear" w:color="auto" w:fill="FFFFFF" w:themeFill="background1"/>
            <w:vAlign w:val="center"/>
          </w:tcPr>
          <w:p w14:paraId="55A48ED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2228D72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420</w:t>
            </w:r>
          </w:p>
        </w:tc>
        <w:tc>
          <w:tcPr>
            <w:tcW w:w="1172" w:type="dxa"/>
            <w:shd w:val="clear" w:color="auto" w:fill="FFFFFF" w:themeFill="background1"/>
            <w:vAlign w:val="center"/>
          </w:tcPr>
          <w:p w14:paraId="68FC28E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4701CD8B">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44F07A3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对共计35个滞水位监测点开展监测</w:t>
            </w:r>
          </w:p>
        </w:tc>
      </w:tr>
      <w:tr w14:paraId="0C67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0" w:type="auto"/>
            <w:shd w:val="clear" w:color="auto" w:fill="FFFFFF" w:themeFill="background1"/>
            <w:vAlign w:val="center"/>
          </w:tcPr>
          <w:p w14:paraId="6E87C8FB">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1.2.5</w:t>
            </w:r>
          </w:p>
        </w:tc>
        <w:tc>
          <w:tcPr>
            <w:tcW w:w="2773" w:type="dxa"/>
            <w:shd w:val="clear" w:color="auto" w:fill="FFFFFF" w:themeFill="background1"/>
            <w:vAlign w:val="center"/>
          </w:tcPr>
          <w:p w14:paraId="17E854F5">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孔压监测</w:t>
            </w:r>
          </w:p>
        </w:tc>
        <w:tc>
          <w:tcPr>
            <w:tcW w:w="883" w:type="dxa"/>
            <w:shd w:val="clear" w:color="auto" w:fill="FFFFFF" w:themeFill="background1"/>
            <w:vAlign w:val="center"/>
          </w:tcPr>
          <w:p w14:paraId="5117578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2783107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336</w:t>
            </w:r>
          </w:p>
        </w:tc>
        <w:tc>
          <w:tcPr>
            <w:tcW w:w="1172" w:type="dxa"/>
            <w:shd w:val="clear" w:color="auto" w:fill="FFFFFF" w:themeFill="background1"/>
            <w:vAlign w:val="center"/>
          </w:tcPr>
          <w:p w14:paraId="7A06B75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24F04C36">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352743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对共计28个孔压监测点开展监测</w:t>
            </w:r>
          </w:p>
        </w:tc>
      </w:tr>
      <w:tr w14:paraId="6AFD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54" w:hRule="atLeast"/>
        </w:trPr>
        <w:tc>
          <w:tcPr>
            <w:tcW w:w="0" w:type="auto"/>
            <w:shd w:val="clear" w:color="auto" w:fill="FFFFFF" w:themeFill="background1"/>
            <w:vAlign w:val="center"/>
          </w:tcPr>
          <w:p w14:paraId="61ADB5F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1.2.6</w:t>
            </w:r>
          </w:p>
        </w:tc>
        <w:tc>
          <w:tcPr>
            <w:tcW w:w="2773" w:type="dxa"/>
            <w:shd w:val="clear" w:color="auto" w:fill="FFFFFF" w:themeFill="background1"/>
            <w:vAlign w:val="center"/>
          </w:tcPr>
          <w:p w14:paraId="5A80B26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气压监测</w:t>
            </w:r>
          </w:p>
        </w:tc>
        <w:tc>
          <w:tcPr>
            <w:tcW w:w="883" w:type="dxa"/>
            <w:shd w:val="clear" w:color="auto" w:fill="FFFFFF" w:themeFill="background1"/>
            <w:vAlign w:val="center"/>
          </w:tcPr>
          <w:p w14:paraId="674DC866">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5AB0177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36</w:t>
            </w:r>
          </w:p>
        </w:tc>
        <w:tc>
          <w:tcPr>
            <w:tcW w:w="1172" w:type="dxa"/>
            <w:shd w:val="clear" w:color="auto" w:fill="FFFFFF" w:themeFill="background1"/>
            <w:vAlign w:val="center"/>
          </w:tcPr>
          <w:p w14:paraId="0F4BABC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6724A15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4B16956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对共计3口气压监测井开展监测</w:t>
            </w:r>
          </w:p>
        </w:tc>
      </w:tr>
      <w:tr w14:paraId="06814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34593D6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1.3</w:t>
            </w:r>
          </w:p>
        </w:tc>
        <w:tc>
          <w:tcPr>
            <w:tcW w:w="2773" w:type="dxa"/>
            <w:shd w:val="clear" w:color="auto" w:fill="FFFFFF" w:themeFill="background1"/>
            <w:vAlign w:val="center"/>
          </w:tcPr>
          <w:p w14:paraId="3CE9D66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技术工作费</w:t>
            </w:r>
          </w:p>
        </w:tc>
        <w:tc>
          <w:tcPr>
            <w:tcW w:w="883" w:type="dxa"/>
            <w:shd w:val="clear" w:color="auto" w:fill="FFFFFF" w:themeFill="background1"/>
            <w:vAlign w:val="center"/>
          </w:tcPr>
          <w:p w14:paraId="2A5D654D">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项</w:t>
            </w:r>
          </w:p>
        </w:tc>
        <w:tc>
          <w:tcPr>
            <w:tcW w:w="832" w:type="dxa"/>
            <w:shd w:val="clear" w:color="auto" w:fill="FFFFFF" w:themeFill="background1"/>
            <w:vAlign w:val="center"/>
          </w:tcPr>
          <w:p w14:paraId="3C6F62E5">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w:t>
            </w:r>
          </w:p>
        </w:tc>
        <w:tc>
          <w:tcPr>
            <w:tcW w:w="1172" w:type="dxa"/>
            <w:shd w:val="clear" w:color="auto" w:fill="FFFFFF" w:themeFill="background1"/>
            <w:vAlign w:val="center"/>
          </w:tcPr>
          <w:p w14:paraId="557B2CB1">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756AEF2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438C9EE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包括对堆体监测数据的整理和分析以及报告的编制等相关技术工作</w:t>
            </w:r>
          </w:p>
        </w:tc>
      </w:tr>
      <w:tr w14:paraId="17E1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0" w:type="auto"/>
            <w:shd w:val="clear" w:color="auto" w:fill="FFFFFF" w:themeFill="background1"/>
            <w:vAlign w:val="center"/>
          </w:tcPr>
          <w:p w14:paraId="052D0D2F">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sz w:val="24"/>
                <w:szCs w:val="24"/>
                <w:highlight w:val="none"/>
              </w:rPr>
              <w:t>二</w:t>
            </w:r>
          </w:p>
        </w:tc>
        <w:tc>
          <w:tcPr>
            <w:tcW w:w="5660" w:type="dxa"/>
            <w:gridSpan w:val="4"/>
            <w:shd w:val="clear" w:color="auto" w:fill="FFFFFF" w:themeFill="background1"/>
            <w:vAlign w:val="center"/>
          </w:tcPr>
          <w:p w14:paraId="5276CEFB">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bCs/>
                <w:kern w:val="2"/>
                <w:sz w:val="24"/>
                <w:szCs w:val="24"/>
                <w:highlight w:val="none"/>
                <w:vertAlign w:val="baseline"/>
                <w:lang w:val="en-US" w:eastAsia="zh-CN" w:bidi="ar-SA"/>
              </w:rPr>
            </w:pPr>
            <w:r>
              <w:rPr>
                <w:rFonts w:hint="eastAsia" w:ascii="宋体" w:hAnsi="宋体" w:eastAsia="宋体" w:cs="宋体"/>
                <w:b/>
                <w:bCs/>
                <w:color w:val="000000"/>
                <w:sz w:val="24"/>
                <w:szCs w:val="24"/>
                <w:highlight w:val="none"/>
              </w:rPr>
              <w:t>垃圾坝监测及评估</w:t>
            </w:r>
          </w:p>
        </w:tc>
        <w:tc>
          <w:tcPr>
            <w:tcW w:w="1477" w:type="dxa"/>
            <w:shd w:val="clear" w:color="auto" w:fill="FFFFFF" w:themeFill="background1"/>
            <w:vAlign w:val="center"/>
          </w:tcPr>
          <w:p w14:paraId="420BA421">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kern w:val="2"/>
                <w:sz w:val="24"/>
                <w:szCs w:val="24"/>
                <w:highlight w:val="none"/>
                <w:vertAlign w:val="baseline"/>
                <w:lang w:val="en-US" w:eastAsia="zh-CN" w:bidi="ar-SA"/>
              </w:rPr>
            </w:pPr>
            <w:r>
              <w:rPr>
                <w:rFonts w:hint="eastAsia" w:ascii="宋体" w:hAnsi="宋体" w:eastAsia="宋体" w:cs="宋体"/>
                <w:b/>
                <w:bCs/>
                <w:color w:val="000000"/>
                <w:sz w:val="24"/>
                <w:szCs w:val="24"/>
                <w:highlight w:val="none"/>
                <w:lang w:val="en-US" w:eastAsia="zh-CN"/>
              </w:rPr>
              <w:t>88192.00</w:t>
            </w:r>
          </w:p>
        </w:tc>
        <w:tc>
          <w:tcPr>
            <w:tcW w:w="6221" w:type="dxa"/>
            <w:shd w:val="clear" w:color="auto" w:fill="FFFFFF" w:themeFill="background1"/>
            <w:vAlign w:val="center"/>
          </w:tcPr>
          <w:p w14:paraId="55CC6959">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49A0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90" w:hRule="atLeast"/>
        </w:trPr>
        <w:tc>
          <w:tcPr>
            <w:tcW w:w="0" w:type="auto"/>
            <w:shd w:val="clear" w:color="auto" w:fill="FFFFFF" w:themeFill="background1"/>
            <w:vAlign w:val="center"/>
          </w:tcPr>
          <w:p w14:paraId="50DA497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2.1</w:t>
            </w:r>
          </w:p>
        </w:tc>
        <w:tc>
          <w:tcPr>
            <w:tcW w:w="5660" w:type="dxa"/>
            <w:gridSpan w:val="4"/>
            <w:shd w:val="clear" w:color="auto" w:fill="FFFFFF" w:themeFill="background1"/>
            <w:vAlign w:val="center"/>
          </w:tcPr>
          <w:p w14:paraId="3BE1B0F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监测点位建设</w:t>
            </w:r>
          </w:p>
        </w:tc>
        <w:tc>
          <w:tcPr>
            <w:tcW w:w="1477" w:type="dxa"/>
            <w:shd w:val="clear" w:color="auto" w:fill="FFFFFF" w:themeFill="background1"/>
            <w:vAlign w:val="center"/>
          </w:tcPr>
          <w:p w14:paraId="26683A9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C7E1E7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6BD9A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27CD957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2.1.1</w:t>
            </w:r>
          </w:p>
        </w:tc>
        <w:tc>
          <w:tcPr>
            <w:tcW w:w="2773" w:type="dxa"/>
            <w:shd w:val="clear" w:color="auto" w:fill="FFFFFF" w:themeFill="background1"/>
            <w:vAlign w:val="center"/>
          </w:tcPr>
          <w:p w14:paraId="7138FDD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在垃圾坝内钻孔费</w:t>
            </w:r>
          </w:p>
        </w:tc>
        <w:tc>
          <w:tcPr>
            <w:tcW w:w="883" w:type="dxa"/>
            <w:shd w:val="clear" w:color="auto" w:fill="FFFFFF" w:themeFill="background1"/>
            <w:vAlign w:val="center"/>
          </w:tcPr>
          <w:p w14:paraId="5630764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w:t>
            </w:r>
          </w:p>
        </w:tc>
        <w:tc>
          <w:tcPr>
            <w:tcW w:w="832" w:type="dxa"/>
            <w:shd w:val="clear" w:color="auto" w:fill="FFFFFF" w:themeFill="background1"/>
            <w:vAlign w:val="center"/>
          </w:tcPr>
          <w:p w14:paraId="72759D72">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50</w:t>
            </w:r>
          </w:p>
        </w:tc>
        <w:tc>
          <w:tcPr>
            <w:tcW w:w="1172" w:type="dxa"/>
            <w:shd w:val="clear" w:color="auto" w:fill="FFFFFF" w:themeFill="background1"/>
            <w:vAlign w:val="center"/>
          </w:tcPr>
          <w:p w14:paraId="6134B7E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02CA456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4FE155A1">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在垃圾坝区域钻孔3个，单孔平均深16.7m，钻进过程中需要做好土壤的摆样及取样工作（钻至垃圾坝部分后每5m取一个土壤样品），取出的土壤样品需要按业主要求进行妥善处理。</w:t>
            </w:r>
          </w:p>
        </w:tc>
      </w:tr>
      <w:tr w14:paraId="0894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3" w:hRule="atLeast"/>
        </w:trPr>
        <w:tc>
          <w:tcPr>
            <w:tcW w:w="0" w:type="auto"/>
            <w:shd w:val="clear" w:color="auto" w:fill="FFFFFF" w:themeFill="background1"/>
            <w:vAlign w:val="center"/>
          </w:tcPr>
          <w:p w14:paraId="2526043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2.1.2</w:t>
            </w:r>
          </w:p>
        </w:tc>
        <w:tc>
          <w:tcPr>
            <w:tcW w:w="2773" w:type="dxa"/>
            <w:shd w:val="clear" w:color="auto" w:fill="FFFFFF" w:themeFill="background1"/>
            <w:vAlign w:val="center"/>
          </w:tcPr>
          <w:p w14:paraId="3B2B954E">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测斜管埋设</w:t>
            </w:r>
          </w:p>
        </w:tc>
        <w:tc>
          <w:tcPr>
            <w:tcW w:w="883" w:type="dxa"/>
            <w:shd w:val="clear" w:color="auto" w:fill="FFFFFF" w:themeFill="background1"/>
            <w:vAlign w:val="center"/>
          </w:tcPr>
          <w:p w14:paraId="1889C86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w:t>
            </w:r>
          </w:p>
        </w:tc>
        <w:tc>
          <w:tcPr>
            <w:tcW w:w="832" w:type="dxa"/>
            <w:shd w:val="clear" w:color="auto" w:fill="FFFFFF" w:themeFill="background1"/>
            <w:vAlign w:val="center"/>
          </w:tcPr>
          <w:p w14:paraId="757BD80D">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50</w:t>
            </w:r>
          </w:p>
        </w:tc>
        <w:tc>
          <w:tcPr>
            <w:tcW w:w="1172" w:type="dxa"/>
            <w:shd w:val="clear" w:color="auto" w:fill="FFFFFF" w:themeFill="background1"/>
            <w:vAlign w:val="center"/>
          </w:tcPr>
          <w:p w14:paraId="032ED42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0D35B6B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6A52E83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在3个钻孔中埋设测斜管（用于监测坝体深层水平位移），测斜管单井深度16.7m，采用70 PVC管，壁厚不小于5mm。此项费用包含管材、膨润土球、砾料等耗材费，以及加工和埋设施工费。</w:t>
            </w:r>
          </w:p>
        </w:tc>
      </w:tr>
      <w:tr w14:paraId="1104B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785C14F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2.2</w:t>
            </w:r>
          </w:p>
        </w:tc>
        <w:tc>
          <w:tcPr>
            <w:tcW w:w="5660" w:type="dxa"/>
            <w:gridSpan w:val="4"/>
            <w:shd w:val="clear" w:color="auto" w:fill="FFFFFF" w:themeFill="background1"/>
            <w:vAlign w:val="center"/>
          </w:tcPr>
          <w:p w14:paraId="11E869F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跟踪监测</w:t>
            </w:r>
          </w:p>
        </w:tc>
        <w:tc>
          <w:tcPr>
            <w:tcW w:w="1477" w:type="dxa"/>
            <w:shd w:val="clear" w:color="auto" w:fill="FFFFFF" w:themeFill="background1"/>
            <w:vAlign w:val="center"/>
          </w:tcPr>
          <w:p w14:paraId="08699BE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C9EFB4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监测周期为8个月，监测频率为6、7、8、9月每月2次，其余月份每月1次，总计12次。</w:t>
            </w:r>
          </w:p>
        </w:tc>
      </w:tr>
      <w:tr w14:paraId="6D7E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4FEED87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2.2.1</w:t>
            </w:r>
          </w:p>
        </w:tc>
        <w:tc>
          <w:tcPr>
            <w:tcW w:w="2773" w:type="dxa"/>
            <w:shd w:val="clear" w:color="auto" w:fill="FFFFFF" w:themeFill="background1"/>
            <w:vAlign w:val="center"/>
          </w:tcPr>
          <w:p w14:paraId="2732895D">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表面水平位移监测</w:t>
            </w:r>
          </w:p>
        </w:tc>
        <w:tc>
          <w:tcPr>
            <w:tcW w:w="883" w:type="dxa"/>
            <w:shd w:val="clear" w:color="auto" w:fill="FFFFFF" w:themeFill="background1"/>
            <w:vAlign w:val="center"/>
          </w:tcPr>
          <w:p w14:paraId="50C7653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113F847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204</w:t>
            </w:r>
          </w:p>
        </w:tc>
        <w:tc>
          <w:tcPr>
            <w:tcW w:w="1172" w:type="dxa"/>
            <w:shd w:val="clear" w:color="auto" w:fill="FFFFFF" w:themeFill="background1"/>
            <w:vAlign w:val="center"/>
          </w:tcPr>
          <w:p w14:paraId="6E1487D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6A0B633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07BF94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对共计17个表面水平位移监测点开展监测</w:t>
            </w:r>
          </w:p>
        </w:tc>
      </w:tr>
      <w:tr w14:paraId="5EB9D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79118C2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2.2.2</w:t>
            </w:r>
          </w:p>
        </w:tc>
        <w:tc>
          <w:tcPr>
            <w:tcW w:w="2773" w:type="dxa"/>
            <w:shd w:val="clear" w:color="auto" w:fill="FFFFFF" w:themeFill="background1"/>
            <w:vAlign w:val="center"/>
          </w:tcPr>
          <w:p w14:paraId="19B3D875">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表面沉降监测</w:t>
            </w:r>
          </w:p>
        </w:tc>
        <w:tc>
          <w:tcPr>
            <w:tcW w:w="883" w:type="dxa"/>
            <w:shd w:val="clear" w:color="auto" w:fill="FFFFFF" w:themeFill="background1"/>
            <w:vAlign w:val="center"/>
          </w:tcPr>
          <w:p w14:paraId="72709BFF">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60CAA915">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204</w:t>
            </w:r>
          </w:p>
        </w:tc>
        <w:tc>
          <w:tcPr>
            <w:tcW w:w="1172" w:type="dxa"/>
            <w:shd w:val="clear" w:color="auto" w:fill="FFFFFF" w:themeFill="background1"/>
            <w:vAlign w:val="center"/>
          </w:tcPr>
          <w:p w14:paraId="45D8AD26">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57788F3B">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579EC9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对共计17个表面沉降监测点开展监测</w:t>
            </w:r>
          </w:p>
        </w:tc>
      </w:tr>
      <w:tr w14:paraId="2398E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19A873F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2.2.3</w:t>
            </w:r>
          </w:p>
        </w:tc>
        <w:tc>
          <w:tcPr>
            <w:tcW w:w="2773" w:type="dxa"/>
            <w:shd w:val="clear" w:color="auto" w:fill="FFFFFF" w:themeFill="background1"/>
            <w:vAlign w:val="center"/>
          </w:tcPr>
          <w:p w14:paraId="4C157A31">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深层水平位移监测</w:t>
            </w:r>
          </w:p>
        </w:tc>
        <w:tc>
          <w:tcPr>
            <w:tcW w:w="883" w:type="dxa"/>
            <w:shd w:val="clear" w:color="auto" w:fill="FFFFFF" w:themeFill="background1"/>
            <w:vAlign w:val="center"/>
          </w:tcPr>
          <w:p w14:paraId="7B0BC6A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m*次</w:t>
            </w:r>
          </w:p>
        </w:tc>
        <w:tc>
          <w:tcPr>
            <w:tcW w:w="832" w:type="dxa"/>
            <w:shd w:val="clear" w:color="auto" w:fill="FFFFFF" w:themeFill="background1"/>
            <w:vAlign w:val="center"/>
          </w:tcPr>
          <w:p w14:paraId="2812320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1560</w:t>
            </w:r>
          </w:p>
        </w:tc>
        <w:tc>
          <w:tcPr>
            <w:tcW w:w="1172" w:type="dxa"/>
            <w:shd w:val="clear" w:color="auto" w:fill="FFFFFF" w:themeFill="background1"/>
            <w:vAlign w:val="center"/>
          </w:tcPr>
          <w:p w14:paraId="77FC0C1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000F883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6769C7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对共计7个深层水平位移监测井开展监测，单口井平均深度约18.6m，单次监测总进尺为130m。</w:t>
            </w:r>
          </w:p>
        </w:tc>
      </w:tr>
      <w:tr w14:paraId="2C1C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0937036D">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2.2.4</w:t>
            </w:r>
          </w:p>
        </w:tc>
        <w:tc>
          <w:tcPr>
            <w:tcW w:w="2773" w:type="dxa"/>
            <w:shd w:val="clear" w:color="auto" w:fill="FFFFFF" w:themeFill="background1"/>
            <w:vAlign w:val="center"/>
          </w:tcPr>
          <w:p w14:paraId="681C9703">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滞水位监测</w:t>
            </w:r>
          </w:p>
        </w:tc>
        <w:tc>
          <w:tcPr>
            <w:tcW w:w="883" w:type="dxa"/>
            <w:shd w:val="clear" w:color="auto" w:fill="FFFFFF" w:themeFill="background1"/>
            <w:vAlign w:val="center"/>
          </w:tcPr>
          <w:p w14:paraId="0F4D4C2F">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41FE661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84</w:t>
            </w:r>
          </w:p>
        </w:tc>
        <w:tc>
          <w:tcPr>
            <w:tcW w:w="1172" w:type="dxa"/>
            <w:shd w:val="clear" w:color="auto" w:fill="FFFFFF" w:themeFill="background1"/>
            <w:vAlign w:val="center"/>
          </w:tcPr>
          <w:p w14:paraId="2E85854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279CDD3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7587E34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对共计7个滞水位监测点开展监测</w:t>
            </w:r>
          </w:p>
        </w:tc>
      </w:tr>
      <w:tr w14:paraId="3ECB6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778DA979">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2.3</w:t>
            </w:r>
          </w:p>
        </w:tc>
        <w:tc>
          <w:tcPr>
            <w:tcW w:w="2773" w:type="dxa"/>
            <w:shd w:val="clear" w:color="auto" w:fill="FFFFFF" w:themeFill="background1"/>
            <w:vAlign w:val="center"/>
          </w:tcPr>
          <w:p w14:paraId="2F34C1F4">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技术工作费</w:t>
            </w:r>
          </w:p>
        </w:tc>
        <w:tc>
          <w:tcPr>
            <w:tcW w:w="883" w:type="dxa"/>
            <w:shd w:val="clear" w:color="auto" w:fill="FFFFFF" w:themeFill="background1"/>
            <w:vAlign w:val="center"/>
          </w:tcPr>
          <w:p w14:paraId="4996052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项</w:t>
            </w:r>
          </w:p>
        </w:tc>
        <w:tc>
          <w:tcPr>
            <w:tcW w:w="832" w:type="dxa"/>
            <w:shd w:val="clear" w:color="auto" w:fill="FFFFFF" w:themeFill="background1"/>
            <w:vAlign w:val="center"/>
          </w:tcPr>
          <w:p w14:paraId="50E6809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w:t>
            </w:r>
          </w:p>
        </w:tc>
        <w:tc>
          <w:tcPr>
            <w:tcW w:w="1172" w:type="dxa"/>
            <w:shd w:val="clear" w:color="auto" w:fill="FFFFFF" w:themeFill="background1"/>
            <w:vAlign w:val="center"/>
          </w:tcPr>
          <w:p w14:paraId="5D0DCE2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5ACB5EB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797EA37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包括对垃圾坝监测数据的整理和分析以及报告的编制等相关技术工作</w:t>
            </w:r>
          </w:p>
        </w:tc>
      </w:tr>
      <w:tr w14:paraId="37B2C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shd w:val="clear" w:color="auto" w:fill="FFFFFF" w:themeFill="background1"/>
            <w:vAlign w:val="center"/>
          </w:tcPr>
          <w:p w14:paraId="4C323CC6">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三</w:t>
            </w:r>
          </w:p>
        </w:tc>
        <w:tc>
          <w:tcPr>
            <w:tcW w:w="5660" w:type="dxa"/>
            <w:gridSpan w:val="4"/>
            <w:shd w:val="clear" w:color="auto" w:fill="FFFFFF" w:themeFill="background1"/>
            <w:vAlign w:val="center"/>
          </w:tcPr>
          <w:p w14:paraId="3117366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取样分析及堆体降解稳定化评估</w:t>
            </w:r>
          </w:p>
        </w:tc>
        <w:tc>
          <w:tcPr>
            <w:tcW w:w="1477" w:type="dxa"/>
            <w:shd w:val="clear" w:color="auto" w:fill="FFFFFF" w:themeFill="background1"/>
            <w:vAlign w:val="center"/>
          </w:tcPr>
          <w:p w14:paraId="3980AF1F">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80,520.00</w:t>
            </w:r>
          </w:p>
        </w:tc>
        <w:tc>
          <w:tcPr>
            <w:tcW w:w="6221" w:type="dxa"/>
            <w:shd w:val="clear" w:color="auto" w:fill="FFFFFF" w:themeFill="background1"/>
            <w:vAlign w:val="center"/>
          </w:tcPr>
          <w:p w14:paraId="5348E39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2A59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0" w:type="auto"/>
            <w:shd w:val="clear" w:color="auto" w:fill="FFFFFF" w:themeFill="background1"/>
            <w:vAlign w:val="center"/>
          </w:tcPr>
          <w:p w14:paraId="2570EE3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3.1</w:t>
            </w:r>
          </w:p>
        </w:tc>
        <w:tc>
          <w:tcPr>
            <w:tcW w:w="5660" w:type="dxa"/>
            <w:gridSpan w:val="4"/>
            <w:shd w:val="clear" w:color="auto" w:fill="FFFFFF" w:themeFill="background1"/>
            <w:vAlign w:val="center"/>
          </w:tcPr>
          <w:p w14:paraId="3A043046">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样品送样检测</w:t>
            </w:r>
          </w:p>
        </w:tc>
        <w:tc>
          <w:tcPr>
            <w:tcW w:w="1477" w:type="dxa"/>
            <w:shd w:val="clear" w:color="auto" w:fill="FFFFFF" w:themeFill="background1"/>
            <w:vAlign w:val="center"/>
          </w:tcPr>
          <w:p w14:paraId="1AC1C3A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E81FFE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38FD7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5C3FD89B">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3.1.1</w:t>
            </w:r>
          </w:p>
        </w:tc>
        <w:tc>
          <w:tcPr>
            <w:tcW w:w="2773" w:type="dxa"/>
            <w:shd w:val="clear" w:color="auto" w:fill="FFFFFF" w:themeFill="background1"/>
            <w:vAlign w:val="center"/>
          </w:tcPr>
          <w:p w14:paraId="357B0367">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垃圾样送样检测（物理指标）</w:t>
            </w:r>
          </w:p>
        </w:tc>
        <w:tc>
          <w:tcPr>
            <w:tcW w:w="883" w:type="dxa"/>
            <w:shd w:val="clear" w:color="auto" w:fill="FFFFFF" w:themeFill="background1"/>
            <w:vAlign w:val="center"/>
          </w:tcPr>
          <w:p w14:paraId="03B3502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组</w:t>
            </w:r>
          </w:p>
        </w:tc>
        <w:tc>
          <w:tcPr>
            <w:tcW w:w="832" w:type="dxa"/>
            <w:shd w:val="clear" w:color="auto" w:fill="FFFFFF" w:themeFill="background1"/>
            <w:vAlign w:val="center"/>
          </w:tcPr>
          <w:p w14:paraId="7FB268C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25</w:t>
            </w:r>
          </w:p>
        </w:tc>
        <w:tc>
          <w:tcPr>
            <w:tcW w:w="1172" w:type="dxa"/>
            <w:shd w:val="clear" w:color="auto" w:fill="FFFFFF" w:themeFill="background1"/>
            <w:vAlign w:val="center"/>
          </w:tcPr>
          <w:p w14:paraId="4215A9F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2CC5F7D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8CD52E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在垃圾堆体内钻孔过程中取得垃圾样25组，进行物理指标测试，包括含水率、组分、密度。</w:t>
            </w:r>
          </w:p>
        </w:tc>
      </w:tr>
      <w:tr w14:paraId="27F3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29FAC7B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3.1.2</w:t>
            </w:r>
          </w:p>
        </w:tc>
        <w:tc>
          <w:tcPr>
            <w:tcW w:w="2773" w:type="dxa"/>
            <w:shd w:val="clear" w:color="auto" w:fill="FFFFFF" w:themeFill="background1"/>
            <w:vAlign w:val="center"/>
          </w:tcPr>
          <w:p w14:paraId="227C9747">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垃圾样送样检测（化学指标）</w:t>
            </w:r>
          </w:p>
        </w:tc>
        <w:tc>
          <w:tcPr>
            <w:tcW w:w="883" w:type="dxa"/>
            <w:shd w:val="clear" w:color="auto" w:fill="FFFFFF" w:themeFill="background1"/>
            <w:vAlign w:val="center"/>
          </w:tcPr>
          <w:p w14:paraId="0E039D0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组</w:t>
            </w:r>
          </w:p>
        </w:tc>
        <w:tc>
          <w:tcPr>
            <w:tcW w:w="832" w:type="dxa"/>
            <w:shd w:val="clear" w:color="auto" w:fill="FFFFFF" w:themeFill="background1"/>
            <w:vAlign w:val="center"/>
          </w:tcPr>
          <w:p w14:paraId="6F6EF18D">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10</w:t>
            </w:r>
          </w:p>
        </w:tc>
        <w:tc>
          <w:tcPr>
            <w:tcW w:w="1172" w:type="dxa"/>
            <w:shd w:val="clear" w:color="auto" w:fill="FFFFFF" w:themeFill="background1"/>
            <w:vAlign w:val="center"/>
          </w:tcPr>
          <w:p w14:paraId="4101A4F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7C3584F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45BC7B91">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在垃圾堆体内钻孔过程中取得垃圾样10组，进行化学指标测试，包括有机质含量、木质素、纤维素。</w:t>
            </w:r>
          </w:p>
        </w:tc>
      </w:tr>
      <w:tr w14:paraId="6B2BF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155F8FF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3.1.3</w:t>
            </w:r>
          </w:p>
        </w:tc>
        <w:tc>
          <w:tcPr>
            <w:tcW w:w="2773" w:type="dxa"/>
            <w:shd w:val="clear" w:color="auto" w:fill="FFFFFF" w:themeFill="background1"/>
            <w:vAlign w:val="center"/>
          </w:tcPr>
          <w:p w14:paraId="6E4545D0">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渗滤液送样检测</w:t>
            </w:r>
          </w:p>
        </w:tc>
        <w:tc>
          <w:tcPr>
            <w:tcW w:w="883" w:type="dxa"/>
            <w:shd w:val="clear" w:color="auto" w:fill="FFFFFF" w:themeFill="background1"/>
            <w:vAlign w:val="center"/>
          </w:tcPr>
          <w:p w14:paraId="7AB1EBD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组</w:t>
            </w:r>
          </w:p>
        </w:tc>
        <w:tc>
          <w:tcPr>
            <w:tcW w:w="832" w:type="dxa"/>
            <w:shd w:val="clear" w:color="auto" w:fill="FFFFFF" w:themeFill="background1"/>
            <w:vAlign w:val="center"/>
          </w:tcPr>
          <w:p w14:paraId="2CB9FC4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10</w:t>
            </w:r>
          </w:p>
        </w:tc>
        <w:tc>
          <w:tcPr>
            <w:tcW w:w="1172" w:type="dxa"/>
            <w:shd w:val="clear" w:color="auto" w:fill="FFFFFF" w:themeFill="background1"/>
            <w:vAlign w:val="center"/>
          </w:tcPr>
          <w:p w14:paraId="57CE0ED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75D40EAB">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BEF0D2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在测斜井（深层水平位移监测井）中取得渗滤液样10组，检测指标包括COD</w:t>
            </w:r>
            <w:r>
              <w:rPr>
                <w:rFonts w:hint="eastAsia" w:ascii="宋体" w:hAnsi="宋体" w:eastAsia="宋体" w:cs="宋体"/>
                <w:color w:val="000000"/>
                <w:sz w:val="24"/>
                <w:szCs w:val="24"/>
                <w:vertAlign w:val="subscript"/>
              </w:rPr>
              <w:t>cr</w:t>
            </w:r>
            <w:r>
              <w:rPr>
                <w:rFonts w:hint="eastAsia" w:ascii="宋体" w:hAnsi="宋体" w:eastAsia="宋体" w:cs="宋体"/>
                <w:color w:val="000000"/>
                <w:sz w:val="24"/>
                <w:szCs w:val="24"/>
              </w:rPr>
              <w:t>、氨氮、BOD</w:t>
            </w:r>
            <w:r>
              <w:rPr>
                <w:rFonts w:hint="eastAsia" w:ascii="宋体" w:hAnsi="宋体" w:eastAsia="宋体" w:cs="宋体"/>
                <w:color w:val="000000"/>
                <w:sz w:val="24"/>
                <w:szCs w:val="24"/>
                <w:vertAlign w:val="subscript"/>
              </w:rPr>
              <w:t>5</w:t>
            </w:r>
            <w:r>
              <w:rPr>
                <w:rFonts w:hint="eastAsia" w:ascii="宋体" w:hAnsi="宋体" w:eastAsia="宋体" w:cs="宋体"/>
                <w:color w:val="000000"/>
                <w:sz w:val="24"/>
                <w:szCs w:val="24"/>
              </w:rPr>
              <w:t>、VFA、SUV</w:t>
            </w:r>
            <w:r>
              <w:rPr>
                <w:rFonts w:hint="eastAsia" w:ascii="宋体" w:hAnsi="宋体" w:eastAsia="宋体" w:cs="宋体"/>
                <w:color w:val="000000"/>
                <w:sz w:val="24"/>
                <w:szCs w:val="24"/>
                <w:vertAlign w:val="subscript"/>
              </w:rPr>
              <w:t>254</w:t>
            </w:r>
            <w:r>
              <w:rPr>
                <w:rFonts w:hint="eastAsia" w:ascii="宋体" w:hAnsi="宋体" w:eastAsia="宋体" w:cs="宋体"/>
                <w:color w:val="000000"/>
                <w:sz w:val="24"/>
                <w:szCs w:val="24"/>
              </w:rPr>
              <w:t>、DOC和三维荧光光谱，其中氨氮、BOD</w:t>
            </w:r>
            <w:r>
              <w:rPr>
                <w:rFonts w:hint="eastAsia" w:ascii="宋体" w:hAnsi="宋体" w:eastAsia="宋体" w:cs="宋体"/>
                <w:color w:val="000000"/>
                <w:sz w:val="24"/>
                <w:szCs w:val="24"/>
                <w:vertAlign w:val="subscript"/>
              </w:rPr>
              <w:t>5</w:t>
            </w:r>
            <w:r>
              <w:rPr>
                <w:rFonts w:hint="eastAsia" w:ascii="宋体" w:hAnsi="宋体" w:eastAsia="宋体" w:cs="宋体"/>
                <w:color w:val="000000"/>
                <w:sz w:val="24"/>
                <w:szCs w:val="24"/>
              </w:rPr>
              <w:t>、COD</w:t>
            </w:r>
            <w:r>
              <w:rPr>
                <w:rFonts w:hint="eastAsia" w:ascii="宋体" w:hAnsi="宋体" w:eastAsia="宋体" w:cs="宋体"/>
                <w:color w:val="000000"/>
                <w:sz w:val="24"/>
                <w:szCs w:val="24"/>
                <w:vertAlign w:val="subscript"/>
              </w:rPr>
              <w:t>cr</w:t>
            </w:r>
            <w:r>
              <w:rPr>
                <w:rFonts w:hint="eastAsia" w:ascii="宋体" w:hAnsi="宋体" w:eastAsia="宋体" w:cs="宋体"/>
                <w:color w:val="000000"/>
                <w:sz w:val="24"/>
                <w:szCs w:val="24"/>
              </w:rPr>
              <w:t>按照GB/T 18772规定方法测试；VFA按照化学滴定法测试；SUV</w:t>
            </w:r>
            <w:r>
              <w:rPr>
                <w:rFonts w:hint="eastAsia" w:ascii="宋体" w:hAnsi="宋体" w:eastAsia="宋体" w:cs="宋体"/>
                <w:color w:val="000000"/>
                <w:sz w:val="24"/>
                <w:szCs w:val="24"/>
                <w:vertAlign w:val="subscript"/>
              </w:rPr>
              <w:t>254</w:t>
            </w:r>
            <w:r>
              <w:rPr>
                <w:rFonts w:hint="eastAsia" w:ascii="宋体" w:hAnsi="宋体" w:eastAsia="宋体" w:cs="宋体"/>
                <w:color w:val="000000"/>
                <w:sz w:val="24"/>
                <w:szCs w:val="24"/>
              </w:rPr>
              <w:t>使用分光光度计测试；DOC按照HJ 501燃烧氧化-非分散红外吸收法测试；三维荧光光谱采用荧光光谱仪测试。</w:t>
            </w:r>
          </w:p>
        </w:tc>
      </w:tr>
      <w:tr w14:paraId="2262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47400DF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3.2</w:t>
            </w:r>
          </w:p>
        </w:tc>
        <w:tc>
          <w:tcPr>
            <w:tcW w:w="2773" w:type="dxa"/>
            <w:shd w:val="clear" w:color="auto" w:fill="FFFFFF" w:themeFill="background1"/>
            <w:vAlign w:val="center"/>
          </w:tcPr>
          <w:p w14:paraId="1208D9AC">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堆体降解稳定化评估</w:t>
            </w:r>
          </w:p>
        </w:tc>
        <w:tc>
          <w:tcPr>
            <w:tcW w:w="883" w:type="dxa"/>
            <w:shd w:val="clear" w:color="auto" w:fill="FFFFFF" w:themeFill="background1"/>
            <w:vAlign w:val="center"/>
          </w:tcPr>
          <w:p w14:paraId="58477A6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项</w:t>
            </w:r>
          </w:p>
        </w:tc>
        <w:tc>
          <w:tcPr>
            <w:tcW w:w="832" w:type="dxa"/>
            <w:shd w:val="clear" w:color="auto" w:fill="FFFFFF" w:themeFill="background1"/>
            <w:vAlign w:val="center"/>
          </w:tcPr>
          <w:p w14:paraId="092CDE2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w:t>
            </w:r>
          </w:p>
        </w:tc>
        <w:tc>
          <w:tcPr>
            <w:tcW w:w="1172" w:type="dxa"/>
            <w:shd w:val="clear" w:color="auto" w:fill="FFFFFF" w:themeFill="background1"/>
            <w:vAlign w:val="center"/>
          </w:tcPr>
          <w:p w14:paraId="25859979">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2D86057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EE521B9">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包括对堆体降解潜力进行分析评估以及报告的编制等相关技术工作</w:t>
            </w:r>
          </w:p>
        </w:tc>
      </w:tr>
      <w:tr w14:paraId="1B8F2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1B493BA2">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四</w:t>
            </w:r>
          </w:p>
        </w:tc>
        <w:tc>
          <w:tcPr>
            <w:tcW w:w="5660" w:type="dxa"/>
            <w:gridSpan w:val="4"/>
            <w:shd w:val="clear" w:color="auto" w:fill="FFFFFF" w:themeFill="background1"/>
            <w:vAlign w:val="center"/>
          </w:tcPr>
          <w:p w14:paraId="57CB8EF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渗滤液积存量动态评估</w:t>
            </w:r>
          </w:p>
        </w:tc>
        <w:tc>
          <w:tcPr>
            <w:tcW w:w="1477" w:type="dxa"/>
            <w:shd w:val="clear" w:color="auto" w:fill="FFFFFF" w:themeFill="background1"/>
            <w:vAlign w:val="center"/>
          </w:tcPr>
          <w:p w14:paraId="04080A15">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21,000.00</w:t>
            </w:r>
          </w:p>
        </w:tc>
        <w:tc>
          <w:tcPr>
            <w:tcW w:w="6221" w:type="dxa"/>
            <w:shd w:val="clear" w:color="auto" w:fill="FFFFFF" w:themeFill="background1"/>
            <w:vAlign w:val="center"/>
          </w:tcPr>
          <w:p w14:paraId="40E5D2D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5B13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461121B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4.1</w:t>
            </w:r>
          </w:p>
        </w:tc>
        <w:tc>
          <w:tcPr>
            <w:tcW w:w="2773" w:type="dxa"/>
            <w:shd w:val="clear" w:color="auto" w:fill="FFFFFF" w:themeFill="background1"/>
            <w:vAlign w:val="center"/>
          </w:tcPr>
          <w:p w14:paraId="7B02ABF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渗滤液积存量建模计算</w:t>
            </w:r>
          </w:p>
        </w:tc>
        <w:tc>
          <w:tcPr>
            <w:tcW w:w="883" w:type="dxa"/>
            <w:shd w:val="clear" w:color="auto" w:fill="FFFFFF" w:themeFill="background1"/>
            <w:vAlign w:val="center"/>
          </w:tcPr>
          <w:p w14:paraId="6E4CF84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次</w:t>
            </w:r>
          </w:p>
        </w:tc>
        <w:tc>
          <w:tcPr>
            <w:tcW w:w="832" w:type="dxa"/>
            <w:shd w:val="clear" w:color="auto" w:fill="FFFFFF" w:themeFill="background1"/>
            <w:vAlign w:val="center"/>
          </w:tcPr>
          <w:p w14:paraId="7662369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w:t>
            </w:r>
          </w:p>
        </w:tc>
        <w:tc>
          <w:tcPr>
            <w:tcW w:w="1172" w:type="dxa"/>
            <w:shd w:val="clear" w:color="auto" w:fill="FFFFFF" w:themeFill="background1"/>
            <w:vAlign w:val="center"/>
          </w:tcPr>
          <w:p w14:paraId="27D9DBE4">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p>
        </w:tc>
        <w:tc>
          <w:tcPr>
            <w:tcW w:w="1477" w:type="dxa"/>
            <w:shd w:val="clear" w:color="auto" w:fill="FFFFFF" w:themeFill="background1"/>
            <w:vAlign w:val="center"/>
          </w:tcPr>
          <w:p w14:paraId="1AB536C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6112B2B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根据现场监测的主滞水位数据及前期资料，采用积存量计算经验公式，利用三维建模软件对堆体内的渗滤液积存量进行计算。频次为每季度1次，总共3次。</w:t>
            </w:r>
          </w:p>
        </w:tc>
      </w:tr>
      <w:tr w14:paraId="60E2F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21B06B05">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五</w:t>
            </w:r>
          </w:p>
        </w:tc>
        <w:tc>
          <w:tcPr>
            <w:tcW w:w="5660" w:type="dxa"/>
            <w:gridSpan w:val="4"/>
            <w:shd w:val="clear" w:color="auto" w:fill="FFFFFF" w:themeFill="background1"/>
            <w:vAlign w:val="center"/>
          </w:tcPr>
          <w:p w14:paraId="2ED58B9D">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渗滤液导排系统效能跟踪评估</w:t>
            </w:r>
          </w:p>
        </w:tc>
        <w:tc>
          <w:tcPr>
            <w:tcW w:w="1477" w:type="dxa"/>
            <w:shd w:val="clear" w:color="auto" w:fill="FFFFFF" w:themeFill="background1"/>
            <w:vAlign w:val="center"/>
          </w:tcPr>
          <w:p w14:paraId="444DC0B2">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29,280.00</w:t>
            </w:r>
          </w:p>
        </w:tc>
        <w:tc>
          <w:tcPr>
            <w:tcW w:w="6221" w:type="dxa"/>
            <w:shd w:val="clear" w:color="auto" w:fill="FFFFFF" w:themeFill="background1"/>
            <w:vAlign w:val="center"/>
          </w:tcPr>
          <w:p w14:paraId="1FE56D3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425BD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012CC4F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5.1</w:t>
            </w:r>
          </w:p>
        </w:tc>
        <w:tc>
          <w:tcPr>
            <w:tcW w:w="2773" w:type="dxa"/>
            <w:shd w:val="clear" w:color="auto" w:fill="FFFFFF" w:themeFill="background1"/>
            <w:vAlign w:val="center"/>
          </w:tcPr>
          <w:p w14:paraId="244C64FD">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现场调查与数据收集</w:t>
            </w:r>
          </w:p>
        </w:tc>
        <w:tc>
          <w:tcPr>
            <w:tcW w:w="883" w:type="dxa"/>
            <w:shd w:val="clear" w:color="auto" w:fill="FFFFFF" w:themeFill="background1"/>
            <w:vAlign w:val="center"/>
          </w:tcPr>
          <w:p w14:paraId="54E9CF0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次</w:t>
            </w:r>
          </w:p>
        </w:tc>
        <w:tc>
          <w:tcPr>
            <w:tcW w:w="832" w:type="dxa"/>
            <w:shd w:val="clear" w:color="auto" w:fill="FFFFFF" w:themeFill="background1"/>
            <w:vAlign w:val="center"/>
          </w:tcPr>
          <w:p w14:paraId="301BA3B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w:t>
            </w:r>
          </w:p>
        </w:tc>
        <w:tc>
          <w:tcPr>
            <w:tcW w:w="1172" w:type="dxa"/>
            <w:shd w:val="clear" w:color="auto" w:fill="FFFFFF" w:themeFill="background1"/>
            <w:vAlign w:val="center"/>
          </w:tcPr>
          <w:p w14:paraId="5EE2659D">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p>
        </w:tc>
        <w:tc>
          <w:tcPr>
            <w:tcW w:w="1477" w:type="dxa"/>
            <w:shd w:val="clear" w:color="auto" w:fill="FFFFFF" w:themeFill="background1"/>
            <w:vAlign w:val="center"/>
          </w:tcPr>
          <w:p w14:paraId="7BAE438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79BD2CEE">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在填埋场全场开展渗滤液导排系统效能评估，对全场约280口渗滤液抽排竖井进行实地检查，收集记录每口渗滤液抽排竖井的状态信息，同时对渗滤液输送管道开展实地调查。频次为每季度1次，总共3次。</w:t>
            </w:r>
          </w:p>
        </w:tc>
      </w:tr>
      <w:tr w14:paraId="398E2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454282D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5.3</w:t>
            </w:r>
          </w:p>
        </w:tc>
        <w:tc>
          <w:tcPr>
            <w:tcW w:w="2773" w:type="dxa"/>
            <w:shd w:val="clear" w:color="auto" w:fill="FFFFFF" w:themeFill="background1"/>
            <w:vAlign w:val="center"/>
          </w:tcPr>
          <w:p w14:paraId="344BE39E">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渗滤液导排系统效能评估技术工作费</w:t>
            </w:r>
          </w:p>
        </w:tc>
        <w:tc>
          <w:tcPr>
            <w:tcW w:w="883" w:type="dxa"/>
            <w:shd w:val="clear" w:color="auto" w:fill="FFFFFF" w:themeFill="background1"/>
            <w:vAlign w:val="center"/>
          </w:tcPr>
          <w:p w14:paraId="3F700725">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项</w:t>
            </w:r>
          </w:p>
        </w:tc>
        <w:tc>
          <w:tcPr>
            <w:tcW w:w="832" w:type="dxa"/>
            <w:shd w:val="clear" w:color="auto" w:fill="FFFFFF" w:themeFill="background1"/>
            <w:vAlign w:val="center"/>
          </w:tcPr>
          <w:p w14:paraId="60FF704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w:t>
            </w:r>
          </w:p>
        </w:tc>
        <w:tc>
          <w:tcPr>
            <w:tcW w:w="1172" w:type="dxa"/>
            <w:shd w:val="clear" w:color="auto" w:fill="FFFFFF" w:themeFill="background1"/>
            <w:vAlign w:val="center"/>
          </w:tcPr>
          <w:p w14:paraId="14D2CB54">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p>
        </w:tc>
        <w:tc>
          <w:tcPr>
            <w:tcW w:w="1477" w:type="dxa"/>
            <w:shd w:val="clear" w:color="auto" w:fill="FFFFFF" w:themeFill="background1"/>
            <w:vAlign w:val="center"/>
          </w:tcPr>
          <w:p w14:paraId="4353334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270F97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根据实地调查得到的结果，对全场渗滤液导排系统的效能进行评估。</w:t>
            </w:r>
          </w:p>
        </w:tc>
      </w:tr>
      <w:tr w14:paraId="55436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42C6D552">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六</w:t>
            </w:r>
          </w:p>
        </w:tc>
        <w:tc>
          <w:tcPr>
            <w:tcW w:w="5660" w:type="dxa"/>
            <w:gridSpan w:val="4"/>
            <w:shd w:val="clear" w:color="auto" w:fill="FFFFFF" w:themeFill="background1"/>
            <w:vAlign w:val="center"/>
          </w:tcPr>
          <w:p w14:paraId="09FF118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填埋气收集效能跟踪评估</w:t>
            </w:r>
          </w:p>
        </w:tc>
        <w:tc>
          <w:tcPr>
            <w:tcW w:w="1477" w:type="dxa"/>
            <w:shd w:val="clear" w:color="auto" w:fill="FFFFFF" w:themeFill="background1"/>
            <w:vAlign w:val="center"/>
          </w:tcPr>
          <w:p w14:paraId="6DD8D1E5">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58,560.00</w:t>
            </w:r>
          </w:p>
        </w:tc>
        <w:tc>
          <w:tcPr>
            <w:tcW w:w="6221" w:type="dxa"/>
            <w:shd w:val="clear" w:color="auto" w:fill="FFFFFF" w:themeFill="background1"/>
            <w:vAlign w:val="center"/>
          </w:tcPr>
          <w:p w14:paraId="0AF947B9">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3EAD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79128D5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6.1</w:t>
            </w:r>
          </w:p>
        </w:tc>
        <w:tc>
          <w:tcPr>
            <w:tcW w:w="2773" w:type="dxa"/>
            <w:shd w:val="clear" w:color="auto" w:fill="FFFFFF" w:themeFill="background1"/>
            <w:vAlign w:val="center"/>
          </w:tcPr>
          <w:p w14:paraId="454C6249">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气体组分测试</w:t>
            </w:r>
          </w:p>
        </w:tc>
        <w:tc>
          <w:tcPr>
            <w:tcW w:w="883" w:type="dxa"/>
            <w:shd w:val="clear" w:color="auto" w:fill="FFFFFF" w:themeFill="background1"/>
            <w:vAlign w:val="center"/>
          </w:tcPr>
          <w:p w14:paraId="7E87758A">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组</w:t>
            </w:r>
          </w:p>
        </w:tc>
        <w:tc>
          <w:tcPr>
            <w:tcW w:w="832" w:type="dxa"/>
            <w:shd w:val="clear" w:color="auto" w:fill="FFFFFF" w:themeFill="background1"/>
            <w:vAlign w:val="center"/>
          </w:tcPr>
          <w:p w14:paraId="7C24670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30</w:t>
            </w:r>
          </w:p>
        </w:tc>
        <w:tc>
          <w:tcPr>
            <w:tcW w:w="1172" w:type="dxa"/>
            <w:shd w:val="clear" w:color="auto" w:fill="FFFFFF" w:themeFill="background1"/>
            <w:vAlign w:val="center"/>
          </w:tcPr>
          <w:p w14:paraId="4341193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2CC7F14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E94D80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利用沼气分析仪测试填埋气导排井和深层水平位移监测井内的填埋气气体组分，测试指标包括甲烷、二氧化碳、氧气、硫化氢。</w:t>
            </w:r>
          </w:p>
        </w:tc>
      </w:tr>
      <w:tr w14:paraId="123B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387" w:hRule="atLeast"/>
        </w:trPr>
        <w:tc>
          <w:tcPr>
            <w:tcW w:w="0" w:type="auto"/>
            <w:shd w:val="clear" w:color="auto" w:fill="FFFFFF" w:themeFill="background1"/>
            <w:vAlign w:val="center"/>
          </w:tcPr>
          <w:p w14:paraId="06A62BD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6.2</w:t>
            </w:r>
          </w:p>
        </w:tc>
        <w:tc>
          <w:tcPr>
            <w:tcW w:w="2773" w:type="dxa"/>
            <w:shd w:val="clear" w:color="auto" w:fill="FFFFFF" w:themeFill="background1"/>
            <w:vAlign w:val="center"/>
          </w:tcPr>
          <w:p w14:paraId="617E700C">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现场调查与数据收集</w:t>
            </w:r>
          </w:p>
        </w:tc>
        <w:tc>
          <w:tcPr>
            <w:tcW w:w="883" w:type="dxa"/>
            <w:shd w:val="clear" w:color="auto" w:fill="FFFFFF" w:themeFill="background1"/>
            <w:vAlign w:val="center"/>
          </w:tcPr>
          <w:p w14:paraId="6070D95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次</w:t>
            </w:r>
          </w:p>
        </w:tc>
        <w:tc>
          <w:tcPr>
            <w:tcW w:w="832" w:type="dxa"/>
            <w:shd w:val="clear" w:color="auto" w:fill="FFFFFF" w:themeFill="background1"/>
            <w:vAlign w:val="center"/>
          </w:tcPr>
          <w:p w14:paraId="157F0E7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w:t>
            </w:r>
          </w:p>
        </w:tc>
        <w:tc>
          <w:tcPr>
            <w:tcW w:w="1172" w:type="dxa"/>
            <w:shd w:val="clear" w:color="auto" w:fill="FFFFFF" w:themeFill="background1"/>
            <w:vAlign w:val="center"/>
          </w:tcPr>
          <w:p w14:paraId="40C795F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708CC71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75842C2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在填埋场实地调查目前的填埋气收集导排系统的效能，包括抽气竖井和水平井（总计约80口）的完整性、有效性及运行状态，同时收集发电厂的填埋气收集利用信息。频次为每季度1次，总共3次。</w:t>
            </w:r>
          </w:p>
        </w:tc>
      </w:tr>
      <w:tr w14:paraId="4261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454" w:hRule="atLeast"/>
        </w:trPr>
        <w:tc>
          <w:tcPr>
            <w:tcW w:w="0" w:type="auto"/>
            <w:shd w:val="clear" w:color="auto" w:fill="FFFFFF" w:themeFill="background1"/>
            <w:vAlign w:val="center"/>
          </w:tcPr>
          <w:p w14:paraId="0FE4127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6.3</w:t>
            </w:r>
          </w:p>
        </w:tc>
        <w:tc>
          <w:tcPr>
            <w:tcW w:w="2773" w:type="dxa"/>
            <w:shd w:val="clear" w:color="auto" w:fill="FFFFFF" w:themeFill="background1"/>
            <w:vAlign w:val="center"/>
          </w:tcPr>
          <w:p w14:paraId="322C5A72">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填埋气产量评估技术工作费</w:t>
            </w:r>
          </w:p>
        </w:tc>
        <w:tc>
          <w:tcPr>
            <w:tcW w:w="883" w:type="dxa"/>
            <w:shd w:val="clear" w:color="auto" w:fill="FFFFFF" w:themeFill="background1"/>
            <w:vAlign w:val="center"/>
          </w:tcPr>
          <w:p w14:paraId="16046039">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项</w:t>
            </w:r>
          </w:p>
        </w:tc>
        <w:tc>
          <w:tcPr>
            <w:tcW w:w="832" w:type="dxa"/>
            <w:shd w:val="clear" w:color="auto" w:fill="FFFFFF" w:themeFill="background1"/>
            <w:vAlign w:val="center"/>
          </w:tcPr>
          <w:p w14:paraId="46BC97D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w:t>
            </w:r>
          </w:p>
        </w:tc>
        <w:tc>
          <w:tcPr>
            <w:tcW w:w="1172" w:type="dxa"/>
            <w:shd w:val="clear" w:color="auto" w:fill="FFFFFF" w:themeFill="background1"/>
            <w:vAlign w:val="center"/>
          </w:tcPr>
          <w:p w14:paraId="3DC5F4F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36CF0ED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6AC3B3D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利用现场测试及调查得到的数据，对填埋场堆体内填埋气组分进行分析，并评估填埋场填埋气收集效能，建模计算填埋气的产量，根据结果为业主提出后续填埋气的利用建议。</w:t>
            </w:r>
          </w:p>
        </w:tc>
      </w:tr>
      <w:tr w14:paraId="45DC6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476" w:type="dxa"/>
            <w:gridSpan w:val="5"/>
            <w:shd w:val="clear" w:color="auto" w:fill="FFFFFF" w:themeFill="background1"/>
            <w:vAlign w:val="center"/>
          </w:tcPr>
          <w:p w14:paraId="01B0505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费用合计</w:t>
            </w:r>
          </w:p>
        </w:tc>
        <w:tc>
          <w:tcPr>
            <w:tcW w:w="1477" w:type="dxa"/>
            <w:shd w:val="clear" w:color="auto" w:fill="FFFFFF" w:themeFill="background1"/>
            <w:vAlign w:val="center"/>
          </w:tcPr>
          <w:p w14:paraId="360DA10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900,</w:t>
            </w:r>
            <w:r>
              <w:rPr>
                <w:rFonts w:hint="eastAsia" w:ascii="宋体" w:hAnsi="宋体" w:eastAsia="宋体" w:cs="宋体"/>
                <w:b/>
                <w:bCs/>
                <w:color w:val="000000"/>
                <w:sz w:val="24"/>
                <w:szCs w:val="24"/>
                <w:lang w:val="en-US" w:eastAsia="zh-CN"/>
              </w:rPr>
              <w:t>000</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val="en-US" w:eastAsia="zh-CN"/>
              </w:rPr>
              <w:t>00</w:t>
            </w:r>
          </w:p>
        </w:tc>
        <w:tc>
          <w:tcPr>
            <w:tcW w:w="6221" w:type="dxa"/>
            <w:shd w:val="clear" w:color="auto" w:fill="FFFFFF" w:themeFill="background1"/>
            <w:vAlign w:val="center"/>
          </w:tcPr>
          <w:p w14:paraId="7C9DE2D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bl>
    <w:p w14:paraId="6CE129F1">
      <w:pPr>
        <w:spacing w:line="440" w:lineRule="exact"/>
        <w:jc w:val="left"/>
        <w:rPr>
          <w:rFonts w:hint="eastAsia" w:ascii="宋体" w:hAnsi="宋体" w:eastAsia="宋体" w:cs="宋体"/>
          <w:b/>
          <w:sz w:val="24"/>
          <w:szCs w:val="24"/>
        </w:rPr>
      </w:pPr>
    </w:p>
    <w:p w14:paraId="538C5DB1">
      <w:pPr>
        <w:tabs>
          <w:tab w:val="left" w:pos="3285"/>
        </w:tabs>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rPr>
        <w:t>注：1、投标报价精确到小数点后两位</w:t>
      </w:r>
      <w:r>
        <w:rPr>
          <w:rFonts w:hint="eastAsia" w:ascii="宋体" w:hAnsi="宋体" w:cs="宋体"/>
          <w:b/>
          <w:bCs/>
          <w:sz w:val="24"/>
          <w:szCs w:val="24"/>
          <w:lang w:eastAsia="zh-CN"/>
        </w:rPr>
        <w:t>；</w:t>
      </w:r>
    </w:p>
    <w:p w14:paraId="486CA553">
      <w:pPr>
        <w:tabs>
          <w:tab w:val="left" w:pos="3285"/>
        </w:tabs>
        <w:spacing w:line="360" w:lineRule="auto"/>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2、投标报价均不得超过各分项控制价。</w:t>
      </w:r>
    </w:p>
    <w:p w14:paraId="4CCB0DF4">
      <w:pPr>
        <w:pStyle w:val="8"/>
        <w:rPr>
          <w:rFonts w:hint="eastAsia"/>
          <w:lang w:val="en-US" w:eastAsia="zh-Hans"/>
        </w:rPr>
      </w:pPr>
    </w:p>
    <w:p w14:paraId="32547ED2"/>
    <w:sectPr>
      <w:pgSz w:w="16838" w:h="11906" w:orient="landscape"/>
      <w:pgMar w:top="1803" w:right="1440" w:bottom="1803" w:left="1440"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D682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6F66EA">
                          <w:pPr>
                            <w:pStyle w:val="3"/>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C6F66EA">
                    <w:pPr>
                      <w:pStyle w:val="3"/>
                    </w:pPr>
                    <w:r>
                      <w:fldChar w:fldCharType="begin"/>
                    </w:r>
                    <w:r>
                      <w:instrText xml:space="preserve"> PAGE  \* MERGEFORMAT </w:instrText>
                    </w:r>
                    <w:r>
                      <w:fldChar w:fldCharType="separate"/>
                    </w:r>
                    <w:r>
                      <w:t>63</w:t>
                    </w:r>
                    <w: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67326D"/>
    <w:multiLevelType w:val="multilevel"/>
    <w:tmpl w:val="4D67326D"/>
    <w:lvl w:ilvl="0" w:tentative="0">
      <w:start w:val="1"/>
      <w:numFmt w:val="japaneseCounting"/>
      <w:lvlText w:val="第%1条"/>
      <w:lvlJc w:val="left"/>
      <w:pPr>
        <w:tabs>
          <w:tab w:val="left" w:pos="1275"/>
        </w:tabs>
        <w:ind w:left="1275" w:hanging="127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5C278E"/>
    <w:rsid w:val="09631811"/>
    <w:rsid w:val="178C3CF3"/>
    <w:rsid w:val="195C278E"/>
    <w:rsid w:val="3AB94E84"/>
    <w:rsid w:val="4B211CAE"/>
    <w:rsid w:val="4C4E759F"/>
    <w:rsid w:val="53474CFB"/>
    <w:rsid w:val="5A7F6221"/>
    <w:rsid w:val="67D3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adjustRightInd w:val="0"/>
      <w:snapToGrid w:val="0"/>
      <w:ind w:firstLine="560" w:firstLineChars="200"/>
    </w:pPr>
    <w:rPr>
      <w:rFonts w:ascii="宋体" w:hAnsi="宋体" w:eastAsia="宋体" w:cs="Times New Roman"/>
      <w:sz w:val="28"/>
    </w:rPr>
  </w:style>
  <w:style w:type="paragraph" w:styleId="3">
    <w:name w:val="footer"/>
    <w:basedOn w:val="1"/>
    <w:qFormat/>
    <w:uiPriority w:val="0"/>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3439</Words>
  <Characters>3533</Characters>
  <Lines>0</Lines>
  <Paragraphs>0</Paragraphs>
  <TotalTime>4</TotalTime>
  <ScaleCrop>false</ScaleCrop>
  <LinksUpToDate>false</LinksUpToDate>
  <CharactersWithSpaces>3749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2026-04-30T07:42:00Z</dcterms:created>
  <dc:creator>关月</dc:creator>
  <cp:lastModifiedBy>关月</cp:lastModifiedBy>
  <dcterms:modified xsi:type="dcterms:W3CDTF">2026-05-06T07:27:29Z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9AADD19A72C341978EF4F019CEE2CC72_11</vt:lpwstr>
  </property>
  <property fmtid="{D5CDD505-2E9C-101B-9397-08002B2CF9AE}" pid="4" name="KSOTemplateDocerSaveRecord">
    <vt:lpwstr>eyJoZGlkIjoiZTVmYmM5ZTVmMGE4MTkyOGYwZWJhOGYyMmY1ZTQxZTIiLCJ1c2VySWQiOiIzNjE1OTQzMjYifQ==</vt:lpwstr>
  </property>
</Properties>
</file>