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CA4A99">
      <w:pPr>
        <w:pStyle w:val="4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  <w:bookmarkStart w:id="0" w:name="_GoBack"/>
      <w:bookmarkEnd w:id="0"/>
    </w:p>
    <w:p w14:paraId="65678734">
      <w:pPr>
        <w:pStyle w:val="4"/>
        <w:spacing w:line="360" w:lineRule="auto"/>
        <w:jc w:val="both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一、基本要求</w:t>
      </w:r>
    </w:p>
    <w:p w14:paraId="109A1154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1、功能要求：招标确定一家国家批准认证的第三方承检机构完成我局车用柴油、电动自行车及主要配件、危险化学品、燃气灶及配件消防产品、保温材料等产品质量监督抽检任务。</w:t>
      </w:r>
    </w:p>
    <w:p w14:paraId="054B231C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2、服务期限：合同签订之日起至2026年11月30日（具体以合同签订时间为准）</w:t>
      </w:r>
    </w:p>
    <w:p w14:paraId="243B35F1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3、服务地点：渭南市区域范围内。</w:t>
      </w:r>
    </w:p>
    <w:p w14:paraId="6AC0452B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二、需执行的国家相关标准、行业标准、地方标准或者其他标准、规范标准</w:t>
      </w:r>
    </w:p>
    <w:p w14:paraId="317E6F22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严格按照 《电动自行车安全技术规范》（GB 17761-2024）、《电动自行车电气安全要求》（GB42295-2022）、《电动自行车用锂离子蓄电池安全技术规范》（GB 43854-2024）、《电动自行车用锂离子蓄电池》GB /T36972-2018、《电动自行车用锂离子蓄电池及充电器第3部分：锂离子蓄电池及充电器》QB /T2947.3-2008、《电动助力车用阀控式铅酸蓄电池第1部分：技术条件》GB /T22199.1-2017、《电动自行车用充电器安全技术要求》GB 42296-2022、《电动自行车用充电器技术要求》GB/T 36944-2018、《醇基液体燃料》GB16663--1996（2004）、《工业用甲醇》 GB 338-2011、《M100车用甲醇燃料》GB/T42416--2023、《副产盐酸》HG/T3783--2021、《工业硫酸》 GB/T534--2014、《正丁醇》GB/T6027-2023 、《液体无水氨》BG/T536--2017、《溶解乙炔》GB/T6819--2004、《羊绒衫》FZ/T 73009-2021 、《羊毛衫》FZ/T 73005-2021 、《羽绒服》FZ/T 73053-2015 等相关要求，开展抽样检验工作。</w:t>
      </w:r>
    </w:p>
    <w:p w14:paraId="61E3474C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三、服务指标的具体要求</w:t>
      </w:r>
    </w:p>
    <w:p w14:paraId="53BF77DC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1、能提供高效抽检服务，能接受抽样工作委托，有专门团队负责采样。</w:t>
      </w:r>
    </w:p>
    <w:p w14:paraId="52466E3F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2、有能满足采样、运输、设备、检验工作车辆等硬件设施及条件。</w:t>
      </w:r>
    </w:p>
    <w:p w14:paraId="3E902638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3、有专业水准的检验技术服务团队，检测结果公正、客观、真实、及时、准确，报告复检维持率高。</w:t>
      </w:r>
    </w:p>
    <w:p w14:paraId="5FEB8B2F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4、供应商须提供相关的业务咨询、报告分析等服务，抽检报告分析工作应该由供应商专业分析人员进行分析、撰写、汇总，并及时报送采购人，不得延迟。</w:t>
      </w:r>
    </w:p>
    <w:p w14:paraId="22418A23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5、本项目抽检区域为临渭区、高新区、富平县、蒲城县、白水县、华州区、华阴市、潼关县、大荔县、澄城县、合阳县。</w:t>
      </w:r>
    </w:p>
    <w:p w14:paraId="4A3F6796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6、承检机构若出具虚假、错误检验数据和结论，一经发现，立即取消合作资格，并承担一切法律责任，以后年度不得参与本市检验任务。内容及需求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2750"/>
        <w:gridCol w:w="669"/>
        <w:gridCol w:w="2774"/>
        <w:gridCol w:w="1715"/>
      </w:tblGrid>
      <w:tr w14:paraId="6869C669">
        <w:trPr>
          <w:trHeight w:val="144" w:hRule="atLeast"/>
        </w:trPr>
        <w:tc>
          <w:tcPr>
            <w:tcW w:w="549" w:type="dxa"/>
            <w:vMerge w:val="restart"/>
          </w:tcPr>
          <w:p w14:paraId="1F6BE5E7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2750" w:type="dxa"/>
            <w:vMerge w:val="restart"/>
          </w:tcPr>
          <w:p w14:paraId="065F5B98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标项名称</w:t>
            </w:r>
          </w:p>
        </w:tc>
        <w:tc>
          <w:tcPr>
            <w:tcW w:w="669" w:type="dxa"/>
            <w:vMerge w:val="restart"/>
          </w:tcPr>
          <w:p w14:paraId="1554E53A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采购数量</w:t>
            </w:r>
          </w:p>
        </w:tc>
        <w:tc>
          <w:tcPr>
            <w:tcW w:w="4489" w:type="dxa"/>
            <w:gridSpan w:val="2"/>
          </w:tcPr>
          <w:p w14:paraId="74931BEA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简要技术要求、用途</w:t>
            </w:r>
          </w:p>
        </w:tc>
      </w:tr>
      <w:tr w14:paraId="03F79398">
        <w:trPr>
          <w:wAfter w:w="0" w:type="auto"/>
          <w:trHeight w:val="144" w:hRule="atLeast"/>
        </w:trPr>
        <w:tc>
          <w:tcPr>
            <w:tcW w:w="549" w:type="dxa"/>
            <w:vMerge w:val="continue"/>
          </w:tcPr>
          <w:p w14:paraId="18CDAA2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7AA088D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456EE83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1DD0754B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1715" w:type="dxa"/>
          </w:tcPr>
          <w:p w14:paraId="54D1F53F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</w:tr>
      <w:tr w14:paraId="644D2107">
        <w:trPr>
          <w:trHeight w:val="427" w:hRule="atLeast"/>
        </w:trPr>
        <w:tc>
          <w:tcPr>
            <w:tcW w:w="549" w:type="dxa"/>
            <w:vMerge w:val="restart"/>
          </w:tcPr>
          <w:p w14:paraId="1F1D0517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750" w:type="dxa"/>
            <w:vMerge w:val="restart"/>
          </w:tcPr>
          <w:p w14:paraId="240AE308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电动自行车及主要配件、危险化学品、纺织品等产品质量监督抽检项目</w:t>
            </w:r>
          </w:p>
          <w:p w14:paraId="6A28DD48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 </w:t>
            </w:r>
          </w:p>
        </w:tc>
        <w:tc>
          <w:tcPr>
            <w:tcW w:w="669" w:type="dxa"/>
            <w:vMerge w:val="restart"/>
          </w:tcPr>
          <w:p w14:paraId="293A6439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1家</w:t>
            </w:r>
          </w:p>
        </w:tc>
        <w:tc>
          <w:tcPr>
            <w:tcW w:w="2774" w:type="dxa"/>
          </w:tcPr>
          <w:p w14:paraId="5F540453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电动自行车</w:t>
            </w:r>
          </w:p>
        </w:tc>
        <w:tc>
          <w:tcPr>
            <w:tcW w:w="1715" w:type="dxa"/>
          </w:tcPr>
          <w:p w14:paraId="486DB9E5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在销售单位抽取15个样品</w:t>
            </w:r>
          </w:p>
        </w:tc>
      </w:tr>
      <w:tr w14:paraId="19FB771F">
        <w:trPr>
          <w:wAfter w:w="0" w:type="auto"/>
          <w:trHeight w:val="427" w:hRule="atLeast"/>
        </w:trPr>
        <w:tc>
          <w:tcPr>
            <w:tcW w:w="549" w:type="dxa"/>
            <w:vMerge w:val="continue"/>
          </w:tcPr>
          <w:p w14:paraId="507E45D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74D54C0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3DC2C16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21C31903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电动自行车电池</w:t>
            </w:r>
          </w:p>
        </w:tc>
        <w:tc>
          <w:tcPr>
            <w:tcW w:w="1715" w:type="dxa"/>
          </w:tcPr>
          <w:p w14:paraId="60081476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在销售单位抽取10个样品</w:t>
            </w:r>
          </w:p>
        </w:tc>
      </w:tr>
      <w:tr w14:paraId="413771CE">
        <w:trPr>
          <w:wAfter w:w="0" w:type="auto"/>
          <w:trHeight w:val="427" w:hRule="atLeast"/>
        </w:trPr>
        <w:tc>
          <w:tcPr>
            <w:tcW w:w="549" w:type="dxa"/>
            <w:vMerge w:val="continue"/>
          </w:tcPr>
          <w:p w14:paraId="1E027F1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199960E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47AEB05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25AE428E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电动自行车充电器</w:t>
            </w:r>
          </w:p>
        </w:tc>
        <w:tc>
          <w:tcPr>
            <w:tcW w:w="1715" w:type="dxa"/>
          </w:tcPr>
          <w:p w14:paraId="600971D6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在销售单位抽取10个样品</w:t>
            </w:r>
          </w:p>
        </w:tc>
      </w:tr>
      <w:tr w14:paraId="3B47FF45">
        <w:trPr>
          <w:wAfter w:w="0" w:type="auto"/>
          <w:trHeight w:val="568" w:hRule="atLeast"/>
        </w:trPr>
        <w:tc>
          <w:tcPr>
            <w:tcW w:w="549" w:type="dxa"/>
            <w:vMerge w:val="continue"/>
          </w:tcPr>
          <w:p w14:paraId="464441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2AA16B8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380FE8F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468C3070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危险化学品（副产盐酸、工业硫酸、正丁醇、液体无水氨、溶解乙炔等）</w:t>
            </w:r>
          </w:p>
        </w:tc>
        <w:tc>
          <w:tcPr>
            <w:tcW w:w="1715" w:type="dxa"/>
          </w:tcPr>
          <w:p w14:paraId="27869A94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在生产销售单位抽取12个样品</w:t>
            </w:r>
          </w:p>
        </w:tc>
      </w:tr>
      <w:tr w14:paraId="47FEAF95">
        <w:trPr>
          <w:wAfter w:w="0" w:type="auto"/>
          <w:trHeight w:val="285" w:hRule="atLeast"/>
        </w:trPr>
        <w:tc>
          <w:tcPr>
            <w:tcW w:w="549" w:type="dxa"/>
            <w:vMerge w:val="continue"/>
          </w:tcPr>
          <w:p w14:paraId="07F22FC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29AA594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0DDF00E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497C029B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危险化学品（醇基燃料、工业甲醇、车用醇基燃料）</w:t>
            </w:r>
          </w:p>
        </w:tc>
        <w:tc>
          <w:tcPr>
            <w:tcW w:w="1715" w:type="dxa"/>
          </w:tcPr>
          <w:p w14:paraId="19EE5C1D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在生产销售单位抽取10个样品</w:t>
            </w:r>
          </w:p>
        </w:tc>
      </w:tr>
      <w:tr w14:paraId="59B428B6">
        <w:trPr>
          <w:wAfter w:w="0" w:type="auto"/>
          <w:trHeight w:val="570" w:hRule="atLeast"/>
        </w:trPr>
        <w:tc>
          <w:tcPr>
            <w:tcW w:w="549" w:type="dxa"/>
            <w:vMerge w:val="continue"/>
          </w:tcPr>
          <w:p w14:paraId="17CE397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50" w:type="dxa"/>
            <w:vMerge w:val="continue"/>
          </w:tcPr>
          <w:p w14:paraId="4042A2E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69" w:type="dxa"/>
            <w:vMerge w:val="continue"/>
          </w:tcPr>
          <w:p w14:paraId="56F0C70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74" w:type="dxa"/>
          </w:tcPr>
          <w:p w14:paraId="54669926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纺织品（羊绒衫、羊毛衫、羽绒服）</w:t>
            </w:r>
          </w:p>
        </w:tc>
        <w:tc>
          <w:tcPr>
            <w:tcW w:w="1715" w:type="dxa"/>
          </w:tcPr>
          <w:p w14:paraId="30E5429B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在生产销售单位抽取20个样品</w:t>
            </w:r>
          </w:p>
        </w:tc>
      </w:tr>
    </w:tbl>
    <w:p w14:paraId="35ACF73C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四、预算、最高限价及结算说明</w:t>
      </w:r>
    </w:p>
    <w:p w14:paraId="39ED5B8D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本采购包预算200000元，包括但不限于本次项目所需采样费、检测费、设备费、劳务费、机械费、材料费、管理费、利润、税金、政策性文件规定的各项应有费用。</w:t>
      </w:r>
    </w:p>
    <w:p w14:paraId="72C65667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单价最高限价：电动自行车产品质量检测：4130元/批次；电动自行车电池产品质量检测：2140元/批次；电动自行车充电器产品质量检测：1960元/批次；副产盐酸产品质量检测：2660元/批次；工业硫酸产品质量检测：3390元/批次；正丁醇、液体无水氨、溶解乙炔产品质量检测：3800元/批次；醇基燃料（车用醇基燃料）产品质量检测：2860元/批次；甲醇产品质量检测：3860元/批次；羊绒衫、羊毛衫产品质量检测：2230元/批次；羽绒服产品质量检测：2350元/批次；各供应商磋商报价不得超过总价及各分项的单价最高限价，否则视为无效报价。</w:t>
      </w:r>
    </w:p>
    <w:p w14:paraId="20741DEA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电动自行车及主要配件、危险化学品、纺织品等产品质量监督抽检项目最终结算金额=电动自行车电池产品质量检测费用+电动自行车充电器产品质量检测费用+副产盐酸产品质量检测费用+工业硫酸产品质量检测费用+正丁醇、液体无水氨、溶解乙炔产品质量检测费用+醇基燃料（车用醇基燃料）产品质量检测费用+甲醇产品质量检测费用+羊绒衫、羊毛衫产品质量检测费用+羽绒服产品质量检测费用，各分项检测费用=实际抽检样品批次×成交固定综合单价。</w:t>
      </w:r>
    </w:p>
    <w:p w14:paraId="33293B6E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五、服务质量、标准、期限、效率等要求</w:t>
      </w:r>
    </w:p>
    <w:p w14:paraId="0518CAC2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检验要求：能够严格按照国家检验标准进行检验，及时出具检验报告，对不合格检验报告即时送达采购人，并对检验结果的真实性负责。由于虚假、错误检验数据和结论而给采购人、被检验人造成损失，或者给社会带来不良影响的，成交供应商应当消除影响，负责赔偿，并承担相应法律责任。</w:t>
      </w:r>
    </w:p>
    <w:p w14:paraId="560DC0C1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检验机构抽样时须严格按照操作规程进行操作，不得因抽样不规范引起被抽样单位的异议，且出具的检测结果公平、公正、准确，问题发现率符合要求；检测报告出具和送达及时；服务态度良好，能积极配合采购人按时完成抽检任务；能及时协助采购人完成监督抽检的应急事件。</w:t>
      </w:r>
    </w:p>
    <w:p w14:paraId="6BB6A5F5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3、检验机构收到检品后10个工作日内出具检验报告。对于特殊、涉案样品的检验，2天内出结果，4天内出报告，且无额外加收费用。涉案样品需要配合执法机关调查、取证的应当积极配合。</w:t>
      </w:r>
    </w:p>
    <w:p w14:paraId="46D36E54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4、检验机构应有满足抽样工作需要的车辆、器具、仪器、设备等，每次检测至少须委派2名以上经培训考核合格，持证上岗的检测人员。</w:t>
      </w:r>
    </w:p>
    <w:p w14:paraId="2F4C930A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5、能够承担并完成抽检结果数据信息的录入、上传工作，确保录入数据准确，并及时将抽样检验相关资料输入监督抽检系统。</w:t>
      </w:r>
    </w:p>
    <w:p w14:paraId="2EB5CEE8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6、具体抽样时间和地点由采购人提供，需由检验机构在采购人指定的时间到指定的地点进行取样，若因检验机构不按照标准要求取样引起的行政诉讼等，由检验机构承担相应的法律责任。</w:t>
      </w:r>
    </w:p>
    <w:p w14:paraId="39C2D541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7、检测机构对检验结论、结果的包括但不限于真实性、有效性、客观性负责。由于检测机构的包括但不限于工作失误、错误、弄虚作假等，致使检验结论。结果无法真实客观有效地反映事实的，由检测机构承担法律责任。</w:t>
      </w:r>
    </w:p>
    <w:p w14:paraId="50651219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8、采购人将对供应商响应文件中的资质以及检测流程进行检查，如发现弄虚作假或不符合规定程序行为，采购人有权按照有关规定继续进行处理。</w:t>
      </w:r>
    </w:p>
    <w:p w14:paraId="1040D507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9、检测机构应按照抽检任务的品种，下达日期先后次序有序整理抽检任务档案材料，并妥善保存备查。保存时间不得少于 2 年。</w:t>
      </w:r>
    </w:p>
    <w:p w14:paraId="1765D3E5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10、近3年未发生过数据泄露事故：自觉接受采购人组织的质控考核，现场检查和比对实验等工作安排。</w:t>
      </w:r>
    </w:p>
    <w:p w14:paraId="34747E97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11、建立与采购人定期交流制度，每次抽样检测检查后及时与采购人沟通，及时上报检测结果；与采购人代表，工作人员随时交流，虚心接受采购人的监督及意见，及时改进工作方法和服务方式，提高服务水平；</w:t>
      </w:r>
    </w:p>
    <w:p w14:paraId="34E9A402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12、复检要求：能够配合采购人开展复检，做好相关工作。</w:t>
      </w:r>
    </w:p>
    <w:p w14:paraId="572E6677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13、保密义务：保守抽检工作秘密，对涉及抽检商品名称、种类、型号、经营者和生产者名称、商标、检验流程、检验结果等全部数据必须保密，未经委托抽检的市场监管部门授权，不得向任何单位与个人透露。</w:t>
      </w:r>
    </w:p>
    <w:p w14:paraId="65B6AA10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14、任何检测机构不得存在以下情形：</w:t>
      </w:r>
    </w:p>
    <w:p w14:paraId="5597F066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1)以蒙骗、欺诈等手段承担无CMA资质认证的检测任务；</w:t>
      </w:r>
    </w:p>
    <w:p w14:paraId="37D05DFD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2)抽检过程中使用实习大学生等非职业抽检人员；</w:t>
      </w:r>
    </w:p>
    <w:p w14:paraId="2193E3E7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3)未经许可对承担的任务进行转包、分包；</w:t>
      </w:r>
    </w:p>
    <w:p w14:paraId="09E707D6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4)未经许可使用、公布采购人抽检任务信息；</w:t>
      </w:r>
    </w:p>
    <w:p w14:paraId="6D7185AE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5)出具虚假检测报告。一经发现，一切损失由检测机构承担，采购人将立即终止抽检计划，并追究相应的法律责任。</w:t>
      </w:r>
    </w:p>
    <w:p w14:paraId="60AED6C9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六、付款方式：</w:t>
      </w:r>
    </w:p>
    <w:p w14:paraId="0B03FD8D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合同签订后，合同签订后5个工作日内，采购人向成交人支付采购合同金额的40%作为预付款，待成交人完成全部检测工作支付合同金额的60%。</w:t>
      </w:r>
    </w:p>
    <w:p w14:paraId="1B254EFB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电动自行车及主要配件、危险化学品、纺织品等产品质量监督抽检项目最终结算金额=电动自行车电池产品质量检测费用+电动自行车充电器产品质量检测费用+副产盐酸产品质量检测费用+工业硫酸产品质量检测费用+正丁醇、液体无水氨、溶解乙炔产品质量检测费用+醇基燃料（车用醇基燃料）产品质量检测费用+甲醇产品质量检测费用+羊绒衫、羊毛衫产品质量检测费用+羽绒服产品质量检测费用，各分项检测费用=实际抽检样品批次×成交固定综合单价。</w:t>
      </w:r>
    </w:p>
    <w:p w14:paraId="7335B967">
      <w:pPr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七、验收标准:甲方应在乙方完成相关服务工作后及时对服务质量、技术指标、服务成果进行验收。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76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2026-06-12T08:19:08Z</dcterms:created>
  <dc:creator>DRZB</dc:creator>
  <cp:lastModifiedBy>zl</cp:lastModifiedBy>
  <dcterms:modified xsi:type="dcterms:W3CDTF">2026-06-12T08:21:56Z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eyJoZGlkIjoiYTFiMDNiZWQ5MWQxMjIzYjU0MTBhYTU0MzhiYWE1ZmUiLCJ1c2VySWQiOiIyNzQ5OTcwMTQifQ==</vt:lpwstr>
  </property>
  <property fmtid="{D5CDD505-2E9C-101B-9397-08002B2CF9AE}" pid="4" name="ICV">
    <vt:lpwstr>4E704229F12A4C9088016277DAAA4F47_12</vt:lpwstr>
  </property>
</Properties>
</file>