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A236F">
      <w:pPr>
        <w:jc w:val="center"/>
        <w:rPr>
          <w:rFonts w:hint="eastAsia" w:ascii="仿宋" w:hAnsi="仿宋" w:eastAsia="仿宋" w:cs="仿宋"/>
          <w:b/>
          <w:bCs/>
          <w:color w:val="auto"/>
          <w:sz w:val="48"/>
          <w:szCs w:val="48"/>
        </w:rPr>
      </w:pPr>
    </w:p>
    <w:p w14:paraId="7663E42A">
      <w:pPr>
        <w:jc w:val="center"/>
        <w:rPr>
          <w:rFonts w:hint="eastAsia" w:ascii="仿宋" w:hAnsi="仿宋" w:eastAsia="仿宋" w:cs="仿宋"/>
          <w:b/>
          <w:bCs/>
          <w:color w:val="auto"/>
          <w:sz w:val="48"/>
          <w:szCs w:val="48"/>
        </w:rPr>
      </w:pPr>
    </w:p>
    <w:p w14:paraId="0C6DAE9E">
      <w:pPr>
        <w:jc w:val="center"/>
        <w:rPr>
          <w:rFonts w:hint="eastAsia" w:ascii="仿宋" w:hAnsi="仿宋" w:eastAsia="仿宋" w:cs="仿宋"/>
          <w:b/>
          <w:bCs/>
          <w:color w:val="auto"/>
          <w:sz w:val="48"/>
          <w:szCs w:val="48"/>
        </w:rPr>
      </w:pPr>
    </w:p>
    <w:p w14:paraId="17F6C750">
      <w:pPr>
        <w:jc w:val="center"/>
        <w:rPr>
          <w:rFonts w:hint="eastAsia" w:ascii="仿宋" w:hAnsi="仿宋" w:eastAsia="仿宋" w:cs="仿宋"/>
          <w:b/>
          <w:bCs/>
          <w:color w:val="auto"/>
          <w:sz w:val="48"/>
          <w:szCs w:val="48"/>
          <w:lang w:eastAsia="zh-CN"/>
        </w:rPr>
      </w:pPr>
      <w:r>
        <w:rPr>
          <w:rFonts w:hint="eastAsia" w:ascii="仿宋" w:hAnsi="仿宋" w:eastAsia="仿宋" w:cs="仿宋"/>
          <w:b/>
          <w:bCs/>
          <w:color w:val="auto"/>
          <w:sz w:val="48"/>
          <w:szCs w:val="48"/>
          <w:lang w:eastAsia="zh-CN"/>
        </w:rPr>
        <w:t>新增汇交地下市政基础设施数据质检、更新、入库、维护与共享服务项目</w:t>
      </w:r>
    </w:p>
    <w:p w14:paraId="350CCF8C">
      <w:pPr>
        <w:jc w:val="center"/>
        <w:rPr>
          <w:rFonts w:hint="eastAsia" w:ascii="仿宋" w:hAnsi="仿宋" w:eastAsia="仿宋" w:cs="仿宋"/>
          <w:b/>
          <w:bCs/>
          <w:color w:val="auto"/>
          <w:sz w:val="48"/>
          <w:szCs w:val="48"/>
        </w:rPr>
      </w:pPr>
    </w:p>
    <w:p w14:paraId="5DB58F65">
      <w:pPr>
        <w:jc w:val="center"/>
        <w:rPr>
          <w:rFonts w:hint="eastAsia" w:ascii="仿宋" w:hAnsi="仿宋" w:eastAsia="仿宋" w:cs="仿宋"/>
          <w:b/>
          <w:bCs/>
          <w:color w:val="auto"/>
          <w:sz w:val="48"/>
          <w:szCs w:val="48"/>
          <w:lang w:val="en-US" w:eastAsia="zh-CN"/>
        </w:rPr>
      </w:pPr>
      <w:r>
        <w:rPr>
          <w:rFonts w:hint="eastAsia" w:ascii="仿宋" w:hAnsi="仿宋" w:eastAsia="仿宋" w:cs="仿宋"/>
          <w:b/>
          <w:bCs/>
          <w:color w:val="auto"/>
          <w:sz w:val="48"/>
          <w:szCs w:val="48"/>
          <w:lang w:val="en-US" w:eastAsia="zh-CN"/>
        </w:rPr>
        <w:t>服务合同</w:t>
      </w:r>
    </w:p>
    <w:p w14:paraId="338D4E64">
      <w:pPr>
        <w:jc w:val="center"/>
        <w:rPr>
          <w:rFonts w:hint="eastAsia" w:ascii="仿宋" w:hAnsi="仿宋" w:eastAsia="仿宋" w:cs="仿宋"/>
          <w:b/>
          <w:bCs/>
          <w:color w:val="auto"/>
          <w:sz w:val="36"/>
          <w:szCs w:val="36"/>
          <w:lang w:val="en-US" w:eastAsia="zh-CN"/>
        </w:rPr>
      </w:pPr>
    </w:p>
    <w:p w14:paraId="3393723B">
      <w:pPr>
        <w:jc w:val="center"/>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（项目编号：ZLC-XA-2026010）</w:t>
      </w:r>
    </w:p>
    <w:p w14:paraId="25934884">
      <w:pPr>
        <w:jc w:val="both"/>
        <w:rPr>
          <w:rFonts w:hint="eastAsia" w:ascii="仿宋" w:hAnsi="仿宋" w:eastAsia="仿宋" w:cs="仿宋"/>
          <w:b/>
          <w:bCs/>
          <w:color w:val="auto"/>
          <w:sz w:val="28"/>
          <w:szCs w:val="28"/>
          <w:lang w:val="en-US" w:eastAsia="zh-CN"/>
        </w:rPr>
      </w:pPr>
    </w:p>
    <w:p w14:paraId="1E114592">
      <w:pPr>
        <w:jc w:val="center"/>
        <w:rPr>
          <w:rFonts w:hint="eastAsia" w:ascii="仿宋" w:hAnsi="仿宋" w:eastAsia="仿宋" w:cs="仿宋"/>
          <w:b/>
          <w:bCs/>
          <w:color w:val="auto"/>
          <w:sz w:val="28"/>
          <w:szCs w:val="28"/>
          <w:lang w:val="en-US" w:eastAsia="zh-CN"/>
        </w:rPr>
      </w:pPr>
    </w:p>
    <w:p w14:paraId="00A31400">
      <w:pPr>
        <w:jc w:val="center"/>
        <w:rPr>
          <w:rFonts w:hint="eastAsia" w:ascii="仿宋" w:hAnsi="仿宋" w:eastAsia="仿宋" w:cs="仿宋"/>
          <w:b/>
          <w:bCs/>
          <w:color w:val="auto"/>
          <w:sz w:val="28"/>
          <w:szCs w:val="28"/>
          <w:lang w:val="en-US" w:eastAsia="zh-CN"/>
        </w:rPr>
      </w:pPr>
    </w:p>
    <w:p w14:paraId="3420266E">
      <w:pPr>
        <w:jc w:val="center"/>
        <w:rPr>
          <w:rFonts w:hint="eastAsia" w:ascii="仿宋" w:hAnsi="仿宋" w:eastAsia="仿宋" w:cs="仿宋"/>
          <w:b/>
          <w:bCs/>
          <w:color w:val="auto"/>
          <w:sz w:val="28"/>
          <w:szCs w:val="28"/>
          <w:lang w:val="en-US" w:eastAsia="zh-CN"/>
        </w:rPr>
      </w:pPr>
    </w:p>
    <w:p w14:paraId="63D185F0">
      <w:pPr>
        <w:jc w:val="center"/>
        <w:rPr>
          <w:rFonts w:hint="eastAsia" w:ascii="仿宋" w:hAnsi="仿宋" w:eastAsia="仿宋" w:cs="仿宋"/>
          <w:b/>
          <w:bCs/>
          <w:color w:val="auto"/>
          <w:sz w:val="28"/>
          <w:szCs w:val="28"/>
          <w:lang w:val="en-US" w:eastAsia="zh-CN"/>
        </w:rPr>
      </w:pPr>
    </w:p>
    <w:p w14:paraId="66159163">
      <w:pPr>
        <w:spacing w:line="480" w:lineRule="auto"/>
        <w:jc w:val="both"/>
        <w:rPr>
          <w:rFonts w:hint="eastAsia" w:ascii="仿宋" w:hAnsi="仿宋" w:eastAsia="仿宋" w:cs="仿宋"/>
          <w:b/>
          <w:bCs/>
          <w:color w:val="auto"/>
          <w:sz w:val="28"/>
          <w:szCs w:val="28"/>
          <w:lang w:val="en-US" w:eastAsia="zh-CN"/>
        </w:rPr>
      </w:pPr>
    </w:p>
    <w:p w14:paraId="6333AE1B">
      <w:pPr>
        <w:spacing w:line="480" w:lineRule="auto"/>
        <w:jc w:val="both"/>
        <w:rPr>
          <w:rFonts w:hint="eastAsia" w:ascii="仿宋" w:hAnsi="仿宋" w:eastAsia="仿宋" w:cs="仿宋"/>
          <w:b/>
          <w:bCs/>
          <w:color w:val="auto"/>
          <w:sz w:val="28"/>
          <w:szCs w:val="28"/>
          <w:lang w:val="en-US" w:eastAsia="zh-CN"/>
        </w:rPr>
      </w:pPr>
    </w:p>
    <w:p w14:paraId="10FBB520">
      <w:pPr>
        <w:spacing w:line="480" w:lineRule="auto"/>
        <w:ind w:firstLine="2249" w:firstLineChars="700"/>
        <w:jc w:val="both"/>
        <w:rPr>
          <w:rFonts w:hint="default"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甲方：西安市自然资源和规划局</w:t>
      </w:r>
    </w:p>
    <w:p w14:paraId="091FC8D1">
      <w:pPr>
        <w:spacing w:line="480" w:lineRule="auto"/>
        <w:ind w:firstLine="2249" w:firstLineChars="700"/>
        <w:jc w:val="both"/>
        <w:rPr>
          <w:rFonts w:hint="default"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lang w:val="en-US" w:eastAsia="zh-CN"/>
        </w:rPr>
        <w:t>乙方：</w:t>
      </w:r>
      <w:r>
        <w:rPr>
          <w:rFonts w:hint="eastAsia" w:ascii="仿宋" w:hAnsi="仿宋" w:eastAsia="仿宋" w:cs="仿宋"/>
          <w:b/>
          <w:bCs/>
          <w:color w:val="auto"/>
          <w:sz w:val="32"/>
          <w:szCs w:val="32"/>
          <w:u w:val="single"/>
          <w:lang w:val="en-US" w:eastAsia="zh-CN"/>
        </w:rPr>
        <w:t xml:space="preserve">                        </w:t>
      </w:r>
    </w:p>
    <w:p w14:paraId="0708458C">
      <w:pPr>
        <w:spacing w:line="480" w:lineRule="auto"/>
        <w:ind w:firstLine="2249" w:firstLineChars="700"/>
        <w:rPr>
          <w:rFonts w:hint="eastAsia" w:ascii="仿宋" w:hAnsi="仿宋" w:eastAsia="仿宋" w:cs="仿宋"/>
          <w:b/>
          <w:bCs/>
          <w:color w:val="auto"/>
          <w:sz w:val="28"/>
          <w:szCs w:val="28"/>
        </w:rPr>
      </w:pPr>
      <w:r>
        <w:rPr>
          <w:rFonts w:hint="eastAsia" w:ascii="仿宋" w:hAnsi="仿宋" w:eastAsia="仿宋" w:cs="仿宋"/>
          <w:b/>
          <w:bCs/>
          <w:color w:val="auto"/>
          <w:sz w:val="32"/>
          <w:szCs w:val="32"/>
          <w:lang w:val="en-US" w:eastAsia="zh-CN"/>
        </w:rPr>
        <w:t>签订日期：</w:t>
      </w:r>
      <w:r>
        <w:rPr>
          <w:rFonts w:hint="eastAsia" w:ascii="仿宋" w:hAnsi="仿宋" w:eastAsia="仿宋" w:cs="仿宋"/>
          <w:b/>
          <w:bCs/>
          <w:color w:val="auto"/>
          <w:sz w:val="32"/>
          <w:szCs w:val="32"/>
          <w:u w:val="single"/>
          <w:lang w:val="en-US" w:eastAsia="zh-CN"/>
        </w:rPr>
        <w:t xml:space="preserve">                    </w:t>
      </w:r>
      <w:r>
        <w:rPr>
          <w:rFonts w:hint="eastAsia" w:ascii="仿宋" w:hAnsi="仿宋" w:eastAsia="仿宋" w:cs="仿宋"/>
          <w:b/>
          <w:bCs/>
          <w:color w:val="auto"/>
          <w:sz w:val="28"/>
          <w:szCs w:val="28"/>
        </w:rPr>
        <w:br w:type="page"/>
      </w:r>
    </w:p>
    <w:p w14:paraId="1C7FAC4F">
      <w:pPr>
        <w:spacing w:line="360" w:lineRule="auto"/>
        <w:ind w:firstLine="482" w:firstLineChars="200"/>
        <w:contextualSpacing/>
        <w:rPr>
          <w:rFonts w:hint="eastAsia" w:ascii="仿宋" w:hAnsi="仿宋" w:eastAsia="仿宋" w:cs="仿宋"/>
          <w:color w:val="auto"/>
          <w:sz w:val="24"/>
          <w:szCs w:val="24"/>
        </w:rPr>
      </w:pPr>
      <w:r>
        <w:rPr>
          <w:rFonts w:hint="eastAsia" w:ascii="仿宋" w:hAnsi="仿宋" w:eastAsia="仿宋" w:cs="仿宋"/>
          <w:b/>
          <w:bCs/>
          <w:color w:val="auto"/>
          <w:sz w:val="24"/>
          <w:szCs w:val="24"/>
        </w:rPr>
        <w:t>甲方：</w:t>
      </w:r>
      <w:r>
        <w:rPr>
          <w:rFonts w:hint="eastAsia" w:ascii="仿宋" w:hAnsi="仿宋" w:eastAsia="仿宋" w:cs="仿宋"/>
          <w:color w:val="auto"/>
          <w:sz w:val="24"/>
          <w:szCs w:val="24"/>
        </w:rPr>
        <w:t xml:space="preserve">西安市自然资源和规划局 </w:t>
      </w:r>
    </w:p>
    <w:p w14:paraId="6F04B79B">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地址：</w:t>
      </w:r>
      <w:r>
        <w:rPr>
          <w:rFonts w:hint="eastAsia" w:ascii="仿宋" w:hAnsi="仿宋" w:eastAsia="仿宋" w:cs="仿宋"/>
          <w:color w:val="auto"/>
          <w:kern w:val="0"/>
          <w:sz w:val="24"/>
          <w:szCs w:val="24"/>
        </w:rPr>
        <w:t xml:space="preserve"> </w:t>
      </w:r>
      <w:r>
        <w:rPr>
          <w:rFonts w:hint="eastAsia" w:ascii="仿宋" w:hAnsi="仿宋" w:eastAsia="仿宋" w:cs="仿宋"/>
          <w:color w:val="auto"/>
          <w:sz w:val="24"/>
          <w:szCs w:val="24"/>
        </w:rPr>
        <w:t>西安市未央区凤城九路139号市级机关凤城九路办公区</w:t>
      </w:r>
    </w:p>
    <w:p w14:paraId="7979033C">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联系人：</w:t>
      </w:r>
    </w:p>
    <w:p w14:paraId="182EC1A4">
      <w:pPr>
        <w:spacing w:line="360" w:lineRule="auto"/>
        <w:ind w:firstLine="480" w:firstLineChars="200"/>
        <w:contextualSpacing/>
        <w:rPr>
          <w:rFonts w:hint="eastAsia" w:ascii="仿宋" w:hAnsi="仿宋" w:eastAsia="仿宋" w:cs="仿宋"/>
          <w:b/>
          <w:bCs/>
          <w:color w:val="auto"/>
          <w:sz w:val="24"/>
          <w:szCs w:val="24"/>
        </w:rPr>
      </w:pPr>
      <w:r>
        <w:rPr>
          <w:rFonts w:hint="eastAsia" w:ascii="仿宋" w:hAnsi="仿宋" w:eastAsia="仿宋" w:cs="仿宋"/>
          <w:color w:val="auto"/>
          <w:sz w:val="24"/>
          <w:szCs w:val="24"/>
        </w:rPr>
        <w:t>联系方式：</w:t>
      </w:r>
    </w:p>
    <w:p w14:paraId="4F2BAF05">
      <w:pPr>
        <w:spacing w:line="360" w:lineRule="auto"/>
        <w:ind w:firstLine="482" w:firstLineChars="200"/>
        <w:contextualSpacing/>
        <w:rPr>
          <w:rFonts w:hint="default" w:ascii="仿宋" w:hAnsi="仿宋" w:eastAsia="仿宋" w:cs="仿宋"/>
          <w:color w:val="auto"/>
          <w:sz w:val="24"/>
          <w:szCs w:val="24"/>
          <w:u w:val="single"/>
          <w:lang w:val="en-US" w:eastAsia="zh-CN"/>
        </w:rPr>
      </w:pPr>
      <w:r>
        <w:rPr>
          <w:rFonts w:hint="eastAsia" w:ascii="仿宋" w:hAnsi="仿宋" w:eastAsia="仿宋" w:cs="仿宋"/>
          <w:b/>
          <w:bCs/>
          <w:color w:val="auto"/>
          <w:sz w:val="24"/>
          <w:szCs w:val="24"/>
        </w:rPr>
        <w:t>乙方：</w:t>
      </w:r>
      <w:r>
        <w:rPr>
          <w:rFonts w:hint="eastAsia" w:ascii="仿宋" w:hAnsi="仿宋" w:eastAsia="仿宋" w:cs="仿宋"/>
          <w:b/>
          <w:bCs/>
          <w:color w:val="auto"/>
          <w:sz w:val="24"/>
          <w:szCs w:val="24"/>
          <w:u w:val="single"/>
          <w:lang w:val="en-US" w:eastAsia="zh-CN"/>
        </w:rPr>
        <w:t xml:space="preserve">                     </w:t>
      </w:r>
    </w:p>
    <w:p w14:paraId="2976FB68">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地址：</w:t>
      </w:r>
    </w:p>
    <w:p w14:paraId="6AE98F5E">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联系人：</w:t>
      </w:r>
    </w:p>
    <w:p w14:paraId="15ECF234">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联系方式：</w:t>
      </w:r>
    </w:p>
    <w:p w14:paraId="3AC4F287">
      <w:pPr>
        <w:pStyle w:val="4"/>
        <w:spacing w:beforeAutospacing="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甲乙双方根据《中华人民共和国民法典》及有关法律、法规的相关规定，本着互惠互利的原则，经友好协商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就乙方为甲方提供</w:t>
      </w:r>
      <w:r>
        <w:rPr>
          <w:rFonts w:hint="eastAsia" w:ascii="仿宋" w:hAnsi="仿宋" w:eastAsia="仿宋" w:cs="仿宋"/>
          <w:color w:val="auto"/>
          <w:sz w:val="24"/>
          <w:szCs w:val="24"/>
          <w:u w:val="single"/>
          <w:lang w:val="en-US" w:eastAsia="zh-CN"/>
        </w:rPr>
        <w:t xml:space="preserve">新增汇交地下市政基础设施数据质检、更新、入库、维护与共享服务项目 </w:t>
      </w:r>
      <w:r>
        <w:rPr>
          <w:rFonts w:hint="eastAsia" w:ascii="仿宋" w:hAnsi="仿宋" w:eastAsia="仿宋" w:cs="仿宋"/>
          <w:color w:val="auto"/>
          <w:sz w:val="24"/>
          <w:szCs w:val="24"/>
        </w:rPr>
        <w:t>相关工作达成一致意见，并签订本协议。</w:t>
      </w:r>
    </w:p>
    <w:p w14:paraId="6700F0CB">
      <w:pPr>
        <w:spacing w:line="360" w:lineRule="auto"/>
        <w:contextualSpacing/>
        <w:rPr>
          <w:rFonts w:hint="eastAsia" w:ascii="仿宋" w:hAnsi="仿宋" w:eastAsia="仿宋" w:cs="仿宋"/>
          <w:b/>
          <w:color w:val="auto"/>
          <w:sz w:val="24"/>
          <w:szCs w:val="24"/>
        </w:rPr>
      </w:pPr>
      <w:r>
        <w:rPr>
          <w:rFonts w:hint="eastAsia" w:ascii="仿宋" w:hAnsi="仿宋" w:eastAsia="仿宋" w:cs="仿宋"/>
          <w:b/>
          <w:color w:val="auto"/>
          <w:sz w:val="24"/>
          <w:szCs w:val="24"/>
        </w:rPr>
        <w:t>第一条 服务期限</w:t>
      </w:r>
    </w:p>
    <w:p w14:paraId="3E831BCF">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自合同签订之日起至2026年12月15日前完成全部服务内容。</w:t>
      </w:r>
    </w:p>
    <w:p w14:paraId="1D4D7603">
      <w:pPr>
        <w:spacing w:line="360" w:lineRule="auto"/>
        <w:contextualSpacing/>
        <w:rPr>
          <w:rFonts w:hint="eastAsia" w:ascii="仿宋" w:hAnsi="仿宋" w:eastAsia="仿宋" w:cs="仿宋"/>
          <w:color w:val="auto"/>
          <w:sz w:val="24"/>
          <w:szCs w:val="24"/>
        </w:rPr>
      </w:pPr>
      <w:r>
        <w:rPr>
          <w:rFonts w:hint="eastAsia" w:ascii="仿宋" w:hAnsi="仿宋" w:eastAsia="仿宋" w:cs="仿宋"/>
          <w:b/>
          <w:color w:val="auto"/>
          <w:sz w:val="24"/>
          <w:szCs w:val="24"/>
        </w:rPr>
        <w:t>第二条 服务内容</w:t>
      </w:r>
    </w:p>
    <w:p w14:paraId="24594961">
      <w:pPr>
        <w:pStyle w:val="8"/>
        <w:keepNext/>
        <w:keepLines/>
        <w:spacing w:after="0" w:line="360" w:lineRule="auto"/>
        <w:ind w:firstLine="499"/>
        <w:jc w:val="both"/>
        <w:rPr>
          <w:rFonts w:hint="eastAsia" w:ascii="仿宋_GB2312" w:hAnsi="仿宋_GB2312" w:eastAsia="仿宋_GB2312" w:cs="仿宋_GB2312"/>
          <w:color w:val="auto"/>
          <w:sz w:val="24"/>
          <w:szCs w:val="24"/>
          <w:lang w:val="en-US" w:eastAsia="zh-CN"/>
        </w:rPr>
      </w:pPr>
      <w:r>
        <w:rPr>
          <w:rFonts w:hint="eastAsia" w:ascii="仿宋" w:hAnsi="仿宋" w:eastAsia="仿宋" w:cs="仿宋"/>
          <w:color w:val="auto"/>
          <w:sz w:val="24"/>
          <w:szCs w:val="24"/>
        </w:rPr>
        <w:t xml:space="preserve"> </w:t>
      </w:r>
      <w:r>
        <w:rPr>
          <w:rFonts w:hint="eastAsia" w:ascii="仿宋_GB2312" w:hAnsi="仿宋_GB2312" w:eastAsia="仿宋_GB2312" w:cs="仿宋_GB2312"/>
          <w:color w:val="auto"/>
          <w:sz w:val="24"/>
          <w:szCs w:val="24"/>
          <w:lang w:val="en-US" w:eastAsia="zh-CN"/>
        </w:rPr>
        <w:t>1 、地下市政基础设施项目全链条管理更新服务</w:t>
      </w:r>
    </w:p>
    <w:p w14:paraId="418191AB">
      <w:pPr>
        <w:pStyle w:val="8"/>
        <w:keepNext/>
        <w:keepLines/>
        <w:spacing w:after="0" w:line="360" w:lineRule="auto"/>
        <w:ind w:firstLine="499"/>
        <w:jc w:val="both"/>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对全市汇交的地下市政基础设施项目竣工、实测等相关成果开展二三维 数据处理、融合及更新利用，并纳入资源规划一张图管理。</w:t>
      </w:r>
    </w:p>
    <w:p w14:paraId="25F2B118">
      <w:pPr>
        <w:pStyle w:val="8"/>
        <w:keepNext/>
        <w:keepLines/>
        <w:spacing w:after="0" w:line="360" w:lineRule="auto"/>
        <w:ind w:firstLine="499"/>
        <w:jc w:val="both"/>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2、地下市政基础设施项目成果资料质检服务</w:t>
      </w:r>
    </w:p>
    <w:p w14:paraId="6005931D">
      <w:pPr>
        <w:pStyle w:val="8"/>
        <w:keepNext/>
        <w:keepLines/>
        <w:spacing w:after="0" w:line="360" w:lineRule="auto"/>
        <w:ind w:firstLine="499"/>
        <w:jc w:val="both"/>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对新增汇交地下市政基础设施工程相关的竣工图、实测图等资料进行内外业质量检查，测绘并核实地下市政基础设施的空间位置、逻辑关系及管径、 埋深、材质等属性信息，保障成果资料的准确性和现势性。</w:t>
      </w:r>
    </w:p>
    <w:p w14:paraId="74CD5EF3">
      <w:pPr>
        <w:pStyle w:val="8"/>
        <w:keepNext/>
        <w:keepLines/>
        <w:spacing w:after="0" w:line="360" w:lineRule="auto"/>
        <w:ind w:firstLine="499"/>
        <w:jc w:val="both"/>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3、“地下一张网”维护及共享服务</w:t>
      </w:r>
    </w:p>
    <w:p w14:paraId="1FA3679D">
      <w:pPr>
        <w:pStyle w:val="8"/>
        <w:keepNext/>
        <w:keepLines/>
        <w:spacing w:after="0" w:line="360" w:lineRule="auto"/>
        <w:ind w:firstLine="499"/>
        <w:jc w:val="both"/>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将地下一张网数据按照自然资源一张图的要求进行标准化处理、治理和入库，形成实时更新的地下一张网数据，同时维护西安市地下综合管网平台，为政府部门和权属单位提供管网平台信息服务</w:t>
      </w:r>
      <w:r>
        <w:rPr>
          <w:rFonts w:hint="eastAsia" w:ascii="仿宋_GB2312" w:hAnsi="仿宋_GB2312" w:eastAsia="仿宋_GB2312" w:cs="仿宋_GB2312"/>
          <w:color w:val="auto"/>
          <w:sz w:val="24"/>
          <w:szCs w:val="24"/>
          <w:lang w:eastAsia="zh-CN"/>
        </w:rPr>
        <w:t>。</w:t>
      </w:r>
    </w:p>
    <w:p w14:paraId="26BB40F4">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第三条 服务工作具体要求</w:t>
      </w:r>
    </w:p>
    <w:p w14:paraId="3D1355B8">
      <w:pPr>
        <w:spacing w:line="360" w:lineRule="auto"/>
        <w:ind w:firstLine="480" w:firstLineChars="200"/>
        <w:jc w:val="both"/>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服务成果应符合要求：</w:t>
      </w:r>
    </w:p>
    <w:p w14:paraId="0F3EDF04">
      <w:pPr>
        <w:spacing w:line="360" w:lineRule="auto"/>
        <w:ind w:firstLine="480" w:firstLineChars="200"/>
        <w:jc w:val="both"/>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1 、实现地下市政基础设施项目全链条管理更新服务；</w:t>
      </w:r>
    </w:p>
    <w:p w14:paraId="0C5B0100">
      <w:pPr>
        <w:spacing w:line="360" w:lineRule="auto"/>
        <w:ind w:firstLine="480" w:firstLineChars="200"/>
        <w:jc w:val="both"/>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2、保障成果资料的准确性和现势性；</w:t>
      </w:r>
    </w:p>
    <w:p w14:paraId="14593863">
      <w:pPr>
        <w:spacing w:line="360" w:lineRule="auto"/>
        <w:ind w:firstLine="480" w:firstLineChars="200"/>
        <w:jc w:val="both"/>
        <w:rPr>
          <w:rFonts w:ascii="仿宋" w:hAnsi="仿宋" w:eastAsia="仿宋" w:cs="仿宋"/>
          <w:b/>
          <w:bCs/>
          <w:color w:val="auto"/>
          <w:sz w:val="24"/>
          <w:szCs w:val="24"/>
          <w:lang w:eastAsia="zh-CN"/>
        </w:rPr>
      </w:pPr>
      <w:r>
        <w:rPr>
          <w:rFonts w:hint="eastAsia" w:ascii="仿宋_GB2312" w:hAnsi="仿宋_GB2312" w:eastAsia="仿宋_GB2312" w:cs="仿宋_GB2312"/>
          <w:color w:val="auto"/>
          <w:sz w:val="24"/>
          <w:szCs w:val="24"/>
          <w:lang w:eastAsia="zh-CN"/>
        </w:rPr>
        <w:t>3 、维护好地下一张网数据及西安市地下综合管网平台，为政府部门和权属单位提供地下一张网信息服务。</w:t>
      </w:r>
    </w:p>
    <w:p w14:paraId="3304CF23">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第四条 服务要求</w:t>
      </w:r>
    </w:p>
    <w:p w14:paraId="06ABF39E">
      <w:pPr>
        <w:spacing w:line="36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1、各类服务形成相关报告文档，提交采购人进行审核，并修改完善。</w:t>
      </w:r>
    </w:p>
    <w:p w14:paraId="291E22EF">
      <w:pPr>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lang w:val="en-US" w:eastAsia="zh-CN"/>
        </w:rPr>
        <w:t>2、配置测绘工程、地理信息系统、资源规划、计算机等多学科专业技术团队力量开展具体工作。</w:t>
      </w:r>
    </w:p>
    <w:p w14:paraId="63CE4073">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第五条 服务费用及支付方式</w:t>
      </w:r>
    </w:p>
    <w:p w14:paraId="0E219AD4">
      <w:pPr>
        <w:spacing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（一）合同含税总价款暂定为</w:t>
      </w:r>
      <w:r>
        <w:rPr>
          <w:rFonts w:hint="eastAsia" w:ascii="仿宋" w:hAnsi="仿宋" w:eastAsia="仿宋" w:cs="仿宋"/>
          <w:color w:val="auto"/>
          <w:sz w:val="24"/>
          <w:szCs w:val="24"/>
          <w:u w:val="single"/>
        </w:rPr>
        <w:t>¥            ，</w:t>
      </w:r>
      <w:r>
        <w:rPr>
          <w:rFonts w:hint="eastAsia" w:ascii="仿宋" w:hAnsi="仿宋" w:eastAsia="仿宋" w:cs="仿宋"/>
          <w:color w:val="auto"/>
          <w:sz w:val="24"/>
          <w:szCs w:val="24"/>
        </w:rPr>
        <w:t>大写：</w:t>
      </w:r>
      <w:r>
        <w:rPr>
          <w:rFonts w:hint="eastAsia" w:ascii="仿宋" w:hAnsi="仿宋" w:eastAsia="仿宋" w:cs="仿宋"/>
          <w:color w:val="auto"/>
          <w:sz w:val="24"/>
          <w:szCs w:val="24"/>
          <w:u w:val="single"/>
        </w:rPr>
        <w:t xml:space="preserve">                。</w:t>
      </w:r>
    </w:p>
    <w:p w14:paraId="24E55321">
      <w:pPr>
        <w:spacing w:before="14" w:line="360" w:lineRule="auto"/>
        <w:ind w:left="500"/>
        <w:rPr>
          <w:rFonts w:hint="eastAsia" w:ascii="仿宋" w:hAnsi="仿宋" w:eastAsia="仿宋" w:cs="仿宋"/>
          <w:color w:val="auto"/>
          <w:sz w:val="24"/>
          <w:szCs w:val="24"/>
        </w:rPr>
      </w:pPr>
      <w:r>
        <w:rPr>
          <w:rFonts w:hint="eastAsia" w:ascii="仿宋" w:hAnsi="仿宋" w:eastAsia="仿宋" w:cs="仿宋"/>
          <w:color w:val="auto"/>
          <w:sz w:val="24"/>
          <w:szCs w:val="24"/>
        </w:rPr>
        <w:t>（二）支付方式：</w:t>
      </w:r>
    </w:p>
    <w:p w14:paraId="7B396476">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1、付款条件说明：合同签订后10个工作日内支付合同总价款的50%</w:t>
      </w:r>
      <w:r>
        <w:rPr>
          <w:rFonts w:hint="eastAsia" w:ascii="仿宋" w:hAnsi="仿宋" w:eastAsia="仿宋" w:cs="仿宋"/>
          <w:color w:val="auto"/>
          <w:sz w:val="24"/>
          <w:szCs w:val="24"/>
          <w:lang w:eastAsia="zh-CN"/>
        </w:rPr>
        <w:t>；</w:t>
      </w:r>
    </w:p>
    <w:p w14:paraId="1021A822">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2、付款条件说明：项目成果交付验收合格后，10个工作日内支付合同总价款的50%</w:t>
      </w:r>
      <w:r>
        <w:rPr>
          <w:rFonts w:hint="eastAsia" w:ascii="仿宋" w:hAnsi="仿宋" w:eastAsia="仿宋" w:cs="仿宋"/>
          <w:color w:val="auto"/>
          <w:sz w:val="24"/>
          <w:szCs w:val="24"/>
          <w:lang w:eastAsia="zh-CN"/>
        </w:rPr>
        <w:t>。</w:t>
      </w:r>
    </w:p>
    <w:p w14:paraId="601D761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（三）支付形式：银行转账</w:t>
      </w:r>
    </w:p>
    <w:p w14:paraId="440948E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（四）乙方指定收款信息</w:t>
      </w:r>
    </w:p>
    <w:p w14:paraId="42D256A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名称：</w:t>
      </w:r>
    </w:p>
    <w:p w14:paraId="2D078D2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纳税人识别号：</w:t>
      </w:r>
    </w:p>
    <w:p w14:paraId="41CFF11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地址、电话：</w:t>
      </w:r>
    </w:p>
    <w:p w14:paraId="155545E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开户行：</w:t>
      </w:r>
    </w:p>
    <w:p w14:paraId="12E925E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账号：</w:t>
      </w:r>
    </w:p>
    <w:p w14:paraId="7731E71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（五）甲方每次付款前，乙方须提供符合甲方财务部门要求的等额增值税（专用/普通）发票。否则，甲方有权延迟支付服务费用，且甲方延迟支付行为不应视为违约。</w:t>
      </w:r>
    </w:p>
    <w:p w14:paraId="2538A8E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（六）如遇国家政策规定调整本合同中的相应服务费用标准，则届时双方协商按国家规定政策规定执行。</w:t>
      </w:r>
    </w:p>
    <w:p w14:paraId="7E3D45DB">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第六条 甲方权利与义务</w:t>
      </w:r>
    </w:p>
    <w:p w14:paraId="279608F1">
      <w:pPr>
        <w:spacing w:line="360" w:lineRule="auto"/>
        <w:ind w:firstLine="480" w:firstLineChars="200"/>
        <w:rPr>
          <w:rFonts w:hint="eastAsia" w:ascii="仿宋" w:hAnsi="仿宋" w:eastAsia="仿宋" w:cs="仿宋"/>
          <w:color w:val="auto"/>
          <w:spacing w:val="-20"/>
          <w:sz w:val="24"/>
          <w:szCs w:val="24"/>
        </w:rPr>
      </w:pPr>
      <w:r>
        <w:rPr>
          <w:rFonts w:hint="eastAsia" w:ascii="仿宋" w:hAnsi="仿宋" w:eastAsia="仿宋" w:cs="仿宋"/>
          <w:color w:val="auto"/>
          <w:sz w:val="24"/>
          <w:szCs w:val="24"/>
        </w:rPr>
        <w:t>（一）甲方对乙方提供的服务进行</w:t>
      </w:r>
      <w:r>
        <w:rPr>
          <w:rFonts w:hint="eastAsia" w:ascii="仿宋" w:hAnsi="仿宋" w:eastAsia="仿宋" w:cs="仿宋"/>
          <w:color w:val="auto"/>
          <w:spacing w:val="-20"/>
          <w:sz w:val="24"/>
          <w:szCs w:val="24"/>
        </w:rPr>
        <w:t>指导、监督、检查，</w:t>
      </w:r>
      <w:r>
        <w:rPr>
          <w:rFonts w:hint="eastAsia" w:ascii="仿宋" w:hAnsi="仿宋" w:eastAsia="仿宋" w:cs="仿宋"/>
          <w:color w:val="auto"/>
          <w:sz w:val="24"/>
          <w:szCs w:val="24"/>
        </w:rPr>
        <w:t>对服务效果进行考</w:t>
      </w:r>
      <w:r>
        <w:rPr>
          <w:rFonts w:hint="eastAsia" w:ascii="仿宋" w:hAnsi="仿宋" w:eastAsia="仿宋" w:cs="仿宋"/>
          <w:color w:val="auto"/>
          <w:spacing w:val="-20"/>
          <w:sz w:val="24"/>
          <w:szCs w:val="24"/>
        </w:rPr>
        <w:t>核。</w:t>
      </w:r>
    </w:p>
    <w:p w14:paraId="48527B7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（二）甲方对乙方不称职的服务人员提出调换。</w:t>
      </w:r>
    </w:p>
    <w:p w14:paraId="0317CD6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（三）甲方对乙方拟定下发的书面文件进行审核。</w:t>
      </w:r>
    </w:p>
    <w:p w14:paraId="18CF629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（四）甲方按合同约定按时向乙方支付应付款项。</w:t>
      </w:r>
    </w:p>
    <w:p w14:paraId="75897C68">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第七条 乙方权利与义务</w:t>
      </w:r>
    </w:p>
    <w:p w14:paraId="041F567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（一）乙方应按照合同要求开展相关工作，并接受甲方指导，在服务过程中切实维护甲方合法权益。</w:t>
      </w:r>
    </w:p>
    <w:p w14:paraId="2891983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（二）乙方接受甲方考评。</w:t>
      </w:r>
    </w:p>
    <w:p w14:paraId="760E8C9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（三）乙方每周提交工作周报，在甲方指导下修订并提报相关部门。</w:t>
      </w:r>
    </w:p>
    <w:p w14:paraId="170AD52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（四）乙方应妥善使用甲方配置的办公物资，合同到期后向甲方移交。</w:t>
      </w:r>
    </w:p>
    <w:p w14:paraId="6C0F59F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（五）乙方不得以任何形式将本项目转让、分包给其它单位或个人。</w:t>
      </w:r>
    </w:p>
    <w:p w14:paraId="6719DC15">
      <w:pPr>
        <w:adjustRightInd w:val="0"/>
        <w:snapToGrid w:val="0"/>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第八条 不可抗力</w:t>
      </w:r>
    </w:p>
    <w:p w14:paraId="1D8C0AF9">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本协议所指的“不可抗力事件”是指本协议签署日期后出现的，妨碍任何一方履行或部分履行本协议的所有事件，而且该事件是本协议各方不能合理地控制、无法预料，或即使可以预料也无法合理避免和克服的事件（包括但不限于政策变更、上级行政管理要求、地震、台风、洪水、火灾、战争、法律变更等）。</w:t>
      </w:r>
    </w:p>
    <w:p w14:paraId="272EF510">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除非本协议另有规定，如果在本协议签署后发生上述不可抗力事件，且本协议任何一方受其影响不能履行或不能充分、及时、适当地履行其在本协议项下的任何义务时，本协议下另一方的义务在不可抗力引起的延误期内应中止履行，并应自动延长，延长的时间与该中止时间相等，无法或不适宜延长的，双方应终止履行合同，遭受不可抗力事件的一方及其另一方无须因此承担违约责任。</w:t>
      </w:r>
    </w:p>
    <w:p w14:paraId="08BA9A48">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第九条 违约责任</w:t>
      </w:r>
    </w:p>
    <w:p w14:paraId="241603EA">
      <w:pPr>
        <w:adjustRightInd w:val="0"/>
        <w:snapToGrid w:val="0"/>
        <w:spacing w:line="360" w:lineRule="auto"/>
        <w:ind w:firstLine="480" w:firstLineChars="200"/>
        <w:rPr>
          <w:rFonts w:hint="eastAsia" w:ascii="仿宋" w:hAnsi="仿宋" w:eastAsia="仿宋" w:cs="仿宋"/>
          <w:b w:val="0"/>
          <w:bCs/>
          <w:color w:val="auto"/>
          <w:sz w:val="24"/>
          <w:szCs w:val="24"/>
        </w:rPr>
      </w:pPr>
      <w:bookmarkStart w:id="0" w:name="bookmark17"/>
      <w:r>
        <w:rPr>
          <w:rFonts w:hint="eastAsia" w:ascii="仿宋" w:hAnsi="仿宋" w:eastAsia="仿宋" w:cs="仿宋"/>
          <w:b w:val="0"/>
          <w:bCs/>
          <w:color w:val="auto"/>
          <w:sz w:val="24"/>
          <w:szCs w:val="24"/>
        </w:rPr>
        <w:t>（</w:t>
      </w:r>
      <w:bookmarkEnd w:id="0"/>
      <w:r>
        <w:rPr>
          <w:rFonts w:hint="eastAsia" w:ascii="仿宋" w:hAnsi="仿宋" w:eastAsia="仿宋" w:cs="仿宋"/>
          <w:b w:val="0"/>
          <w:bCs/>
          <w:color w:val="auto"/>
          <w:sz w:val="24"/>
          <w:szCs w:val="24"/>
        </w:rPr>
        <w:t>一）合同生效后，甲方要求终止或解除合同，乙方已开始设计工作的， 甲方应根据乙方已进行的实际工作量支付相应费用。无正当理由，乙方要求终止或解除合同，乙方应向甲方支付合同总价20%的违约金。若由此给甲方造成的损失（包括但不限于直接损失、间接损失、律师费、诉讼费、保全费等）, 乙方应及时、完整的赔偿。</w:t>
      </w:r>
    </w:p>
    <w:p w14:paraId="048195CF">
      <w:pPr>
        <w:adjustRightInd w:val="0"/>
        <w:snapToGrid w:val="0"/>
        <w:spacing w:line="360" w:lineRule="auto"/>
        <w:ind w:firstLine="480" w:firstLineChars="200"/>
        <w:rPr>
          <w:rFonts w:hint="eastAsia" w:ascii="仿宋" w:hAnsi="仿宋" w:eastAsia="仿宋" w:cs="仿宋"/>
          <w:b w:val="0"/>
          <w:bCs/>
          <w:color w:val="auto"/>
          <w:sz w:val="24"/>
          <w:szCs w:val="24"/>
        </w:rPr>
      </w:pPr>
      <w:bookmarkStart w:id="1" w:name="bookmark18"/>
      <w:r>
        <w:rPr>
          <w:rFonts w:hint="eastAsia" w:ascii="仿宋" w:hAnsi="仿宋" w:eastAsia="仿宋" w:cs="仿宋"/>
          <w:b w:val="0"/>
          <w:bCs/>
          <w:color w:val="auto"/>
          <w:sz w:val="24"/>
          <w:szCs w:val="24"/>
        </w:rPr>
        <w:t>（</w:t>
      </w:r>
      <w:bookmarkEnd w:id="1"/>
      <w:r>
        <w:rPr>
          <w:rFonts w:hint="eastAsia" w:ascii="仿宋" w:hAnsi="仿宋" w:eastAsia="仿宋" w:cs="仿宋"/>
          <w:b w:val="0"/>
          <w:bCs/>
          <w:color w:val="auto"/>
          <w:sz w:val="24"/>
          <w:szCs w:val="24"/>
        </w:rPr>
        <w:t>二）合同履行过程中，乙方违反本协议约定或者不适当履行本协议的, 甲方有权单方面解除本合同，乙方应当按照本合同价款总额的20%支付违约金给甲方，由此给甲方造成的损失（包括但不限于直接损失、间接损失、律师费、诉讼费、保全费等），乙方还应及时、完整的赔偿。若甲方选择继续履行的，合同继续履行，乙方应当按照前述约定继续承担违约责任。</w:t>
      </w:r>
    </w:p>
    <w:p w14:paraId="513B14C9">
      <w:pPr>
        <w:adjustRightInd w:val="0"/>
        <w:snapToGrid w:val="0"/>
        <w:spacing w:line="360" w:lineRule="auto"/>
        <w:ind w:firstLine="480" w:firstLineChars="200"/>
        <w:rPr>
          <w:rFonts w:hint="eastAsia" w:ascii="仿宋" w:hAnsi="仿宋" w:eastAsia="仿宋" w:cs="仿宋"/>
          <w:b w:val="0"/>
          <w:bCs/>
          <w:color w:val="auto"/>
          <w:sz w:val="24"/>
          <w:szCs w:val="24"/>
        </w:rPr>
      </w:pPr>
      <w:bookmarkStart w:id="2" w:name="bookmark19"/>
      <w:r>
        <w:rPr>
          <w:rFonts w:hint="eastAsia" w:ascii="仿宋" w:hAnsi="仿宋" w:eastAsia="仿宋" w:cs="仿宋"/>
          <w:b w:val="0"/>
          <w:bCs/>
          <w:color w:val="auto"/>
          <w:sz w:val="24"/>
          <w:szCs w:val="24"/>
        </w:rPr>
        <w:t>（</w:t>
      </w:r>
      <w:bookmarkEnd w:id="2"/>
      <w:r>
        <w:rPr>
          <w:rFonts w:hint="eastAsia" w:ascii="仿宋" w:hAnsi="仿宋" w:eastAsia="仿宋" w:cs="仿宋"/>
          <w:b w:val="0"/>
          <w:bCs/>
          <w:color w:val="auto"/>
          <w:sz w:val="24"/>
          <w:szCs w:val="24"/>
        </w:rPr>
        <w:t>三）设计质量：乙方对由于乙方原因导致的设计文件出现遗漏或错误负责修改或补充，直至甲方审核并通过书面确认，若因此给甲方造成损失的，乙方还应当及时、足额地赔偿甲方的全部损失（包括但不限于直接损失、可 预期利益、律师费、诉讼费等）。</w:t>
      </w:r>
    </w:p>
    <w:p w14:paraId="7B1B4F97">
      <w:pPr>
        <w:adjustRightInd w:val="0"/>
        <w:snapToGrid w:val="0"/>
        <w:spacing w:line="360" w:lineRule="auto"/>
        <w:ind w:firstLine="480" w:firstLineChars="200"/>
        <w:rPr>
          <w:rFonts w:hint="eastAsia" w:ascii="仿宋" w:hAnsi="仿宋" w:eastAsia="仿宋" w:cs="仿宋"/>
          <w:b w:val="0"/>
          <w:bCs/>
          <w:color w:val="auto"/>
          <w:sz w:val="24"/>
          <w:szCs w:val="24"/>
          <w:lang w:val="zh-TW" w:eastAsia="zh-TW"/>
        </w:rPr>
      </w:pPr>
      <w:bookmarkStart w:id="3" w:name="bookmark20"/>
      <w:r>
        <w:rPr>
          <w:rFonts w:hint="eastAsia" w:ascii="仿宋" w:hAnsi="仿宋" w:eastAsia="仿宋" w:cs="仿宋"/>
          <w:b w:val="0"/>
          <w:bCs/>
          <w:color w:val="auto"/>
          <w:sz w:val="24"/>
          <w:szCs w:val="24"/>
        </w:rPr>
        <w:t>（</w:t>
      </w:r>
      <w:bookmarkEnd w:id="3"/>
      <w:r>
        <w:rPr>
          <w:rFonts w:hint="eastAsia" w:ascii="仿宋" w:hAnsi="仿宋" w:eastAsia="仿宋" w:cs="仿宋"/>
          <w:b w:val="0"/>
          <w:bCs/>
          <w:color w:val="auto"/>
          <w:sz w:val="24"/>
          <w:szCs w:val="24"/>
        </w:rPr>
        <w:t>四）因乙方原因未在约定的服务期限内完成全部技术成果内容并通过甲方验收，每延期一日，甲方有权扣减本合同约定的合同总价款2%。作为违约金。延期超过15日，甲方有权单方解除协议，不再支付合同款项，乙方应当按照本合同价款总额的20%支付违约金给甲方。因此给甲方造成损失的，乙方还应当及时、足额地赔偿甲方的全部损失（包括但不限于直接损失、可预期 利益、律师费、诉讼费等）。</w:t>
      </w:r>
    </w:p>
    <w:p w14:paraId="29C99EFF">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第十条 争议的解决</w:t>
      </w:r>
    </w:p>
    <w:p w14:paraId="1E00DE85">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本合同履行过程中发生的一切争议，双方应通过友好协商方式解决，协商不成时，任何一方均可向合同签订地有管辖权的人民法院提起诉讼。</w:t>
      </w:r>
    </w:p>
    <w:p w14:paraId="10374863">
      <w:pPr>
        <w:widowControl/>
        <w:autoSpaceDE w:val="0"/>
        <w:autoSpaceDN w:val="0"/>
        <w:snapToGrid w:val="0"/>
        <w:spacing w:line="360" w:lineRule="auto"/>
        <w:ind w:right="893"/>
        <w:textAlignment w:val="bottom"/>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第十一条 合同生效及其它</w:t>
      </w:r>
    </w:p>
    <w:p w14:paraId="21EDA4C1">
      <w:pPr>
        <w:widowControl/>
        <w:autoSpaceDE w:val="0"/>
        <w:autoSpaceDN w:val="0"/>
        <w:snapToGrid w:val="0"/>
        <w:spacing w:line="360" w:lineRule="auto"/>
        <w:ind w:right="-110"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（一）合同未尽事宜、由甲、乙双方协商，作为合同补充，与原合同具有同等法律效力。</w:t>
      </w:r>
    </w:p>
    <w:p w14:paraId="487E0821">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（二）合同期限内，若因政策原因需调整相关合同条款事宜，双方另行签订变更协议。</w:t>
      </w:r>
    </w:p>
    <w:p w14:paraId="6993B350">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（三）本合同正本一式陆份，甲方、乙方双方分别执叁份。</w:t>
      </w:r>
    </w:p>
    <w:p w14:paraId="742C1316">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（四）合同经甲乙双方盖章、签字或直接盖章后生效。</w:t>
      </w:r>
    </w:p>
    <w:p w14:paraId="2B43656E">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（五）签订地点：</w:t>
      </w:r>
    </w:p>
    <w:p w14:paraId="20EDD92D">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（六）签订时间：</w:t>
      </w:r>
    </w:p>
    <w:p w14:paraId="38ACA074">
      <w:pPr>
        <w:autoSpaceDE w:val="0"/>
        <w:autoSpaceDN w:val="0"/>
        <w:adjustRightInd w:val="0"/>
        <w:spacing w:line="360" w:lineRule="auto"/>
        <w:ind w:firstLine="720" w:firstLineChars="300"/>
        <w:contextualSpacing/>
        <w:rPr>
          <w:rFonts w:hint="eastAsia" w:ascii="仿宋" w:hAnsi="仿宋" w:eastAsia="仿宋" w:cs="仿宋"/>
          <w:color w:val="auto"/>
          <w:sz w:val="24"/>
          <w:szCs w:val="24"/>
        </w:rPr>
      </w:pPr>
    </w:p>
    <w:p w14:paraId="14AD2983">
      <w:pPr>
        <w:autoSpaceDE w:val="0"/>
        <w:autoSpaceDN w:val="0"/>
        <w:adjustRightInd w:val="0"/>
        <w:spacing w:line="360" w:lineRule="auto"/>
        <w:ind w:firstLine="720" w:firstLineChars="300"/>
        <w:contextualSpacing/>
        <w:rPr>
          <w:rFonts w:hint="eastAsia" w:ascii="仿宋" w:hAnsi="仿宋" w:eastAsia="仿宋" w:cs="仿宋"/>
          <w:color w:val="auto"/>
          <w:sz w:val="24"/>
          <w:szCs w:val="24"/>
        </w:rPr>
      </w:pPr>
    </w:p>
    <w:p w14:paraId="38C2D722">
      <w:pPr>
        <w:autoSpaceDE w:val="0"/>
        <w:autoSpaceDN w:val="0"/>
        <w:adjustRightInd w:val="0"/>
        <w:spacing w:line="480" w:lineRule="auto"/>
        <w:ind w:firstLine="720" w:firstLineChars="3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甲方（盖章）                                乙方（盖章）</w:t>
      </w:r>
    </w:p>
    <w:p w14:paraId="2E30ACB6">
      <w:pPr>
        <w:autoSpaceDE w:val="0"/>
        <w:autoSpaceDN w:val="0"/>
        <w:adjustRightInd w:val="0"/>
        <w:spacing w:line="480" w:lineRule="auto"/>
        <w:ind w:firstLine="720" w:firstLineChars="3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代表人                                      代表人</w:t>
      </w:r>
    </w:p>
    <w:p w14:paraId="67084D82">
      <w:pPr>
        <w:spacing w:line="480" w:lineRule="auto"/>
        <w:ind w:firstLine="720" w:firstLineChars="300"/>
        <w:rPr>
          <w:rFonts w:hint="eastAsia" w:ascii="仿宋" w:hAnsi="仿宋" w:eastAsia="仿宋" w:cs="仿宋"/>
          <w:color w:val="auto"/>
          <w:sz w:val="24"/>
          <w:szCs w:val="24"/>
        </w:rPr>
      </w:pPr>
      <w:r>
        <w:rPr>
          <w:rFonts w:hint="eastAsia" w:ascii="仿宋" w:hAnsi="仿宋" w:eastAsia="仿宋" w:cs="仿宋"/>
          <w:color w:val="auto"/>
          <w:sz w:val="24"/>
          <w:szCs w:val="24"/>
        </w:rPr>
        <w:t>或授权代表人（签字）                        或授权代表人（签字）</w:t>
      </w:r>
    </w:p>
    <w:p w14:paraId="5AF6017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br w:type="page"/>
      </w:r>
      <w:r>
        <w:rPr>
          <w:rFonts w:hint="eastAsia" w:ascii="仿宋" w:hAnsi="仿宋" w:eastAsia="仿宋" w:cs="仿宋"/>
          <w:color w:val="auto"/>
          <w:sz w:val="24"/>
          <w:szCs w:val="24"/>
        </w:rPr>
        <w:t>合同附件：</w:t>
      </w:r>
    </w:p>
    <w:tbl>
      <w:tblPr>
        <w:tblStyle w:val="5"/>
        <w:tblpPr w:leftFromText="180" w:rightFromText="180" w:vertAnchor="text" w:horzAnchor="page" w:tblpX="1592" w:tblpY="543"/>
        <w:tblOverlap w:val="never"/>
        <w:tblW w:w="0" w:type="auto"/>
        <w:tblInd w:w="0" w:type="dxa"/>
        <w:tblLayout w:type="fixed"/>
        <w:tblCellMar>
          <w:top w:w="0" w:type="dxa"/>
          <w:left w:w="108" w:type="dxa"/>
          <w:bottom w:w="0" w:type="dxa"/>
          <w:right w:w="108" w:type="dxa"/>
        </w:tblCellMar>
      </w:tblPr>
      <w:tblGrid>
        <w:gridCol w:w="1712"/>
        <w:gridCol w:w="2505"/>
        <w:gridCol w:w="2751"/>
        <w:gridCol w:w="2318"/>
      </w:tblGrid>
      <w:tr w14:paraId="44B72749">
        <w:tblPrEx>
          <w:tblCellMar>
            <w:top w:w="0" w:type="dxa"/>
            <w:left w:w="108" w:type="dxa"/>
            <w:bottom w:w="0" w:type="dxa"/>
            <w:right w:w="108" w:type="dxa"/>
          </w:tblCellMar>
        </w:tblPrEx>
        <w:trPr>
          <w:trHeight w:val="900" w:hRule="atLeast"/>
        </w:trPr>
        <w:tc>
          <w:tcPr>
            <w:tcW w:w="9286" w:type="dxa"/>
            <w:gridSpan w:val="4"/>
            <w:tcBorders>
              <w:top w:val="nil"/>
              <w:left w:val="nil"/>
              <w:bottom w:val="nil"/>
              <w:right w:val="nil"/>
            </w:tcBorders>
            <w:noWrap w:val="0"/>
            <w:vAlign w:val="center"/>
          </w:tcPr>
          <w:p w14:paraId="15E0FEAA">
            <w:pPr>
              <w:widowControl/>
              <w:jc w:val="center"/>
              <w:rPr>
                <w:rFonts w:hint="eastAsia" w:ascii="仿宋" w:hAnsi="仿宋" w:eastAsia="仿宋" w:cs="仿宋"/>
                <w:b/>
                <w:bCs/>
                <w:color w:val="auto"/>
                <w:kern w:val="0"/>
                <w:sz w:val="24"/>
                <w:szCs w:val="24"/>
              </w:rPr>
            </w:pPr>
            <w:r>
              <w:rPr>
                <w:rFonts w:hint="eastAsia" w:ascii="仿宋" w:hAnsi="仿宋" w:eastAsia="仿宋" w:cs="仿宋"/>
                <w:color w:val="auto"/>
                <w:kern w:val="0"/>
                <w:sz w:val="24"/>
                <w:szCs w:val="24"/>
              </w:rPr>
              <w:t xml:space="preserve">       政府采购项目货物（服务）验收报告单</w:t>
            </w:r>
          </w:p>
        </w:tc>
      </w:tr>
      <w:tr w14:paraId="6D0324EE">
        <w:tblPrEx>
          <w:tblCellMar>
            <w:top w:w="0" w:type="dxa"/>
            <w:left w:w="108" w:type="dxa"/>
            <w:bottom w:w="0" w:type="dxa"/>
            <w:right w:w="108" w:type="dxa"/>
          </w:tblCellMar>
        </w:tblPrEx>
        <w:trPr>
          <w:trHeight w:val="540" w:hRule="atLeast"/>
        </w:trPr>
        <w:tc>
          <w:tcPr>
            <w:tcW w:w="1712" w:type="dxa"/>
            <w:tcBorders>
              <w:top w:val="single" w:color="auto" w:sz="8" w:space="0"/>
              <w:left w:val="single" w:color="auto" w:sz="8" w:space="0"/>
              <w:bottom w:val="single" w:color="auto" w:sz="4" w:space="0"/>
              <w:right w:val="single" w:color="auto" w:sz="4" w:space="0"/>
            </w:tcBorders>
            <w:noWrap w:val="0"/>
            <w:vAlign w:val="center"/>
          </w:tcPr>
          <w:p w14:paraId="04A61FBD">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采购单位</w:t>
            </w:r>
          </w:p>
        </w:tc>
        <w:tc>
          <w:tcPr>
            <w:tcW w:w="7574" w:type="dxa"/>
            <w:gridSpan w:val="3"/>
            <w:tcBorders>
              <w:top w:val="single" w:color="auto" w:sz="8" w:space="0"/>
              <w:left w:val="nil"/>
              <w:bottom w:val="single" w:color="auto" w:sz="4" w:space="0"/>
              <w:right w:val="single" w:color="000000" w:sz="8" w:space="0"/>
            </w:tcBorders>
            <w:noWrap w:val="0"/>
            <w:vAlign w:val="center"/>
          </w:tcPr>
          <w:p w14:paraId="2848E69D">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0237D198">
        <w:tblPrEx>
          <w:tblCellMar>
            <w:top w:w="0" w:type="dxa"/>
            <w:left w:w="108" w:type="dxa"/>
            <w:bottom w:w="0" w:type="dxa"/>
            <w:right w:w="108" w:type="dxa"/>
          </w:tblCellMar>
        </w:tblPrEx>
        <w:trPr>
          <w:trHeight w:val="540" w:hRule="atLeast"/>
        </w:trPr>
        <w:tc>
          <w:tcPr>
            <w:tcW w:w="1712" w:type="dxa"/>
            <w:tcBorders>
              <w:top w:val="nil"/>
              <w:left w:val="single" w:color="auto" w:sz="8" w:space="0"/>
              <w:bottom w:val="single" w:color="auto" w:sz="4" w:space="0"/>
              <w:right w:val="single" w:color="auto" w:sz="4" w:space="0"/>
            </w:tcBorders>
            <w:noWrap w:val="0"/>
            <w:vAlign w:val="center"/>
          </w:tcPr>
          <w:p w14:paraId="0BA30502">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采购项目</w:t>
            </w:r>
          </w:p>
        </w:tc>
        <w:tc>
          <w:tcPr>
            <w:tcW w:w="7574" w:type="dxa"/>
            <w:gridSpan w:val="3"/>
            <w:tcBorders>
              <w:top w:val="single" w:color="auto" w:sz="4" w:space="0"/>
              <w:left w:val="nil"/>
              <w:bottom w:val="single" w:color="auto" w:sz="4" w:space="0"/>
              <w:right w:val="single" w:color="000000" w:sz="8" w:space="0"/>
            </w:tcBorders>
            <w:noWrap w:val="0"/>
            <w:vAlign w:val="center"/>
          </w:tcPr>
          <w:p w14:paraId="7C0A2922">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28350854">
        <w:tblPrEx>
          <w:tblCellMar>
            <w:top w:w="0" w:type="dxa"/>
            <w:left w:w="108" w:type="dxa"/>
            <w:bottom w:w="0" w:type="dxa"/>
            <w:right w:w="108" w:type="dxa"/>
          </w:tblCellMar>
        </w:tblPrEx>
        <w:trPr>
          <w:trHeight w:val="540" w:hRule="atLeast"/>
        </w:trPr>
        <w:tc>
          <w:tcPr>
            <w:tcW w:w="1712" w:type="dxa"/>
            <w:vMerge w:val="restart"/>
            <w:tcBorders>
              <w:top w:val="nil"/>
              <w:left w:val="single" w:color="auto" w:sz="8" w:space="0"/>
              <w:bottom w:val="single" w:color="auto" w:sz="4" w:space="0"/>
              <w:right w:val="single" w:color="auto" w:sz="4" w:space="0"/>
            </w:tcBorders>
            <w:noWrap w:val="0"/>
            <w:vAlign w:val="center"/>
          </w:tcPr>
          <w:p w14:paraId="34CF36BC">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项目编号</w:t>
            </w:r>
          </w:p>
        </w:tc>
        <w:tc>
          <w:tcPr>
            <w:tcW w:w="2505" w:type="dxa"/>
            <w:vMerge w:val="restart"/>
            <w:tcBorders>
              <w:top w:val="nil"/>
              <w:left w:val="single" w:color="auto" w:sz="4" w:space="0"/>
              <w:bottom w:val="single" w:color="auto" w:sz="4" w:space="0"/>
              <w:right w:val="single" w:color="auto" w:sz="4" w:space="0"/>
            </w:tcBorders>
            <w:noWrap w:val="0"/>
            <w:vAlign w:val="center"/>
          </w:tcPr>
          <w:p w14:paraId="7078EB73">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751" w:type="dxa"/>
            <w:tcBorders>
              <w:top w:val="nil"/>
              <w:left w:val="nil"/>
              <w:bottom w:val="single" w:color="auto" w:sz="4" w:space="0"/>
              <w:right w:val="single" w:color="auto" w:sz="4" w:space="0"/>
            </w:tcBorders>
            <w:noWrap w:val="0"/>
            <w:vAlign w:val="center"/>
          </w:tcPr>
          <w:p w14:paraId="4DCBF244">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合同金额</w:t>
            </w:r>
          </w:p>
        </w:tc>
        <w:tc>
          <w:tcPr>
            <w:tcW w:w="2318" w:type="dxa"/>
            <w:tcBorders>
              <w:top w:val="nil"/>
              <w:left w:val="nil"/>
              <w:bottom w:val="single" w:color="auto" w:sz="4" w:space="0"/>
              <w:right w:val="single" w:color="auto" w:sz="8" w:space="0"/>
            </w:tcBorders>
            <w:noWrap w:val="0"/>
            <w:vAlign w:val="center"/>
          </w:tcPr>
          <w:p w14:paraId="06E53326">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w:t>
            </w:r>
          </w:p>
        </w:tc>
      </w:tr>
      <w:tr w14:paraId="554E65AF">
        <w:tblPrEx>
          <w:tblCellMar>
            <w:top w:w="0" w:type="dxa"/>
            <w:left w:w="108" w:type="dxa"/>
            <w:bottom w:w="0" w:type="dxa"/>
            <w:right w:w="108" w:type="dxa"/>
          </w:tblCellMar>
        </w:tblPrEx>
        <w:trPr>
          <w:trHeight w:val="540" w:hRule="atLeast"/>
        </w:trPr>
        <w:tc>
          <w:tcPr>
            <w:tcW w:w="1712" w:type="dxa"/>
            <w:vMerge w:val="continue"/>
            <w:tcBorders>
              <w:top w:val="nil"/>
              <w:left w:val="single" w:color="auto" w:sz="8" w:space="0"/>
              <w:bottom w:val="single" w:color="auto" w:sz="4" w:space="0"/>
              <w:right w:val="single" w:color="auto" w:sz="4" w:space="0"/>
            </w:tcBorders>
            <w:noWrap w:val="0"/>
            <w:vAlign w:val="center"/>
          </w:tcPr>
          <w:p w14:paraId="7173F322">
            <w:pPr>
              <w:widowControl/>
              <w:jc w:val="left"/>
              <w:rPr>
                <w:rFonts w:hint="eastAsia" w:ascii="仿宋" w:hAnsi="仿宋" w:eastAsia="仿宋" w:cs="仿宋"/>
                <w:color w:val="auto"/>
                <w:kern w:val="0"/>
                <w:sz w:val="24"/>
                <w:szCs w:val="24"/>
              </w:rPr>
            </w:pPr>
          </w:p>
        </w:tc>
        <w:tc>
          <w:tcPr>
            <w:tcW w:w="2505" w:type="dxa"/>
            <w:vMerge w:val="continue"/>
            <w:tcBorders>
              <w:top w:val="nil"/>
              <w:left w:val="single" w:color="auto" w:sz="4" w:space="0"/>
              <w:bottom w:val="single" w:color="auto" w:sz="4" w:space="0"/>
              <w:right w:val="single" w:color="auto" w:sz="4" w:space="0"/>
            </w:tcBorders>
            <w:noWrap w:val="0"/>
            <w:vAlign w:val="center"/>
          </w:tcPr>
          <w:p w14:paraId="5AF778DD">
            <w:pPr>
              <w:widowControl/>
              <w:jc w:val="left"/>
              <w:rPr>
                <w:rFonts w:hint="eastAsia" w:ascii="仿宋" w:hAnsi="仿宋" w:eastAsia="仿宋" w:cs="仿宋"/>
                <w:color w:val="auto"/>
                <w:kern w:val="0"/>
                <w:sz w:val="24"/>
                <w:szCs w:val="24"/>
              </w:rPr>
            </w:pPr>
          </w:p>
        </w:tc>
        <w:tc>
          <w:tcPr>
            <w:tcW w:w="2751" w:type="dxa"/>
            <w:tcBorders>
              <w:top w:val="nil"/>
              <w:left w:val="nil"/>
              <w:bottom w:val="single" w:color="auto" w:sz="4" w:space="0"/>
              <w:right w:val="single" w:color="auto" w:sz="4" w:space="0"/>
            </w:tcBorders>
            <w:noWrap w:val="0"/>
            <w:vAlign w:val="center"/>
          </w:tcPr>
          <w:p w14:paraId="791834A6">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验收时间/地点</w:t>
            </w:r>
          </w:p>
        </w:tc>
        <w:tc>
          <w:tcPr>
            <w:tcW w:w="2318" w:type="dxa"/>
            <w:tcBorders>
              <w:top w:val="nil"/>
              <w:left w:val="nil"/>
              <w:bottom w:val="single" w:color="auto" w:sz="4" w:space="0"/>
              <w:right w:val="single" w:color="auto" w:sz="8" w:space="0"/>
            </w:tcBorders>
            <w:noWrap w:val="0"/>
            <w:vAlign w:val="center"/>
          </w:tcPr>
          <w:p w14:paraId="15F8C490">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4967228D">
        <w:tblPrEx>
          <w:tblCellMar>
            <w:top w:w="0" w:type="dxa"/>
            <w:left w:w="108" w:type="dxa"/>
            <w:bottom w:w="0" w:type="dxa"/>
            <w:right w:w="108" w:type="dxa"/>
          </w:tblCellMar>
        </w:tblPrEx>
        <w:trPr>
          <w:trHeight w:val="471" w:hRule="atLeast"/>
        </w:trPr>
        <w:tc>
          <w:tcPr>
            <w:tcW w:w="1712" w:type="dxa"/>
            <w:tcBorders>
              <w:top w:val="nil"/>
              <w:left w:val="single" w:color="auto" w:sz="8" w:space="0"/>
              <w:bottom w:val="single" w:color="auto" w:sz="4" w:space="0"/>
              <w:right w:val="single" w:color="auto" w:sz="4" w:space="0"/>
            </w:tcBorders>
            <w:noWrap w:val="0"/>
            <w:vAlign w:val="center"/>
          </w:tcPr>
          <w:p w14:paraId="23F47AA1">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服务单位</w:t>
            </w:r>
          </w:p>
        </w:tc>
        <w:tc>
          <w:tcPr>
            <w:tcW w:w="7574" w:type="dxa"/>
            <w:gridSpan w:val="3"/>
            <w:tcBorders>
              <w:top w:val="single" w:color="auto" w:sz="4" w:space="0"/>
              <w:left w:val="nil"/>
              <w:bottom w:val="single" w:color="auto" w:sz="4" w:space="0"/>
              <w:right w:val="single" w:color="000000" w:sz="8" w:space="0"/>
            </w:tcBorders>
            <w:noWrap w:val="0"/>
            <w:vAlign w:val="center"/>
          </w:tcPr>
          <w:p w14:paraId="64AABA6E">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37E7E553">
        <w:tblPrEx>
          <w:tblCellMar>
            <w:top w:w="0" w:type="dxa"/>
            <w:left w:w="108" w:type="dxa"/>
            <w:bottom w:w="0" w:type="dxa"/>
            <w:right w:w="108" w:type="dxa"/>
          </w:tblCellMar>
        </w:tblPrEx>
        <w:trPr>
          <w:trHeight w:val="540" w:hRule="atLeast"/>
        </w:trPr>
        <w:tc>
          <w:tcPr>
            <w:tcW w:w="1712" w:type="dxa"/>
            <w:tcBorders>
              <w:top w:val="nil"/>
              <w:left w:val="single" w:color="auto" w:sz="8" w:space="0"/>
              <w:bottom w:val="single" w:color="auto" w:sz="4" w:space="0"/>
              <w:right w:val="single" w:color="auto" w:sz="4" w:space="0"/>
            </w:tcBorders>
            <w:noWrap w:val="0"/>
            <w:vAlign w:val="center"/>
          </w:tcPr>
          <w:p w14:paraId="66F9D790">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开户行</w:t>
            </w:r>
          </w:p>
        </w:tc>
        <w:tc>
          <w:tcPr>
            <w:tcW w:w="2505" w:type="dxa"/>
            <w:tcBorders>
              <w:top w:val="nil"/>
              <w:left w:val="nil"/>
              <w:bottom w:val="single" w:color="auto" w:sz="4" w:space="0"/>
              <w:right w:val="single" w:color="auto" w:sz="4" w:space="0"/>
            </w:tcBorders>
            <w:noWrap w:val="0"/>
            <w:vAlign w:val="center"/>
          </w:tcPr>
          <w:p w14:paraId="0B5E36C9">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751" w:type="dxa"/>
            <w:tcBorders>
              <w:top w:val="nil"/>
              <w:left w:val="nil"/>
              <w:bottom w:val="single" w:color="auto" w:sz="4" w:space="0"/>
              <w:right w:val="single" w:color="auto" w:sz="4" w:space="0"/>
            </w:tcBorders>
            <w:noWrap w:val="0"/>
            <w:vAlign w:val="center"/>
          </w:tcPr>
          <w:p w14:paraId="6116102B">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账号</w:t>
            </w:r>
          </w:p>
        </w:tc>
        <w:tc>
          <w:tcPr>
            <w:tcW w:w="2318" w:type="dxa"/>
            <w:tcBorders>
              <w:top w:val="nil"/>
              <w:left w:val="nil"/>
              <w:bottom w:val="single" w:color="auto" w:sz="4" w:space="0"/>
              <w:right w:val="single" w:color="auto" w:sz="8" w:space="0"/>
            </w:tcBorders>
            <w:noWrap w:val="0"/>
            <w:vAlign w:val="center"/>
          </w:tcPr>
          <w:p w14:paraId="012781FF">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66303505">
        <w:tblPrEx>
          <w:tblCellMar>
            <w:top w:w="0" w:type="dxa"/>
            <w:left w:w="108" w:type="dxa"/>
            <w:bottom w:w="0" w:type="dxa"/>
            <w:right w:w="108" w:type="dxa"/>
          </w:tblCellMar>
        </w:tblPrEx>
        <w:trPr>
          <w:trHeight w:val="540" w:hRule="atLeast"/>
        </w:trPr>
        <w:tc>
          <w:tcPr>
            <w:tcW w:w="1712" w:type="dxa"/>
            <w:tcBorders>
              <w:top w:val="nil"/>
              <w:left w:val="single" w:color="auto" w:sz="8" w:space="0"/>
              <w:bottom w:val="nil"/>
              <w:right w:val="single" w:color="auto" w:sz="4" w:space="0"/>
            </w:tcBorders>
            <w:noWrap w:val="0"/>
            <w:vAlign w:val="center"/>
          </w:tcPr>
          <w:p w14:paraId="45FFCB08">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联系人</w:t>
            </w:r>
          </w:p>
        </w:tc>
        <w:tc>
          <w:tcPr>
            <w:tcW w:w="2505" w:type="dxa"/>
            <w:tcBorders>
              <w:top w:val="nil"/>
              <w:left w:val="nil"/>
              <w:bottom w:val="nil"/>
              <w:right w:val="single" w:color="auto" w:sz="4" w:space="0"/>
            </w:tcBorders>
            <w:noWrap w:val="0"/>
            <w:vAlign w:val="center"/>
          </w:tcPr>
          <w:p w14:paraId="621D5BF6">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751" w:type="dxa"/>
            <w:tcBorders>
              <w:top w:val="nil"/>
              <w:left w:val="nil"/>
              <w:bottom w:val="nil"/>
              <w:right w:val="single" w:color="auto" w:sz="4" w:space="0"/>
            </w:tcBorders>
            <w:noWrap w:val="0"/>
            <w:vAlign w:val="center"/>
          </w:tcPr>
          <w:p w14:paraId="76884CDE">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电话</w:t>
            </w:r>
          </w:p>
        </w:tc>
        <w:tc>
          <w:tcPr>
            <w:tcW w:w="2318" w:type="dxa"/>
            <w:tcBorders>
              <w:top w:val="nil"/>
              <w:left w:val="nil"/>
              <w:bottom w:val="nil"/>
              <w:right w:val="single" w:color="auto" w:sz="8" w:space="0"/>
            </w:tcBorders>
            <w:noWrap w:val="0"/>
            <w:vAlign w:val="center"/>
          </w:tcPr>
          <w:p w14:paraId="40FB9903">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7EBBF176">
        <w:tblPrEx>
          <w:tblCellMar>
            <w:top w:w="0" w:type="dxa"/>
            <w:left w:w="108" w:type="dxa"/>
            <w:bottom w:w="0" w:type="dxa"/>
            <w:right w:w="108" w:type="dxa"/>
          </w:tblCellMar>
        </w:tblPrEx>
        <w:trPr>
          <w:trHeight w:val="880" w:hRule="atLeast"/>
        </w:trPr>
        <w:tc>
          <w:tcPr>
            <w:tcW w:w="4217" w:type="dxa"/>
            <w:gridSpan w:val="2"/>
            <w:tcBorders>
              <w:top w:val="single" w:color="auto" w:sz="4" w:space="0"/>
              <w:left w:val="single" w:color="auto" w:sz="8" w:space="0"/>
              <w:bottom w:val="nil"/>
              <w:right w:val="nil"/>
            </w:tcBorders>
            <w:noWrap w:val="0"/>
            <w:vAlign w:val="top"/>
          </w:tcPr>
          <w:p w14:paraId="42D636AF">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供货（服务）单位：（盖章）</w:t>
            </w:r>
          </w:p>
        </w:tc>
        <w:tc>
          <w:tcPr>
            <w:tcW w:w="5069" w:type="dxa"/>
            <w:gridSpan w:val="2"/>
            <w:tcBorders>
              <w:top w:val="single" w:color="auto" w:sz="4" w:space="0"/>
              <w:left w:val="single" w:color="auto" w:sz="4" w:space="0"/>
              <w:bottom w:val="nil"/>
              <w:right w:val="single" w:color="000000" w:sz="8" w:space="0"/>
            </w:tcBorders>
            <w:noWrap w:val="0"/>
            <w:vAlign w:val="top"/>
          </w:tcPr>
          <w:p w14:paraId="2E4C439B">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使用单位验收意见：（盖章）</w:t>
            </w:r>
          </w:p>
          <w:p w14:paraId="4BDAE8DF">
            <w:pPr>
              <w:rPr>
                <w:rFonts w:hint="eastAsia" w:ascii="仿宋" w:hAnsi="仿宋" w:eastAsia="仿宋" w:cs="仿宋"/>
                <w:color w:val="auto"/>
                <w:sz w:val="24"/>
                <w:szCs w:val="24"/>
              </w:rPr>
            </w:pPr>
          </w:p>
        </w:tc>
      </w:tr>
      <w:tr w14:paraId="1F4E9AC0">
        <w:tblPrEx>
          <w:tblCellMar>
            <w:top w:w="0" w:type="dxa"/>
            <w:left w:w="108" w:type="dxa"/>
            <w:bottom w:w="0" w:type="dxa"/>
            <w:right w:w="108" w:type="dxa"/>
          </w:tblCellMar>
        </w:tblPrEx>
        <w:trPr>
          <w:trHeight w:val="480" w:hRule="atLeast"/>
        </w:trPr>
        <w:tc>
          <w:tcPr>
            <w:tcW w:w="1712" w:type="dxa"/>
            <w:tcBorders>
              <w:top w:val="nil"/>
              <w:left w:val="single" w:color="auto" w:sz="8" w:space="0"/>
              <w:bottom w:val="nil"/>
              <w:right w:val="nil"/>
            </w:tcBorders>
            <w:noWrap w:val="0"/>
            <w:vAlign w:val="center"/>
          </w:tcPr>
          <w:p w14:paraId="4E1FF05F">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签字：</w:t>
            </w:r>
          </w:p>
        </w:tc>
        <w:tc>
          <w:tcPr>
            <w:tcW w:w="2505" w:type="dxa"/>
            <w:tcBorders>
              <w:top w:val="nil"/>
              <w:left w:val="nil"/>
              <w:bottom w:val="nil"/>
              <w:right w:val="nil"/>
            </w:tcBorders>
            <w:noWrap w:val="0"/>
            <w:vAlign w:val="center"/>
          </w:tcPr>
          <w:p w14:paraId="07A9A983">
            <w:pPr>
              <w:widowControl/>
              <w:jc w:val="center"/>
              <w:rPr>
                <w:rFonts w:hint="eastAsia" w:ascii="仿宋" w:hAnsi="仿宋" w:eastAsia="仿宋" w:cs="仿宋"/>
                <w:color w:val="auto"/>
                <w:kern w:val="0"/>
                <w:sz w:val="24"/>
                <w:szCs w:val="24"/>
              </w:rPr>
            </w:pPr>
          </w:p>
        </w:tc>
        <w:tc>
          <w:tcPr>
            <w:tcW w:w="2751" w:type="dxa"/>
            <w:tcBorders>
              <w:top w:val="nil"/>
              <w:left w:val="single" w:color="auto" w:sz="4" w:space="0"/>
              <w:bottom w:val="nil"/>
              <w:right w:val="nil"/>
            </w:tcBorders>
            <w:noWrap w:val="0"/>
            <w:vAlign w:val="center"/>
          </w:tcPr>
          <w:p w14:paraId="101DDDD3">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签字：</w:t>
            </w:r>
          </w:p>
        </w:tc>
        <w:tc>
          <w:tcPr>
            <w:tcW w:w="2318" w:type="dxa"/>
            <w:tcBorders>
              <w:top w:val="nil"/>
              <w:left w:val="nil"/>
              <w:bottom w:val="nil"/>
              <w:right w:val="single" w:color="auto" w:sz="8" w:space="0"/>
            </w:tcBorders>
            <w:noWrap w:val="0"/>
            <w:vAlign w:val="top"/>
          </w:tcPr>
          <w:p w14:paraId="0C2A5EFB">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208BC6C7">
        <w:tblPrEx>
          <w:tblCellMar>
            <w:top w:w="0" w:type="dxa"/>
            <w:left w:w="108" w:type="dxa"/>
            <w:bottom w:w="0" w:type="dxa"/>
            <w:right w:w="108" w:type="dxa"/>
          </w:tblCellMar>
        </w:tblPrEx>
        <w:trPr>
          <w:trHeight w:val="78" w:hRule="atLeast"/>
        </w:trPr>
        <w:tc>
          <w:tcPr>
            <w:tcW w:w="1712" w:type="dxa"/>
            <w:tcBorders>
              <w:top w:val="nil"/>
              <w:left w:val="single" w:color="auto" w:sz="8" w:space="0"/>
              <w:bottom w:val="single" w:color="auto" w:sz="4" w:space="0"/>
              <w:right w:val="nil"/>
            </w:tcBorders>
            <w:noWrap w:val="0"/>
            <w:vAlign w:val="center"/>
          </w:tcPr>
          <w:p w14:paraId="75D8F705">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505" w:type="dxa"/>
            <w:tcBorders>
              <w:top w:val="nil"/>
              <w:left w:val="nil"/>
              <w:bottom w:val="single" w:color="auto" w:sz="4" w:space="0"/>
              <w:right w:val="nil"/>
            </w:tcBorders>
            <w:noWrap w:val="0"/>
            <w:vAlign w:val="bottom"/>
          </w:tcPr>
          <w:p w14:paraId="0834287F">
            <w:pPr>
              <w:widowControl/>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年     月   日</w:t>
            </w:r>
          </w:p>
        </w:tc>
        <w:tc>
          <w:tcPr>
            <w:tcW w:w="2751" w:type="dxa"/>
            <w:tcBorders>
              <w:top w:val="nil"/>
              <w:left w:val="single" w:color="auto" w:sz="4" w:space="0"/>
              <w:bottom w:val="single" w:color="auto" w:sz="4" w:space="0"/>
              <w:right w:val="nil"/>
            </w:tcBorders>
            <w:noWrap w:val="0"/>
            <w:vAlign w:val="center"/>
          </w:tcPr>
          <w:p w14:paraId="06E103BF">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318" w:type="dxa"/>
            <w:tcBorders>
              <w:top w:val="nil"/>
              <w:left w:val="nil"/>
              <w:bottom w:val="single" w:color="auto" w:sz="4" w:space="0"/>
              <w:right w:val="single" w:color="auto" w:sz="8" w:space="0"/>
            </w:tcBorders>
            <w:noWrap w:val="0"/>
            <w:vAlign w:val="bottom"/>
          </w:tcPr>
          <w:p w14:paraId="1F132B68">
            <w:pPr>
              <w:widowControl/>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年   月   日</w:t>
            </w:r>
          </w:p>
        </w:tc>
      </w:tr>
      <w:tr w14:paraId="648EA74E">
        <w:tblPrEx>
          <w:tblCellMar>
            <w:top w:w="0" w:type="dxa"/>
            <w:left w:w="108" w:type="dxa"/>
            <w:bottom w:w="0" w:type="dxa"/>
            <w:right w:w="108" w:type="dxa"/>
          </w:tblCellMar>
        </w:tblPrEx>
        <w:trPr>
          <w:trHeight w:val="603" w:hRule="atLeast"/>
        </w:trPr>
        <w:tc>
          <w:tcPr>
            <w:tcW w:w="9286" w:type="dxa"/>
            <w:gridSpan w:val="4"/>
            <w:tcBorders>
              <w:top w:val="single" w:color="auto" w:sz="4" w:space="0"/>
              <w:left w:val="single" w:color="auto" w:sz="8" w:space="0"/>
              <w:bottom w:val="single" w:color="auto" w:sz="4" w:space="0"/>
              <w:right w:val="single" w:color="000000" w:sz="8" w:space="0"/>
            </w:tcBorders>
            <w:noWrap w:val="0"/>
            <w:vAlign w:val="center"/>
          </w:tcPr>
          <w:p w14:paraId="6355A81F">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采购内容</w:t>
            </w:r>
          </w:p>
        </w:tc>
      </w:tr>
      <w:tr w14:paraId="4C396694">
        <w:tblPrEx>
          <w:tblCellMar>
            <w:top w:w="0" w:type="dxa"/>
            <w:left w:w="108" w:type="dxa"/>
            <w:bottom w:w="0" w:type="dxa"/>
            <w:right w:w="108" w:type="dxa"/>
          </w:tblCellMar>
        </w:tblPrEx>
        <w:trPr>
          <w:trHeight w:val="1975" w:hRule="atLeast"/>
        </w:trPr>
        <w:tc>
          <w:tcPr>
            <w:tcW w:w="9286" w:type="dxa"/>
            <w:gridSpan w:val="4"/>
            <w:tcBorders>
              <w:top w:val="single" w:color="auto" w:sz="4" w:space="0"/>
              <w:left w:val="single" w:color="auto" w:sz="8" w:space="0"/>
              <w:bottom w:val="single" w:color="auto" w:sz="8" w:space="0"/>
              <w:right w:val="single" w:color="000000" w:sz="8" w:space="0"/>
            </w:tcBorders>
            <w:noWrap w:val="0"/>
            <w:vAlign w:val="top"/>
          </w:tcPr>
          <w:p w14:paraId="44D116A4">
            <w:pPr>
              <w:widowControl/>
              <w:rPr>
                <w:rFonts w:hint="eastAsia" w:ascii="仿宋" w:hAnsi="仿宋" w:eastAsia="仿宋" w:cs="仿宋"/>
                <w:color w:val="auto"/>
                <w:kern w:val="0"/>
                <w:sz w:val="24"/>
                <w:szCs w:val="24"/>
              </w:rPr>
            </w:pPr>
          </w:p>
        </w:tc>
      </w:tr>
    </w:tbl>
    <w:p w14:paraId="1B92F1F3">
      <w:pPr>
        <w:pStyle w:val="9"/>
        <w:rPr>
          <w:rFonts w:hint="eastAsia" w:ascii="仿宋" w:hAnsi="仿宋" w:eastAsia="仿宋" w:cs="仿宋"/>
          <w:color w:val="auto"/>
          <w:sz w:val="24"/>
          <w:szCs w:val="24"/>
          <w:lang w:val="en-US" w:eastAsia="zh-Hans"/>
        </w:rPr>
      </w:pPr>
    </w:p>
    <w:p w14:paraId="03E5D6FC">
      <w:pPr>
        <w:pStyle w:val="3"/>
        <w:rPr>
          <w:rFonts w:hint="eastAsia" w:ascii="仿宋" w:hAnsi="仿宋" w:eastAsia="仿宋" w:cs="仿宋"/>
          <w:b w:val="0"/>
          <w:bCs w:val="0"/>
          <w:snapToGrid w:val="0"/>
          <w:color w:val="auto"/>
          <w:spacing w:val="2"/>
          <w:kern w:val="0"/>
          <w:sz w:val="24"/>
          <w:szCs w:val="24"/>
          <w:lang w:val="en-US" w:eastAsia="zh-CN" w:bidi="ar-SA"/>
        </w:rPr>
      </w:pPr>
    </w:p>
    <w:p w14:paraId="035692F8">
      <w:pPr>
        <w:pStyle w:val="3"/>
        <w:rPr>
          <w:rFonts w:hint="eastAsia" w:ascii="仿宋" w:hAnsi="仿宋" w:eastAsia="仿宋" w:cs="仿宋"/>
          <w:b w:val="0"/>
          <w:bCs w:val="0"/>
          <w:snapToGrid w:val="0"/>
          <w:color w:val="auto"/>
          <w:spacing w:val="2"/>
          <w:kern w:val="0"/>
          <w:sz w:val="24"/>
          <w:szCs w:val="24"/>
          <w:lang w:val="en-US" w:eastAsia="zh-CN" w:bidi="ar-SA"/>
        </w:rPr>
      </w:pPr>
    </w:p>
    <w:p w14:paraId="4F36AFE9"/>
    <w:p w14:paraId="1E3FCF97">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042FD4"/>
    <w:rsid w:val="61042FD4"/>
    <w:rsid w:val="72C85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6">
    <w:name w:val="Default Paragraph Font"/>
    <w:semiHidden/>
    <w:uiPriority w:val="0"/>
  </w:style>
  <w:style w:type="table" w:default="1" w:styleId="5">
    <w:name w:val="Normal Table"/>
    <w:autoRedefin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qFormat/>
    <w:uiPriority w:val="99"/>
    <w:pPr>
      <w:tabs>
        <w:tab w:val="center" w:pos="4153"/>
        <w:tab w:val="right" w:pos="8306"/>
      </w:tabs>
      <w:snapToGrid w:val="0"/>
      <w:jc w:val="left"/>
    </w:pPr>
    <w:rPr>
      <w:rFonts w:ascii="Times New Roman" w:hAnsi="Times New Roman"/>
      <w:sz w:val="18"/>
      <w:szCs w:val="18"/>
    </w:rPr>
  </w:style>
  <w:style w:type="paragraph" w:styleId="4">
    <w:name w:val="Normal (Web)"/>
    <w:basedOn w:val="1"/>
    <w:next w:val="3"/>
    <w:unhideWhenUsed/>
    <w:qFormat/>
    <w:uiPriority w:val="0"/>
    <w:pPr>
      <w:spacing w:beforeAutospacing="1" w:afterAutospacing="1"/>
      <w:jc w:val="left"/>
    </w:pPr>
    <w:rPr>
      <w:kern w:val="0"/>
      <w:sz w:val="24"/>
    </w:rPr>
  </w:style>
  <w:style w:type="paragraph" w:customStyle="1" w:styleId="7">
    <w:name w:val="样式1"/>
    <w:basedOn w:val="1"/>
    <w:uiPriority w:val="0"/>
    <w:pPr>
      <w:spacing w:before="62" w:line="220" w:lineRule="auto"/>
      <w:ind w:left="3609"/>
      <w:outlineLvl w:val="2"/>
    </w:pPr>
    <w:rPr>
      <w:rFonts w:ascii="宋体" w:hAnsi="宋体" w:eastAsia="宋体" w:cs="宋体"/>
      <w:snapToGrid w:val="0"/>
      <w:color w:val="000000"/>
      <w:spacing w:val="6"/>
      <w:kern w:val="0"/>
      <w:sz w:val="24"/>
      <w:szCs w:val="31"/>
      <w:lang w:eastAsia="en-US"/>
    </w:rPr>
  </w:style>
  <w:style w:type="paragraph" w:customStyle="1" w:styleId="8">
    <w:name w:val="Heading #3|1"/>
    <w:basedOn w:val="1"/>
    <w:qFormat/>
    <w:uiPriority w:val="0"/>
    <w:pPr>
      <w:spacing w:after="320"/>
      <w:ind w:firstLine="260"/>
      <w:outlineLvl w:val="2"/>
    </w:pPr>
    <w:rPr>
      <w:rFonts w:ascii="宋体" w:hAnsi="宋体" w:eastAsia="宋体" w:cs="宋体"/>
      <w:sz w:val="32"/>
      <w:szCs w:val="32"/>
      <w:lang w:val="zh-TW" w:eastAsia="zh-TW" w:bidi="zh-TW"/>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2026-08-18T02:26:00Z</dcterms:created>
  <dc:creator>望仔</dc:creator>
  <cp:lastModifiedBy>望仔</cp:lastModifiedBy>
  <dcterms:modified xsi:type="dcterms:W3CDTF">2026-08-18T02:27:09Z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E1C60D5B086B4B83A9DA6734B861B19F_11</vt:lpwstr>
  </property>
  <property fmtid="{D5CDD505-2E9C-101B-9397-08002B2CF9AE}" pid="4" name="KSOTemplateDocerSaveRecord">
    <vt:lpwstr>eyJoZGlkIjoiMDQ0NDI3NTg4NGQ3ZGE4NDM0OWQ3YzkzMjdmM2UxMTQiLCJ1c2VySWQiOiI1NTUyODEwNDQifQ==</vt:lpwstr>
  </property>
</Properties>
</file>