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版本号：ZC2026-FW-171.1B120260810001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2026年留坝县体育系列赛事活动服务(二次)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ZC2026-FW-171.1B1</w:t>
      </w:r>
      <w:r>
        <w:br/>
      </w:r>
      <w:r>
        <w:br/>
      </w:r>
      <w:r>
        <w:br/>
      </w:r>
    </w:p>
    <w:p>
      <w:pPr>
        <w:pStyle w:val="null3"/>
        <w:jc w:val="center"/>
        <w:outlineLvl w:val="2"/>
      </w:pPr>
      <w:r>
        <w:rPr>
          <w:rFonts w:ascii="仿宋_GB2312" w:hAnsi="仿宋_GB2312" w:cs="仿宋_GB2312" w:eastAsia="仿宋_GB2312"/>
          <w:sz w:val="28"/>
          <w:b/>
        </w:rPr>
        <w:t>留坝县教育体育局</w:t>
      </w:r>
    </w:p>
    <w:p>
      <w:pPr>
        <w:pStyle w:val="null3"/>
        <w:jc w:val="center"/>
        <w:outlineLvl w:val="2"/>
      </w:pPr>
      <w:r>
        <w:rPr>
          <w:rFonts w:ascii="仿宋_GB2312" w:hAnsi="仿宋_GB2312" w:cs="仿宋_GB2312" w:eastAsia="仿宋_GB2312"/>
          <w:sz w:val="28"/>
          <w:b/>
        </w:rPr>
        <w:t>陕西中采项目管理有限公司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陕西中采项目管理有限公司</w:t>
      </w:r>
      <w:r>
        <w:rPr>
          <w:rFonts w:ascii="仿宋_GB2312" w:hAnsi="仿宋_GB2312" w:cs="仿宋_GB2312" w:eastAsia="仿宋_GB2312"/>
        </w:rPr>
        <w:t>（以下简称“代理机构”）受</w:t>
      </w:r>
      <w:r>
        <w:rPr>
          <w:rFonts w:ascii="仿宋_GB2312" w:hAnsi="仿宋_GB2312" w:cs="仿宋_GB2312" w:eastAsia="仿宋_GB2312"/>
        </w:rPr>
        <w:t>留坝县教育体育局</w:t>
      </w:r>
      <w:r>
        <w:rPr>
          <w:rFonts w:ascii="仿宋_GB2312" w:hAnsi="仿宋_GB2312" w:cs="仿宋_GB2312" w:eastAsia="仿宋_GB2312"/>
        </w:rPr>
        <w:t>委托，拟对</w:t>
      </w:r>
      <w:r>
        <w:rPr>
          <w:rFonts w:ascii="仿宋_GB2312" w:hAnsi="仿宋_GB2312" w:cs="仿宋_GB2312" w:eastAsia="仿宋_GB2312"/>
        </w:rPr>
        <w:t>2026年留坝县体育系列赛事活动服务(二次)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ZC2026-FW-171.1B1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2026年留坝县体育系列赛事活动服务(二次)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补齐县域公共体育服务短板，激活公共体育场使用效能，构建常态化、普惠化群众体育赛事体系；丰富机关干部、城乡群众、师生群体文体生活，深耕县域本土“紫柏杯”足球特色体育IP；以体育赛事为引流载体，带动县域文旅融合发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采购包1（2026年留坝县体育系列赛事活动）：属于专门面向中小企业采购。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主体证明资料：供应商应为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p>
      <w:pPr>
        <w:pStyle w:val="null3"/>
      </w:pPr>
      <w:r>
        <w:rPr>
          <w:rFonts w:ascii="仿宋_GB2312" w:hAnsi="仿宋_GB2312" w:cs="仿宋_GB2312" w:eastAsia="仿宋_GB2312"/>
        </w:rPr>
        <w:t>2、信用证明：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供应商需在项目电子化交易系统中按要求上传相应证明文件并进行电子签章（注：以响应文件中提供的承诺书为准）；</w:t>
      </w:r>
    </w:p>
    <w:p>
      <w:pPr>
        <w:pStyle w:val="null3"/>
      </w:pPr>
      <w:r>
        <w:rPr>
          <w:rFonts w:ascii="仿宋_GB2312" w:hAnsi="仿宋_GB2312" w:cs="仿宋_GB2312" w:eastAsia="仿宋_GB2312"/>
        </w:rPr>
        <w:t>3、联合体磋商：本项目不接受联合体磋商（注：以响应文件中提供的非联合体磋商的声明为准）。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留坝县紫柏路331号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蔡军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0916-3922638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陕西省西安市雁塔区高新三路九号信息港大厦5层506号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符宇寒、毛鑫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029-88856058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和改革委员会办公厅颁发的《关于招标代理服务收费有关问题的通知》规定的服务类标准收取。由成交供应商在领取成交通知书之前一次性向采购代理机构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留坝县教育体育局</w:t>
      </w:r>
      <w:r>
        <w:rPr>
          <w:rFonts w:ascii="仿宋_GB2312" w:hAnsi="仿宋_GB2312" w:cs="仿宋_GB2312" w:eastAsia="仿宋_GB2312"/>
        </w:rPr>
        <w:t>和</w:t>
      </w:r>
      <w:r>
        <w:rPr>
          <w:rFonts w:ascii="仿宋_GB2312" w:hAnsi="仿宋_GB2312" w:cs="仿宋_GB2312" w:eastAsia="仿宋_GB2312"/>
        </w:rPr>
        <w:t>陕西中采项目管理有限公司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留坝县教育体育局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1.赛事期间产生的影像、图文、数据等知识产权归甲乙双方共同所有，甲方拥有无偿永久使用权。 2.乙方如需使用甲方名称、标识、景区资源进行商业宣传，须事先书面征得甲方同意。</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符合国家及行业质量验收合格标准，符合采购内容技术要求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联系人：符宇寒、毛鑫</w:t>
      </w:r>
    </w:p>
    <w:p>
      <w:pPr>
        <w:pStyle w:val="null3"/>
      </w:pPr>
      <w:r>
        <w:rPr>
          <w:rFonts w:ascii="仿宋_GB2312" w:hAnsi="仿宋_GB2312" w:cs="仿宋_GB2312" w:eastAsia="仿宋_GB2312"/>
        </w:rPr>
        <w:t>联系电话：029-88856058</w:t>
      </w:r>
    </w:p>
    <w:p>
      <w:pPr>
        <w:pStyle w:val="null3"/>
      </w:pPr>
      <w:r>
        <w:rPr>
          <w:rFonts w:ascii="仿宋_GB2312" w:hAnsi="仿宋_GB2312" w:cs="仿宋_GB2312" w:eastAsia="仿宋_GB2312"/>
        </w:rPr>
        <w:t>地址：陕西省西安市雁塔区高新三路九号信息港大厦5层506号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补齐县域公共体育服务短板，激活公共体育场使用效能，构建常态化、普惠化群众体育赛事体系；丰富机关干部、城乡群众、师生群体文体生活，深耕县域本土“紫柏杯”足球特色体育IP；以体育赛事为引流载体，带动县域文旅融合发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980,000.00</w:t>
      </w:r>
    </w:p>
    <w:p>
      <w:pPr>
        <w:pStyle w:val="null3"/>
      </w:pPr>
      <w:r>
        <w:rPr>
          <w:rFonts w:ascii="仿宋_GB2312" w:hAnsi="仿宋_GB2312" w:cs="仿宋_GB2312" w:eastAsia="仿宋_GB2312"/>
        </w:rPr>
        <w:t>采购包最高限价（元）: 980,000.00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体育系列赛事活动服务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标的名称：体育系列赛事活动服务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color w:val="0000FF"/>
              </w:rPr>
              <w:t>一、采购内容</w:t>
            </w:r>
          </w:p>
          <w:p>
            <w:pPr>
              <w:pStyle w:val="null3"/>
              <w:ind w:firstLine="402"/>
              <w:jc w:val="both"/>
            </w:pPr>
            <w:r>
              <w:rPr>
                <w:rFonts w:ascii="仿宋_GB2312" w:hAnsi="仿宋_GB2312" w:cs="仿宋_GB2312" w:eastAsia="仿宋_GB2312"/>
                <w:sz w:val="20"/>
                <w:b/>
                <w:color w:val="0000FF"/>
              </w:rPr>
              <w:t>（一）</w:t>
            </w:r>
            <w:r>
              <w:rPr>
                <w:rFonts w:ascii="仿宋_GB2312" w:hAnsi="仿宋_GB2312" w:cs="仿宋_GB2312" w:eastAsia="仿宋_GB2312"/>
                <w:sz w:val="20"/>
                <w:b/>
                <w:color w:val="0000FF"/>
              </w:rPr>
              <w:t>“紫柏杯”县域8人制足球赛</w:t>
            </w:r>
          </w:p>
          <w:p>
            <w:pPr>
              <w:pStyle w:val="null3"/>
              <w:ind w:firstLine="402"/>
              <w:jc w:val="both"/>
            </w:pPr>
            <w:r>
              <w:rPr>
                <w:rFonts w:ascii="仿宋_GB2312" w:hAnsi="仿宋_GB2312" w:cs="仿宋_GB2312" w:eastAsia="仿宋_GB2312"/>
                <w:sz w:val="20"/>
                <w:b/>
                <w:color w:val="0000FF"/>
              </w:rPr>
              <w:t>1. 活动核心内容</w:t>
            </w:r>
          </w:p>
          <w:p>
            <w:pPr>
              <w:pStyle w:val="null3"/>
              <w:ind w:firstLine="400"/>
              <w:jc w:val="both"/>
            </w:pPr>
            <w:r>
              <w:rPr>
                <w:rFonts w:ascii="仿宋_GB2312" w:hAnsi="仿宋_GB2312" w:cs="仿宋_GB2312" w:eastAsia="仿宋_GB2312"/>
                <w:sz w:val="20"/>
                <w:color w:val="0000FF"/>
              </w:rPr>
              <w:t>本次</w:t>
            </w:r>
            <w:r>
              <w:rPr>
                <w:rFonts w:ascii="仿宋_GB2312" w:hAnsi="仿宋_GB2312" w:cs="仿宋_GB2312" w:eastAsia="仿宋_GB2312"/>
                <w:sz w:val="20"/>
                <w:color w:val="0000FF"/>
              </w:rPr>
              <w:t>8人制足球赛为县域群众性核心体育赛事，赛事总场次不少于20场，集中在2026年</w:t>
            </w:r>
            <w:r>
              <w:rPr>
                <w:rFonts w:ascii="仿宋_GB2312" w:hAnsi="仿宋_GB2312" w:cs="仿宋_GB2312" w:eastAsia="仿宋_GB2312"/>
                <w:sz w:val="20"/>
                <w:color w:val="0000FF"/>
              </w:rPr>
              <w:t>8</w:t>
            </w:r>
            <w:r>
              <w:rPr>
                <w:rFonts w:ascii="仿宋_GB2312" w:hAnsi="仿宋_GB2312" w:cs="仿宋_GB2312" w:eastAsia="仿宋_GB2312"/>
                <w:sz w:val="20"/>
                <w:color w:val="0000FF"/>
              </w:rPr>
              <w:t>月至</w:t>
            </w:r>
            <w:r>
              <w:rPr>
                <w:rFonts w:ascii="仿宋_GB2312" w:hAnsi="仿宋_GB2312" w:cs="仿宋_GB2312" w:eastAsia="仿宋_GB2312"/>
                <w:sz w:val="20"/>
                <w:color w:val="0000FF"/>
              </w:rPr>
              <w:t>10月开展，赛事落地留坝县公共体育场。参赛对象面向全县范围内县直机关各单位、各镇办、县域企事业单位、学校教职工、民间足球俱乐部及本土业余足球队，不限年龄、公益免费报名参赛，旨在普及群众足球运动，调动县域干部群众体育参与积极性，夯实县域足球运动群众基础。</w:t>
            </w:r>
          </w:p>
          <w:p>
            <w:pPr>
              <w:pStyle w:val="null3"/>
              <w:ind w:firstLine="402"/>
              <w:jc w:val="both"/>
            </w:pPr>
            <w:r>
              <w:rPr>
                <w:rFonts w:ascii="仿宋_GB2312" w:hAnsi="仿宋_GB2312" w:cs="仿宋_GB2312" w:eastAsia="仿宋_GB2312"/>
                <w:sz w:val="20"/>
                <w:b/>
                <w:color w:val="0000FF"/>
              </w:rPr>
              <w:t>2. 具体执行操作流程</w:t>
            </w:r>
          </w:p>
          <w:p>
            <w:pPr>
              <w:pStyle w:val="null3"/>
              <w:ind w:firstLine="400"/>
              <w:jc w:val="both"/>
            </w:pPr>
            <w:r>
              <w:rPr>
                <w:rFonts w:ascii="仿宋_GB2312" w:hAnsi="仿宋_GB2312" w:cs="仿宋_GB2312" w:eastAsia="仿宋_GB2312"/>
                <w:sz w:val="20"/>
                <w:color w:val="0000FF"/>
              </w:rPr>
              <w:t>筹备阶段：完成赛事专项规程制定、参赛队伍招募报名、队伍资格审核、赛程细化排布、分组抽签等工作。同步完成赛事专用场地基础检修、草坪养护、标线刷新，配齐</w:t>
            </w:r>
            <w:r>
              <w:rPr>
                <w:rFonts w:ascii="仿宋_GB2312" w:hAnsi="仿宋_GB2312" w:cs="仿宋_GB2312" w:eastAsia="仿宋_GB2312"/>
                <w:sz w:val="20"/>
                <w:color w:val="0000FF"/>
              </w:rPr>
              <w:t>8人制足球赛专用比赛用球、训练器材、替补席设施、计分计时设备等物资。完成裁判人员选聘、岗前培训、赛事分工安排，制定本赛事专项安全预案。通过官方平台发布赛事报名公告、赛程安排及参赛须知，完成前期公益宣传预热。</w:t>
            </w:r>
          </w:p>
          <w:p>
            <w:pPr>
              <w:pStyle w:val="null3"/>
              <w:ind w:firstLine="400"/>
              <w:jc w:val="both"/>
            </w:pPr>
            <w:r>
              <w:rPr>
                <w:rFonts w:ascii="仿宋_GB2312" w:hAnsi="仿宋_GB2312" w:cs="仿宋_GB2312" w:eastAsia="仿宋_GB2312"/>
                <w:sz w:val="20"/>
                <w:color w:val="0000FF"/>
              </w:rPr>
              <w:t>实施阶段：依托项目统一开幕式正式启动赛事，严格按照既定赛程有序开展全部赛事场次。每场赛事赛前完成场地设施、安全隐患全覆盖排查，配备</w:t>
            </w:r>
            <w:r>
              <w:rPr>
                <w:rFonts w:ascii="仿宋_GB2312" w:hAnsi="仿宋_GB2312" w:cs="仿宋_GB2312" w:eastAsia="仿宋_GB2312"/>
                <w:sz w:val="20"/>
                <w:color w:val="0000FF"/>
              </w:rPr>
              <w:t>等级</w:t>
            </w:r>
            <w:r>
              <w:rPr>
                <w:rFonts w:ascii="仿宋_GB2312" w:hAnsi="仿宋_GB2312" w:cs="仿宋_GB2312" w:eastAsia="仿宋_GB2312"/>
                <w:sz w:val="20"/>
                <w:color w:val="0000FF"/>
              </w:rPr>
              <w:t>裁判、现场工作人员、安保及医疗值守人员；赛中规范执裁、精准记录赛事数据、留存影像资料，及时处置赛场突发情况，维护赛场秩序；赛后完成场地简易清理、器材收纳、赛事数据汇总公示，常态化报送赛事进度台账。常态化做好赛事期间场地运维、物资补给、人员调度等配套工作。</w:t>
            </w:r>
          </w:p>
          <w:p>
            <w:pPr>
              <w:pStyle w:val="null3"/>
              <w:ind w:firstLine="400"/>
              <w:jc w:val="both"/>
            </w:pPr>
            <w:r>
              <w:rPr>
                <w:rFonts w:ascii="仿宋_GB2312" w:hAnsi="仿宋_GB2312" w:cs="仿宋_GB2312" w:eastAsia="仿宋_GB2312"/>
                <w:sz w:val="20"/>
                <w:color w:val="0000FF"/>
              </w:rPr>
              <w:t>收尾阶段</w:t>
            </w:r>
            <w:r>
              <w:rPr>
                <w:rFonts w:ascii="仿宋_GB2312" w:hAnsi="仿宋_GB2312" w:cs="仿宋_GB2312" w:eastAsia="仿宋_GB2312"/>
                <w:sz w:val="20"/>
                <w:color w:val="0000FF"/>
              </w:rPr>
              <w:t>：完成全部20场次以上赛事比拼，汇总赛事总成绩，评选优秀队伍及个人奖项，配合完成整体项目年度颁奖汇总工作，同步整理本赛事全套档案资料、影像素材、工作台账。</w:t>
            </w:r>
          </w:p>
          <w:p>
            <w:pPr>
              <w:pStyle w:val="null3"/>
              <w:ind w:firstLine="402"/>
              <w:jc w:val="both"/>
            </w:pPr>
            <w:r>
              <w:rPr>
                <w:rFonts w:ascii="仿宋_GB2312" w:hAnsi="仿宋_GB2312" w:cs="仿宋_GB2312" w:eastAsia="仿宋_GB2312"/>
                <w:sz w:val="20"/>
                <w:b/>
                <w:color w:val="0000FF"/>
              </w:rPr>
              <w:t>3.</w:t>
            </w:r>
            <w:r>
              <w:rPr>
                <w:rFonts w:ascii="仿宋_GB2312" w:hAnsi="仿宋_GB2312" w:cs="仿宋_GB2312" w:eastAsia="仿宋_GB2312"/>
                <w:sz w:val="20"/>
                <w:b/>
                <w:color w:val="0000FF"/>
              </w:rPr>
              <w:t>费用内容</w:t>
            </w:r>
          </w:p>
          <w:p>
            <w:pPr>
              <w:pStyle w:val="null3"/>
              <w:ind w:firstLine="400"/>
              <w:jc w:val="both"/>
            </w:pPr>
            <w:r>
              <w:rPr>
                <w:rFonts w:ascii="仿宋_GB2312" w:hAnsi="仿宋_GB2312" w:cs="仿宋_GB2312" w:eastAsia="仿宋_GB2312"/>
                <w:sz w:val="20"/>
                <w:color w:val="0000FF"/>
              </w:rPr>
              <w:t>一是赛事场地运维费用，包含赛事周期内场地日常养护、草坪修缮、场地标线更新、设施简易维修、场地清洁消杀等全部费用，保障赛事场地常态化达标可用。二是赛事物料采购费用，涵盖比赛用球、裁判器材、计分设备、参赛标识、荣誉奖项、赛事宣传物料、应急基础物资等采购支出。三是赛事服务费用，包含专业裁判劳务、赛事工作人员值守、现场秩序维护、赛事数据统计等服务支出。四是配套保障费用，包含赛事期间医疗值守、基础急救物资补给、赛事影像拍摄、素材整理、公益宣传推送等相关支出。五是赛事组织运营费用，涵盖报名统筹、赛程编排、队伍管理、台账整理等全流程运营支出。</w:t>
            </w:r>
          </w:p>
          <w:p>
            <w:pPr>
              <w:pStyle w:val="null3"/>
              <w:ind w:firstLine="402"/>
              <w:jc w:val="both"/>
            </w:pPr>
            <w:r>
              <w:rPr>
                <w:rFonts w:ascii="仿宋_GB2312" w:hAnsi="仿宋_GB2312" w:cs="仿宋_GB2312" w:eastAsia="仿宋_GB2312"/>
                <w:sz w:val="20"/>
                <w:b/>
                <w:color w:val="0000FF"/>
              </w:rPr>
              <w:t>（二）</w:t>
            </w:r>
            <w:r>
              <w:rPr>
                <w:rFonts w:ascii="仿宋_GB2312" w:hAnsi="仿宋_GB2312" w:cs="仿宋_GB2312" w:eastAsia="仿宋_GB2312"/>
                <w:sz w:val="20"/>
                <w:b/>
                <w:color w:val="0000FF"/>
              </w:rPr>
              <w:t>“紫柏杯”市域11人制足球赛</w:t>
            </w:r>
          </w:p>
          <w:p>
            <w:pPr>
              <w:pStyle w:val="null3"/>
              <w:ind w:firstLine="402"/>
              <w:jc w:val="both"/>
            </w:pPr>
            <w:r>
              <w:rPr>
                <w:rFonts w:ascii="仿宋_GB2312" w:hAnsi="仿宋_GB2312" w:cs="仿宋_GB2312" w:eastAsia="仿宋_GB2312"/>
                <w:sz w:val="20"/>
                <w:b/>
                <w:color w:val="0000FF"/>
              </w:rPr>
              <w:t>1. 活动核心内容</w:t>
            </w:r>
          </w:p>
          <w:p>
            <w:pPr>
              <w:pStyle w:val="null3"/>
              <w:ind w:firstLine="400"/>
              <w:jc w:val="both"/>
            </w:pPr>
            <w:r>
              <w:rPr>
                <w:rFonts w:ascii="仿宋_GB2312" w:hAnsi="仿宋_GB2312" w:cs="仿宋_GB2312" w:eastAsia="仿宋_GB2312"/>
                <w:sz w:val="20"/>
                <w:color w:val="0000FF"/>
              </w:rPr>
              <w:t>本次</w:t>
            </w:r>
            <w:r>
              <w:rPr>
                <w:rFonts w:ascii="仿宋_GB2312" w:hAnsi="仿宋_GB2312" w:cs="仿宋_GB2312" w:eastAsia="仿宋_GB2312"/>
                <w:sz w:val="20"/>
                <w:color w:val="0000FF"/>
              </w:rPr>
              <w:t>11人制足球赛为县域重点品牌体育赛事，赛事总场次不少于</w:t>
            </w:r>
            <w:r>
              <w:rPr>
                <w:rFonts w:ascii="仿宋_GB2312" w:hAnsi="仿宋_GB2312" w:cs="仿宋_GB2312" w:eastAsia="仿宋_GB2312"/>
                <w:sz w:val="20"/>
                <w:color w:val="0000FF"/>
              </w:rPr>
              <w:t>3</w:t>
            </w:r>
            <w:r>
              <w:rPr>
                <w:rFonts w:ascii="仿宋_GB2312" w:hAnsi="仿宋_GB2312" w:cs="仿宋_GB2312" w:eastAsia="仿宋_GB2312"/>
                <w:sz w:val="20"/>
                <w:color w:val="0000FF"/>
              </w:rPr>
              <w:t>0场，开展时间为2026年</w:t>
            </w:r>
            <w:r>
              <w:rPr>
                <w:rFonts w:ascii="仿宋_GB2312" w:hAnsi="仿宋_GB2312" w:cs="仿宋_GB2312" w:eastAsia="仿宋_GB2312"/>
                <w:sz w:val="20"/>
                <w:color w:val="0000FF"/>
              </w:rPr>
              <w:t>8</w:t>
            </w:r>
            <w:r>
              <w:rPr>
                <w:rFonts w:ascii="仿宋_GB2312" w:hAnsi="仿宋_GB2312" w:cs="仿宋_GB2312" w:eastAsia="仿宋_GB2312"/>
                <w:sz w:val="20"/>
                <w:color w:val="0000FF"/>
              </w:rPr>
              <w:t>月至</w:t>
            </w:r>
            <w:r>
              <w:rPr>
                <w:rFonts w:ascii="仿宋_GB2312" w:hAnsi="仿宋_GB2312" w:cs="仿宋_GB2312" w:eastAsia="仿宋_GB2312"/>
                <w:sz w:val="20"/>
                <w:color w:val="0000FF"/>
              </w:rPr>
              <w:t>1</w:t>
            </w:r>
            <w:r>
              <w:rPr>
                <w:rFonts w:ascii="仿宋_GB2312" w:hAnsi="仿宋_GB2312" w:cs="仿宋_GB2312" w:eastAsia="仿宋_GB2312"/>
                <w:sz w:val="20"/>
                <w:color w:val="0000FF"/>
              </w:rPr>
              <w:t>1</w:t>
            </w:r>
            <w:r>
              <w:rPr>
                <w:rFonts w:ascii="仿宋_GB2312" w:hAnsi="仿宋_GB2312" w:cs="仿宋_GB2312" w:eastAsia="仿宋_GB2312"/>
                <w:sz w:val="20"/>
                <w:color w:val="0000FF"/>
              </w:rPr>
              <w:t>月，全程在留坝县公共体育场举办。赛事在县域参赛基础上，重点吸纳</w:t>
            </w:r>
            <w:r>
              <w:rPr>
                <w:rFonts w:ascii="仿宋_GB2312" w:hAnsi="仿宋_GB2312" w:cs="仿宋_GB2312" w:eastAsia="仿宋_GB2312"/>
                <w:sz w:val="20"/>
                <w:color w:val="0000FF"/>
              </w:rPr>
              <w:t>省内</w:t>
            </w:r>
            <w:r>
              <w:rPr>
                <w:rFonts w:ascii="仿宋_GB2312" w:hAnsi="仿宋_GB2312" w:cs="仿宋_GB2312" w:eastAsia="仿宋_GB2312"/>
                <w:sz w:val="20"/>
                <w:color w:val="0000FF"/>
              </w:rPr>
              <w:t>中小学、职教校园足球队，同时邀请</w:t>
            </w:r>
            <w:r>
              <w:rPr>
                <w:rFonts w:ascii="仿宋_GB2312" w:hAnsi="仿宋_GB2312" w:cs="仿宋_GB2312" w:eastAsia="仿宋_GB2312"/>
                <w:sz w:val="20"/>
                <w:color w:val="0000FF"/>
              </w:rPr>
              <w:t>省内外足球俱乐部；省内外</w:t>
            </w:r>
            <w:r>
              <w:rPr>
                <w:rFonts w:ascii="仿宋_GB2312" w:hAnsi="仿宋_GB2312" w:cs="仿宋_GB2312" w:eastAsia="仿宋_GB2312"/>
                <w:sz w:val="20"/>
                <w:color w:val="0000FF"/>
              </w:rPr>
              <w:t>周边县区</w:t>
            </w:r>
            <w:r>
              <w:rPr>
                <w:rFonts w:ascii="仿宋_GB2312" w:hAnsi="仿宋_GB2312" w:cs="仿宋_GB2312" w:eastAsia="仿宋_GB2312"/>
                <w:sz w:val="20"/>
                <w:color w:val="0000FF"/>
              </w:rPr>
              <w:t>高校、商会</w:t>
            </w:r>
            <w:r>
              <w:rPr>
                <w:rFonts w:ascii="仿宋_GB2312" w:hAnsi="仿宋_GB2312" w:cs="仿宋_GB2312" w:eastAsia="仿宋_GB2312"/>
                <w:sz w:val="20"/>
                <w:color w:val="0000FF"/>
              </w:rPr>
              <w:t>足球代表队参赛，进一步扩大赛事覆盖面和影响力，提升</w:t>
            </w:r>
            <w:r>
              <w:rPr>
                <w:rFonts w:ascii="仿宋_GB2312" w:hAnsi="仿宋_GB2312" w:cs="仿宋_GB2312" w:eastAsia="仿宋_GB2312"/>
                <w:sz w:val="20"/>
                <w:color w:val="0000FF"/>
              </w:rPr>
              <w:t>“紫柏杯”足球赛事品牌知名度，打造县域标杆性体育IP，依托跨区域赛事引流助力县域文旅发展。</w:t>
            </w:r>
          </w:p>
          <w:p>
            <w:pPr>
              <w:pStyle w:val="null3"/>
              <w:ind w:firstLine="402"/>
              <w:jc w:val="both"/>
            </w:pPr>
            <w:r>
              <w:rPr>
                <w:rFonts w:ascii="仿宋_GB2312" w:hAnsi="仿宋_GB2312" w:cs="仿宋_GB2312" w:eastAsia="仿宋_GB2312"/>
                <w:sz w:val="20"/>
                <w:b/>
                <w:color w:val="0000FF"/>
              </w:rPr>
              <w:t>2. 具体执行操作流程</w:t>
            </w:r>
          </w:p>
          <w:p>
            <w:pPr>
              <w:pStyle w:val="null3"/>
              <w:ind w:firstLine="400"/>
              <w:jc w:val="both"/>
            </w:pPr>
            <w:r>
              <w:rPr>
                <w:rFonts w:ascii="仿宋_GB2312" w:hAnsi="仿宋_GB2312" w:cs="仿宋_GB2312" w:eastAsia="仿宋_GB2312"/>
                <w:sz w:val="20"/>
                <w:color w:val="0000FF"/>
              </w:rPr>
              <w:t>筹备阶段：结合市域参赛特点，修订完善</w:t>
            </w:r>
            <w:r>
              <w:rPr>
                <w:rFonts w:ascii="仿宋_GB2312" w:hAnsi="仿宋_GB2312" w:cs="仿宋_GB2312" w:eastAsia="仿宋_GB2312"/>
                <w:sz w:val="20"/>
                <w:color w:val="0000FF"/>
              </w:rPr>
              <w:t>11人制足球赛专项赛事规则、参赛资格标准、竞赛规程。启动</w:t>
            </w:r>
            <w:r>
              <w:rPr>
                <w:rFonts w:ascii="仿宋_GB2312" w:hAnsi="仿宋_GB2312" w:cs="仿宋_GB2312" w:eastAsia="仿宋_GB2312"/>
                <w:sz w:val="20"/>
                <w:color w:val="0000FF"/>
              </w:rPr>
              <w:t>参赛队伍</w:t>
            </w:r>
            <w:r>
              <w:rPr>
                <w:rFonts w:ascii="仿宋_GB2312" w:hAnsi="仿宋_GB2312" w:cs="仿宋_GB2312" w:eastAsia="仿宋_GB2312"/>
                <w:sz w:val="20"/>
                <w:color w:val="0000FF"/>
              </w:rPr>
              <w:t>筛选组建、周边县区队伍邀约报名工作，完成全部参赛队伍登记、审核、分组及赛程</w:t>
            </w:r>
            <w:r>
              <w:rPr>
                <w:rFonts w:ascii="仿宋_GB2312" w:hAnsi="仿宋_GB2312" w:cs="仿宋_GB2312" w:eastAsia="仿宋_GB2312"/>
                <w:sz w:val="20"/>
                <w:color w:val="0000FF"/>
              </w:rPr>
              <w:t>安排</w:t>
            </w:r>
            <w:r>
              <w:rPr>
                <w:rFonts w:ascii="仿宋_GB2312" w:hAnsi="仿宋_GB2312" w:cs="仿宋_GB2312" w:eastAsia="仿宋_GB2312"/>
                <w:sz w:val="20"/>
                <w:color w:val="0000FF"/>
              </w:rPr>
              <w:t>。针对</w:t>
            </w:r>
            <w:r>
              <w:rPr>
                <w:rFonts w:ascii="仿宋_GB2312" w:hAnsi="仿宋_GB2312" w:cs="仿宋_GB2312" w:eastAsia="仿宋_GB2312"/>
                <w:sz w:val="20"/>
                <w:color w:val="0000FF"/>
              </w:rPr>
              <w:t>11人制赛事场地标准，完成公共体育场</w:t>
            </w:r>
            <w:r>
              <w:rPr>
                <w:rFonts w:ascii="仿宋_GB2312" w:hAnsi="仿宋_GB2312" w:cs="仿宋_GB2312" w:eastAsia="仿宋_GB2312"/>
                <w:sz w:val="20"/>
                <w:color w:val="0000FF"/>
              </w:rPr>
              <w:t>场地布置</w:t>
            </w:r>
            <w:r>
              <w:rPr>
                <w:rFonts w:ascii="仿宋_GB2312" w:hAnsi="仿宋_GB2312" w:cs="仿宋_GB2312" w:eastAsia="仿宋_GB2312"/>
                <w:sz w:val="20"/>
                <w:color w:val="0000FF"/>
              </w:rPr>
              <w:t>，重点排查灯光、看台、围挡、草坪</w:t>
            </w:r>
            <w:r>
              <w:rPr>
                <w:rFonts w:ascii="仿宋_GB2312" w:hAnsi="仿宋_GB2312" w:cs="仿宋_GB2312" w:eastAsia="仿宋_GB2312"/>
                <w:sz w:val="20"/>
                <w:color w:val="0000FF"/>
              </w:rPr>
              <w:t>（</w:t>
            </w:r>
            <w:r>
              <w:rPr>
                <w:rFonts w:ascii="仿宋_GB2312" w:hAnsi="仿宋_GB2312" w:cs="仿宋_GB2312" w:eastAsia="仿宋_GB2312"/>
                <w:sz w:val="20"/>
                <w:color w:val="0000FF"/>
              </w:rPr>
              <w:t>人工草</w:t>
            </w:r>
            <w:r>
              <w:rPr>
                <w:rFonts w:ascii="仿宋_GB2312" w:hAnsi="仿宋_GB2312" w:cs="仿宋_GB2312" w:eastAsia="仿宋_GB2312"/>
                <w:sz w:val="20"/>
                <w:color w:val="0000FF"/>
              </w:rPr>
              <w:t>）</w:t>
            </w:r>
            <w:r>
              <w:rPr>
                <w:rFonts w:ascii="仿宋_GB2312" w:hAnsi="仿宋_GB2312" w:cs="仿宋_GB2312" w:eastAsia="仿宋_GB2312"/>
                <w:sz w:val="20"/>
                <w:color w:val="0000FF"/>
              </w:rPr>
              <w:t>、球门等设施安全隐患，完成场地标准化升级养护。配齐大型赛事专用器材、应急保障物资，组建专业裁判团队及现场保障队伍，开展大型赛事专项安全培训、应急演练，发布赛事活动公告及宣传内容。</w:t>
            </w:r>
          </w:p>
          <w:p>
            <w:pPr>
              <w:pStyle w:val="null3"/>
              <w:ind w:firstLine="400"/>
              <w:jc w:val="both"/>
            </w:pPr>
            <w:r>
              <w:rPr>
                <w:rFonts w:ascii="仿宋_GB2312" w:hAnsi="仿宋_GB2312" w:cs="仿宋_GB2312" w:eastAsia="仿宋_GB2312"/>
                <w:sz w:val="20"/>
                <w:color w:val="0000FF"/>
              </w:rPr>
              <w:t>实施阶段：严格按照既定赛程有序开展</w:t>
            </w:r>
            <w:r>
              <w:rPr>
                <w:rFonts w:ascii="仿宋_GB2312" w:hAnsi="仿宋_GB2312" w:cs="仿宋_GB2312" w:eastAsia="仿宋_GB2312"/>
                <w:sz w:val="20"/>
                <w:color w:val="0000FF"/>
              </w:rPr>
              <w:t>30</w:t>
            </w:r>
            <w:r>
              <w:rPr>
                <w:rFonts w:ascii="仿宋_GB2312" w:hAnsi="仿宋_GB2312" w:cs="仿宋_GB2312" w:eastAsia="仿宋_GB2312"/>
                <w:sz w:val="20"/>
                <w:color w:val="0000FF"/>
              </w:rPr>
              <w:t>场次以上全部</w:t>
            </w:r>
            <w:r>
              <w:rPr>
                <w:rFonts w:ascii="仿宋_GB2312" w:hAnsi="仿宋_GB2312" w:cs="仿宋_GB2312" w:eastAsia="仿宋_GB2312"/>
                <w:sz w:val="20"/>
                <w:color w:val="0000FF"/>
              </w:rPr>
              <w:t>赛事，规范组织单轮赛事、小组赛、淘汰赛等各阶段比拼。针对跨区域参赛特点，做好参赛队伍对接、赛事秩序管控、赛事安全保障等工作，全程落实赛前隐患排查、赛中全程值守、赛后场地复原机制。精准留存赛事视频、图片、数据资料，及时推送赛事动态宣传内容，展现县域体育风貌。同步做好赛事期间常态化安保、医疗、后勤保障工作，妥善处置各类突发情况。</w:t>
            </w:r>
          </w:p>
          <w:p>
            <w:pPr>
              <w:pStyle w:val="null3"/>
              <w:ind w:firstLine="400"/>
              <w:jc w:val="both"/>
            </w:pPr>
            <w:r>
              <w:rPr>
                <w:rFonts w:ascii="仿宋_GB2312" w:hAnsi="仿宋_GB2312" w:cs="仿宋_GB2312" w:eastAsia="仿宋_GB2312"/>
                <w:sz w:val="20"/>
                <w:color w:val="0000FF"/>
              </w:rPr>
              <w:t>收尾阶段：完成全部赛事比拼，核定最终赛事排名及各类奖项，统筹纳入项目年度总决赛暨闭幕式颁奖环节，集中表彰优秀参赛队伍、优秀运动员、优秀裁判员。全面整理本赛事全套工作资料、财务支出凭证、影像台账，完成阶段性工作总结。</w:t>
            </w:r>
          </w:p>
          <w:p>
            <w:pPr>
              <w:pStyle w:val="null3"/>
              <w:ind w:firstLine="402"/>
              <w:jc w:val="both"/>
            </w:pPr>
            <w:r>
              <w:rPr>
                <w:rFonts w:ascii="仿宋_GB2312" w:hAnsi="仿宋_GB2312" w:cs="仿宋_GB2312" w:eastAsia="仿宋_GB2312"/>
                <w:sz w:val="20"/>
                <w:b/>
                <w:color w:val="0000FF"/>
              </w:rPr>
              <w:t>3.</w:t>
            </w:r>
            <w:r>
              <w:rPr>
                <w:rFonts w:ascii="仿宋_GB2312" w:hAnsi="仿宋_GB2312" w:cs="仿宋_GB2312" w:eastAsia="仿宋_GB2312"/>
                <w:sz w:val="20"/>
                <w:b/>
                <w:color w:val="0000FF"/>
              </w:rPr>
              <w:t>费用内容</w:t>
            </w:r>
          </w:p>
          <w:p>
            <w:pPr>
              <w:pStyle w:val="null3"/>
              <w:ind w:firstLine="400"/>
              <w:jc w:val="both"/>
            </w:pPr>
            <w:r>
              <w:rPr>
                <w:rFonts w:ascii="仿宋_GB2312" w:hAnsi="仿宋_GB2312" w:cs="仿宋_GB2312" w:eastAsia="仿宋_GB2312"/>
                <w:sz w:val="20"/>
                <w:color w:val="0000FF"/>
              </w:rPr>
              <w:t>一是标准化场地升级运维费用，重点用于</w:t>
            </w:r>
            <w:r>
              <w:rPr>
                <w:rFonts w:ascii="仿宋_GB2312" w:hAnsi="仿宋_GB2312" w:cs="仿宋_GB2312" w:eastAsia="仿宋_GB2312"/>
                <w:sz w:val="20"/>
                <w:color w:val="0000FF"/>
              </w:rPr>
              <w:t>11人制标准赛事场地全方位养护、设施检修升级、灯光设备调试、看台安全维护、场地标准化整改等支出，保障大型赛事场地符合专业竞赛标准。二是高端赛事物料及奖项费用，包含专业赛事器材、赛事氛围布置、参赛物资、各类荣誉奖牌奖杯、纪念礼品等采购支出。三是专业赛事服务费用，涵盖</w:t>
            </w:r>
            <w:r>
              <w:rPr>
                <w:rFonts w:ascii="仿宋_GB2312" w:hAnsi="仿宋_GB2312" w:cs="仿宋_GB2312" w:eastAsia="仿宋_GB2312"/>
                <w:sz w:val="20"/>
                <w:color w:val="0000FF"/>
              </w:rPr>
              <w:t>等</w:t>
            </w:r>
            <w:r>
              <w:rPr>
                <w:rFonts w:ascii="仿宋_GB2312" w:hAnsi="仿宋_GB2312" w:cs="仿宋_GB2312" w:eastAsia="仿宋_GB2312"/>
                <w:sz w:val="20"/>
                <w:color w:val="0000FF"/>
              </w:rPr>
              <w:t>级专业裁判聘请、赛事技术指导、赛事统筹运营、现场专职工作人员劳务等支出。四是跨区域赛事配套保障费用，包含参赛对接保障、大型赛事安保值守、专项医疗保障、应急物资储备等支出。五是品牌宣传推广费用，用于赛事专题拍摄、新闻纪实报道、线上线下宣传推广、赛事品牌打造等支出。六是赛事综合运营费用，用于赛程优化、赛事档案整编、数据统计、绩效资料归集等全流程配套支出。</w:t>
            </w:r>
          </w:p>
          <w:p>
            <w:pPr>
              <w:pStyle w:val="null3"/>
              <w:ind w:firstLine="402"/>
              <w:jc w:val="both"/>
            </w:pPr>
            <w:r>
              <w:rPr>
                <w:rFonts w:ascii="仿宋_GB2312" w:hAnsi="仿宋_GB2312" w:cs="仿宋_GB2312" w:eastAsia="仿宋_GB2312"/>
                <w:sz w:val="20"/>
                <w:b/>
                <w:color w:val="0000FF"/>
              </w:rPr>
              <w:t>（三）全民特色文体赛事活动</w:t>
            </w:r>
          </w:p>
          <w:p>
            <w:pPr>
              <w:pStyle w:val="null3"/>
              <w:ind w:firstLine="402"/>
              <w:jc w:val="both"/>
            </w:pPr>
            <w:r>
              <w:rPr>
                <w:rFonts w:ascii="仿宋_GB2312" w:hAnsi="仿宋_GB2312" w:cs="仿宋_GB2312" w:eastAsia="仿宋_GB2312"/>
                <w:sz w:val="20"/>
                <w:b/>
                <w:color w:val="0000FF"/>
              </w:rPr>
              <w:t>费用内容：</w:t>
            </w:r>
            <w:r>
              <w:rPr>
                <w:rFonts w:ascii="仿宋_GB2312" w:hAnsi="仿宋_GB2312" w:cs="仿宋_GB2312" w:eastAsia="仿宋_GB2312"/>
                <w:sz w:val="20"/>
                <w:color w:val="0000FF"/>
              </w:rPr>
              <w:t>本板块总预算包含</w:t>
            </w:r>
            <w:r>
              <w:rPr>
                <w:rFonts w:ascii="仿宋_GB2312" w:hAnsi="仿宋_GB2312" w:cs="仿宋_GB2312" w:eastAsia="仿宋_GB2312"/>
                <w:sz w:val="20"/>
                <w:color w:val="0000FF"/>
              </w:rPr>
              <w:t>不限于</w:t>
            </w:r>
            <w:r>
              <w:rPr>
                <w:rFonts w:ascii="仿宋_GB2312" w:hAnsi="仿宋_GB2312" w:cs="仿宋_GB2312" w:eastAsia="仿宋_GB2312"/>
                <w:sz w:val="20"/>
                <w:color w:val="0000FF"/>
              </w:rPr>
              <w:t>象棋</w:t>
            </w:r>
            <w:r>
              <w:rPr>
                <w:rFonts w:ascii="仿宋_GB2312" w:hAnsi="仿宋_GB2312" w:cs="仿宋_GB2312" w:eastAsia="仿宋_GB2312"/>
                <w:sz w:val="20"/>
                <w:color w:val="0000FF"/>
              </w:rPr>
              <w:t>、</w:t>
            </w:r>
            <w:r>
              <w:rPr>
                <w:rFonts w:ascii="仿宋_GB2312" w:hAnsi="仿宋_GB2312" w:cs="仿宋_GB2312" w:eastAsia="仿宋_GB2312"/>
                <w:sz w:val="20"/>
                <w:color w:val="0000FF"/>
              </w:rPr>
              <w:t>围棋、羽毛球、乒乓球、广场舞、</w:t>
            </w:r>
            <w:r>
              <w:rPr>
                <w:rFonts w:ascii="仿宋_GB2312" w:hAnsi="仿宋_GB2312" w:cs="仿宋_GB2312" w:eastAsia="仿宋_GB2312"/>
                <w:sz w:val="20"/>
                <w:color w:val="0000FF"/>
              </w:rPr>
              <w:t>全民趣味</w:t>
            </w:r>
            <w:r>
              <w:rPr>
                <w:rFonts w:ascii="仿宋_GB2312" w:hAnsi="仿宋_GB2312" w:cs="仿宋_GB2312" w:eastAsia="仿宋_GB2312"/>
                <w:sz w:val="20"/>
                <w:color w:val="0000FF"/>
              </w:rPr>
              <w:t>运动会等</w:t>
            </w:r>
            <w:r>
              <w:rPr>
                <w:rFonts w:ascii="仿宋_GB2312" w:hAnsi="仿宋_GB2312" w:cs="仿宋_GB2312" w:eastAsia="仿宋_GB2312"/>
                <w:sz w:val="20"/>
                <w:color w:val="0000FF"/>
              </w:rPr>
              <w:t>特色活动，全部面向群众免费参与，丰富县域多元化文体生活。</w:t>
            </w:r>
          </w:p>
          <w:p>
            <w:pPr>
              <w:pStyle w:val="null3"/>
            </w:pPr>
            <w:r>
              <w:rPr>
                <w:rFonts w:ascii="仿宋_GB2312" w:hAnsi="仿宋_GB2312" w:cs="仿宋_GB2312" w:eastAsia="仿宋_GB2312"/>
                <w:sz w:val="20"/>
                <w:b/>
                <w:color w:val="0000FF"/>
              </w:rPr>
              <w:t>二、硬性任务指标考核</w:t>
            </w:r>
          </w:p>
          <w:p>
            <w:pPr>
              <w:pStyle w:val="null3"/>
              <w:ind w:firstLine="400"/>
              <w:jc w:val="both"/>
            </w:pPr>
            <w:r>
              <w:rPr>
                <w:rFonts w:ascii="仿宋_GB2312" w:hAnsi="仿宋_GB2312" w:cs="仿宋_GB2312" w:eastAsia="仿宋_GB2312"/>
                <w:sz w:val="20"/>
                <w:color w:val="0000FF"/>
              </w:rPr>
              <w:t>严格对标赛事任务要求，足额完成</w:t>
            </w:r>
            <w:r>
              <w:rPr>
                <w:rFonts w:ascii="仿宋_GB2312" w:hAnsi="仿宋_GB2312" w:cs="仿宋_GB2312" w:eastAsia="仿宋_GB2312"/>
                <w:sz w:val="20"/>
                <w:color w:val="0000FF"/>
              </w:rPr>
              <w:t>20场8人制足球赛、30场11人制足球赛、1场全民趣味运动会活动、1场棋类大赛的全部硬性任务。</w:t>
            </w:r>
          </w:p>
          <w:p>
            <w:pPr>
              <w:pStyle w:val="null3"/>
            </w:pPr>
            <w:r>
              <w:rPr>
                <w:rFonts w:ascii="仿宋_GB2312" w:hAnsi="仿宋_GB2312" w:cs="仿宋_GB2312" w:eastAsia="仿宋_GB2312"/>
                <w:sz w:val="20"/>
                <w:b/>
                <w:color w:val="0000FF"/>
              </w:rPr>
              <w:t>三</w:t>
            </w:r>
            <w:r>
              <w:rPr>
                <w:rFonts w:ascii="仿宋_GB2312" w:hAnsi="仿宋_GB2312" w:cs="仿宋_GB2312" w:eastAsia="仿宋_GB2312"/>
                <w:sz w:val="20"/>
                <w:b/>
                <w:color w:val="0000FF"/>
              </w:rPr>
              <w:t>、商务要求</w:t>
            </w:r>
          </w:p>
          <w:p>
            <w:pPr>
              <w:pStyle w:val="null3"/>
            </w:pPr>
            <w:r>
              <w:rPr>
                <w:rFonts w:ascii="仿宋_GB2312" w:hAnsi="仿宋_GB2312" w:cs="仿宋_GB2312" w:eastAsia="仿宋_GB2312"/>
                <w:sz w:val="20"/>
                <w:color w:val="0000FF"/>
              </w:rPr>
              <w:t>1</w:t>
            </w:r>
            <w:r>
              <w:rPr>
                <w:rFonts w:ascii="仿宋_GB2312" w:hAnsi="仿宋_GB2312" w:cs="仿宋_GB2312" w:eastAsia="仿宋_GB2312"/>
                <w:sz w:val="20"/>
                <w:color w:val="0000FF"/>
              </w:rPr>
              <w:t>.服务期限：自合同签订之日起至2026年11月30日。</w:t>
            </w:r>
          </w:p>
          <w:p>
            <w:pPr>
              <w:pStyle w:val="null3"/>
            </w:pPr>
            <w:r>
              <w:rPr>
                <w:rFonts w:ascii="仿宋_GB2312" w:hAnsi="仿宋_GB2312" w:cs="仿宋_GB2312" w:eastAsia="仿宋_GB2312"/>
                <w:sz w:val="20"/>
                <w:color w:val="0000FF"/>
              </w:rPr>
              <w:t>2</w:t>
            </w:r>
            <w:r>
              <w:rPr>
                <w:rFonts w:ascii="仿宋_GB2312" w:hAnsi="仿宋_GB2312" w:cs="仿宋_GB2312" w:eastAsia="仿宋_GB2312"/>
                <w:sz w:val="20"/>
                <w:color w:val="0000FF"/>
              </w:rPr>
              <w:t>.服务地点：</w:t>
            </w:r>
            <w:r>
              <w:rPr>
                <w:rFonts w:ascii="仿宋_GB2312" w:hAnsi="仿宋_GB2312" w:cs="仿宋_GB2312" w:eastAsia="仿宋_GB2312"/>
                <w:sz w:val="20"/>
                <w:color w:val="0000FF"/>
              </w:rPr>
              <w:t>留坝县</w:t>
            </w:r>
            <w:r>
              <w:rPr>
                <w:rFonts w:ascii="仿宋_GB2312" w:hAnsi="仿宋_GB2312" w:cs="仿宋_GB2312" w:eastAsia="仿宋_GB2312"/>
                <w:sz w:val="20"/>
                <w:color w:val="0000FF"/>
              </w:rPr>
              <w:t>。</w:t>
            </w:r>
          </w:p>
          <w:p>
            <w:pPr>
              <w:pStyle w:val="null3"/>
              <w:jc w:val="both"/>
            </w:pPr>
            <w:r>
              <w:rPr>
                <w:rFonts w:ascii="仿宋_GB2312" w:hAnsi="仿宋_GB2312" w:cs="仿宋_GB2312" w:eastAsia="仿宋_GB2312"/>
                <w:sz w:val="20"/>
                <w:color w:val="0000FF"/>
              </w:rPr>
              <w:t>3.质量标准：</w:t>
            </w:r>
            <w:r>
              <w:rPr>
                <w:rFonts w:ascii="仿宋_GB2312" w:hAnsi="仿宋_GB2312" w:cs="仿宋_GB2312" w:eastAsia="仿宋_GB2312"/>
                <w:sz w:val="20"/>
                <w:color w:val="0000FF"/>
              </w:rPr>
              <w:t>符合国家及行业质量验收合格标准，符合采购内容技术要求</w:t>
            </w:r>
            <w:r>
              <w:rPr>
                <w:rFonts w:ascii="仿宋_GB2312" w:hAnsi="仿宋_GB2312" w:cs="仿宋_GB2312" w:eastAsia="仿宋_GB2312"/>
                <w:sz w:val="20"/>
                <w:color w:val="0000FF"/>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自合同签订之日起至2026年11月30日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留坝县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符合国家及行业质量验收合格标准，符合采购内容技术要求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进度款，合同生效且乙方提供合法等额增值税普通发票后，达到付款条件起5个工作日内，支付合同总金额的40.0%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进度款，活动开展2个月乙方提供合法等额增值税普通发票后，达到付款条件起5个工作日内，支付合同总金额的40.0%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进度款，活动结束并验收合格乙方提供合法等额增值税普通发票后，达到付款条件起5个工作日内，支付合同总金额的20.0%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保密条款：双方对在合作过程中获知的对方商业秘密、未公开数据及合同内容负有保密义务，除法律法规另有规定或经对方书面同意外，不得向第三方披露。保密期限为合同终止后三年。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营业执照或其他主体证明资料</w:t>
            </w:r>
          </w:p>
        </w:tc>
        <w:tc>
          <w:tcPr>
            <w:tcW w:type="dxa" w:w="3322"/>
          </w:tcPr>
          <w:p>
            <w:pPr>
              <w:pStyle w:val="null3"/>
            </w:pPr>
            <w:r>
              <w:rPr>
                <w:rFonts w:ascii="仿宋_GB2312" w:hAnsi="仿宋_GB2312" w:cs="仿宋_GB2312" w:eastAsia="仿宋_GB2312"/>
              </w:rPr>
              <w:t>供应商应为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供应商需在项目电子化交易系统中按要求上传相应证明文件并进行电子签章（注：以响应文件中提供的承诺书为准）；</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本项目不接受联合体磋商（注：以响应文件中提供的非联合体磋商的声明为准）。</w:t>
            </w:r>
          </w:p>
        </w:tc>
        <w:tc>
          <w:tcPr>
            <w:tcW w:type="dxa" w:w="1661"/>
          </w:tcPr>
          <w:p>
            <w:pPr>
              <w:pStyle w:val="null3"/>
            </w:pPr>
            <w:r>
              <w:rPr>
                <w:rFonts w:ascii="仿宋_GB2312" w:hAnsi="仿宋_GB2312" w:cs="仿宋_GB2312" w:eastAsia="仿宋_GB2312"/>
              </w:rPr>
              <w:t>资格审查资料.docx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2.供应商提交的相关说明和证明材料，应当加盖供应商（法定名称）电子印章，相关供应商应于30分钟内（含30分钟）按评标委员会要求提供相应证明材料，通过项目电子化交易系统进行提交，否则提交的相关证明材料无效。供应商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明，且身份信息与营业执照上对应信息一致。法定代表人授权代表参加磋商的，须出具法定代表人授权委托书及授权代表身份证复印件；自然人参加磋商的须提供身份证复印件； 注：以磋商响应文件中所附签章齐全的法定代表人身份证明或法定代表人授权委托书为准。</w:t>
            </w:r>
          </w:p>
        </w:tc>
        <w:tc>
          <w:tcPr>
            <w:tcW w:type="dxa" w:w="1661"/>
          </w:tcPr>
          <w:p>
            <w:pPr>
              <w:pStyle w:val="null3"/>
            </w:pPr>
            <w:r>
              <w:rPr>
                <w:rFonts w:ascii="仿宋_GB2312" w:hAnsi="仿宋_GB2312" w:cs="仿宋_GB2312" w:eastAsia="仿宋_GB2312"/>
              </w:rPr>
              <w:t>法定代表人身份证明或授权委托书.docx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磋商响应文件签章</w:t>
            </w:r>
          </w:p>
        </w:tc>
        <w:tc>
          <w:tcPr>
            <w:tcW w:type="dxa" w:w="3322"/>
          </w:tcPr>
          <w:p>
            <w:pPr>
              <w:pStyle w:val="null3"/>
            </w:pPr>
            <w:r>
              <w:rPr>
                <w:rFonts w:ascii="仿宋_GB2312" w:hAnsi="仿宋_GB2312" w:cs="仿宋_GB2312" w:eastAsia="仿宋_GB2312"/>
              </w:rPr>
              <w:t>按磋商文件要求签署、加盖印章</w:t>
            </w:r>
          </w:p>
        </w:tc>
        <w:tc>
          <w:tcPr>
            <w:tcW w:type="dxa" w:w="1661"/>
          </w:tcPr>
          <w:p>
            <w:pPr>
              <w:pStyle w:val="null3"/>
            </w:pPr>
            <w:r>
              <w:rPr>
                <w:rFonts w:ascii="仿宋_GB2312" w:hAnsi="仿宋_GB2312" w:cs="仿宋_GB2312" w:eastAsia="仿宋_GB2312"/>
              </w:rPr>
              <w:t>中小企业声明函 项目团队配置.docx 报价表 近年完成的类似项目情况表.docx 响应文件封面 法定代表人身份证明或授权委托书.docx 残疾人福利性单位声明函 标的清单 商务和技术偏差表.docx 资格审查资料.docx 响应函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每次报价唯一，且未超过采购包最高限价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供应商对磋商文件中“第三章 磋商项目技术、服务、商务及其他要求第 3.2.2条中的 四、商务要求”的各项条款进行响应。</w:t>
            </w:r>
          </w:p>
        </w:tc>
        <w:tc>
          <w:tcPr>
            <w:tcW w:type="dxa" w:w="1661"/>
          </w:tcPr>
          <w:p>
            <w:pPr>
              <w:pStyle w:val="null3"/>
            </w:pPr>
            <w:r>
              <w:rPr>
                <w:rFonts w:ascii="仿宋_GB2312" w:hAnsi="仿宋_GB2312" w:cs="仿宋_GB2312" w:eastAsia="仿宋_GB2312"/>
              </w:rPr>
              <w:t>商务和技术偏差表.docx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技术条款响应</w:t>
            </w:r>
          </w:p>
        </w:tc>
        <w:tc>
          <w:tcPr>
            <w:tcW w:type="dxa" w:w="3322"/>
          </w:tcPr>
          <w:p>
            <w:pPr>
              <w:pStyle w:val="null3"/>
            </w:pPr>
            <w:r>
              <w:rPr>
                <w:rFonts w:ascii="仿宋_GB2312" w:hAnsi="仿宋_GB2312" w:cs="仿宋_GB2312" w:eastAsia="仿宋_GB2312"/>
              </w:rPr>
              <w:t>供应商对磋商文件中“第三章 磋商项目技术、服务、商务及其他要求第 3.2.2 服务要求”的各项条款进行响应。</w:t>
            </w:r>
          </w:p>
        </w:tc>
        <w:tc>
          <w:tcPr>
            <w:tcW w:type="dxa" w:w="1661"/>
          </w:tcPr>
          <w:p>
            <w:pPr>
              <w:pStyle w:val="null3"/>
            </w:pPr>
            <w:r>
              <w:rPr>
                <w:rFonts w:ascii="仿宋_GB2312" w:hAnsi="仿宋_GB2312" w:cs="仿宋_GB2312" w:eastAsia="仿宋_GB2312"/>
              </w:rPr>
              <w:t>商务和技术偏差表.docx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前期策划方案</w:t>
            </w:r>
          </w:p>
        </w:tc>
        <w:tc>
          <w:tcPr>
            <w:tcW w:type="dxa" w:w="2492"/>
          </w:tcPr>
          <w:p>
            <w:pPr>
              <w:pStyle w:val="null3"/>
            </w:pPr>
            <w:r>
              <w:rPr>
                <w:rFonts w:ascii="仿宋_GB2312" w:hAnsi="仿宋_GB2312" w:cs="仿宋_GB2312" w:eastAsia="仿宋_GB2312"/>
              </w:rPr>
              <w:t>包括但不限于：①志愿者招募管理；②奖励奖牌采购及发放方案。方案各部分内容全面详细、阐述条理清晰详尽、符合本项目采购需求，每提供一项内容得2分，共计4分，每项内容每存在1项缺陷的，从2分中扣除0.5分，扣完为止。 备注：缺陷是指内容不合理、虽有内容但不完善、内容表述前后不一致、涉及的规范及标准错误、套用其他项目方案或与项目需求不匹配及其他不利于项目实施的等任意一种情形。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出服务方案，方案内容包含但不限于：①现场组织方案②场地维护养护方案③赛事相关资料的移交方案。实施方案须全面，实施步骤清晰、合理有针对性，满足项目需求，每提供一项内容得4分，共计12分，每项内容每存在1项缺陷的，从4分中扣除1分，扣完为止。 备注：缺陷是指内容不合理、虽有内容但不完善、内容表述前后不一致、涉及的规范及标准错误、套用其他项目方案或与项目需求不匹配及其他不利于项目实施的等任意一种情形。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针对本项目提出突发事件应急预案，预案内容包含:①运动损伤应急；②极端天气应急；③赛场秩序应急；④场地设施应急。预案全面详细、阐述条理清晰详尽、符合本项目采购需求，能保障本项目实施，每提供一项内容得3分，共计12分，每项内容每存在1项缺陷的，从3分中扣除1分，扣完为止。 备注：缺陷是指内容不合理、虽有内容但不完善、内容表述前后不一致、涉及的规范及标准错误、套用其他项目方案或与项目需求不匹配及其他不利于项目实施的等任意一种情形。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媒体推广方案</w:t>
            </w:r>
          </w:p>
        </w:tc>
        <w:tc>
          <w:tcPr>
            <w:tcW w:type="dxa" w:w="2492"/>
          </w:tcPr>
          <w:p>
            <w:pPr>
              <w:pStyle w:val="null3"/>
            </w:pPr>
            <w:r>
              <w:rPr>
                <w:rFonts w:ascii="仿宋_GB2312" w:hAnsi="仿宋_GB2312" w:cs="仿宋_GB2312" w:eastAsia="仿宋_GB2312"/>
              </w:rPr>
              <w:t>根据本项目需求，制定详细的媒体宣传推广方案方案，包括但不限于：①赛事专题拍摄方案；②线上线下媒体宣传推广方案；③赛事品牌打造等。 方案各部分内容全面详细、阐述条理清晰详尽、符合本项目采购需求，每提供一项内容得4分，共计12分，每项内容每存在1项缺陷的，从4分中扣除1分，扣完为止。 备注：缺陷是指内容不合理、虽有内容但不完善、内容表述前后不一致、涉及的规范及标准错误、套用其他项目方案或与项目需求不匹配及其他不利于项目实施的等任意一种情形。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项目团队配置1</w:t>
            </w:r>
          </w:p>
        </w:tc>
        <w:tc>
          <w:tcPr>
            <w:tcW w:type="dxa" w:w="2492"/>
          </w:tcPr>
          <w:p>
            <w:pPr>
              <w:pStyle w:val="null3"/>
            </w:pPr>
            <w:r>
              <w:rPr>
                <w:rFonts w:ascii="仿宋_GB2312" w:hAnsi="仿宋_GB2312" w:cs="仿宋_GB2312" w:eastAsia="仿宋_GB2312"/>
              </w:rPr>
              <w:t>拟派裁判员8人及以上，得15分； 拟派裁判员5人至8人（不含），得10分； 拟派裁判员2人及5人（不含），得5分； 注：裁判员须提供裁判员证书及身份证复印件正反面，未提供不得分。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项目团队配置.docx</w:t>
            </w:r>
          </w:p>
        </w:tc>
      </w:tr>
      <w:tr>
        <w:tc>
          <w:tcPr>
            <w:tcW w:type="dxa" w:w="831"/>
            <w:vMerge/>
          </w:tcPr>
          <w:p/>
        </w:tc>
        <w:tc>
          <w:tcPr>
            <w:tcW w:type="dxa" w:w="1661"/>
          </w:tcPr>
          <w:p>
            <w:pPr>
              <w:pStyle w:val="null3"/>
            </w:pPr>
            <w:r>
              <w:rPr>
                <w:rFonts w:ascii="仿宋_GB2312" w:hAnsi="仿宋_GB2312" w:cs="仿宋_GB2312" w:eastAsia="仿宋_GB2312"/>
              </w:rPr>
              <w:t>项目团队配置2</w:t>
            </w:r>
          </w:p>
        </w:tc>
        <w:tc>
          <w:tcPr>
            <w:tcW w:type="dxa" w:w="2492"/>
          </w:tcPr>
          <w:p>
            <w:pPr>
              <w:pStyle w:val="null3"/>
            </w:pPr>
            <w:r>
              <w:rPr>
                <w:rFonts w:ascii="仿宋_GB2312" w:hAnsi="仿宋_GB2312" w:cs="仿宋_GB2312" w:eastAsia="仿宋_GB2312"/>
              </w:rPr>
              <w:t>针对本项目配备专项服务团队，至少包括项目负责人、赛事统筹、礼仪人员、媒体宣传推广人员、现场安保人员、驻场医护辅助人员、运维技工、保洁人员等人员。 拟派人员20人及以上，得14分； 拟派人员15人至20人（不含），得9分； 拟派人员10人至15人（不含），得5分； 拟派人员5人至10人（不含），得3分； 注：拟派人员须提供身份证复印件正反面，未提供不得分。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项目团队配置.docx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1、供应商承诺组织1-2名专业摄影人员对每站比赛相关活动及赛事进行录像及图片拍摄，制作宣传视频不少于5条（不少于30秒钟），得4分； 2、供应商承诺对举办比赛体育场地相关联的风险和责任进行投保，此类保险应向受伤人员或者受损物品和财产进行合适数量赔偿，得4分； 3、供应商承诺在比赛场地提供医疗服务，并配备救护车和比赛常备药品，得4分。 注：未提供承诺书不得分。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提供2023年1月1日至响应文件递交截止时间止供应商类似项目合同案例，每提供一个得4分，满分4分。 注：①需提供业绩合同复印件并加盖供应商公章，日期以合同签订日期为准；②类似业绩是指赛事活动组织类；③未提供或所提供证明材料不符合要求的不得分。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近年完成的类似项目情况表.docx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满足竞争性磋商文件要求且最终报价最低的供应商的价格为磋商基准价，其价格分为满分。其他供应商的价格分统一按照下列公式计算：磋商报价得分=（磋商基准价/最后磋商报价）×分值；</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详见附件：商务和技术偏差表.docx</w:t>
      </w:r>
    </w:p>
    <w:p>
      <w:pPr>
        <w:pStyle w:val="null3"/>
        <w:ind w:firstLine="960"/>
      </w:pPr>
      <w:r>
        <w:rPr>
          <w:rFonts w:ascii="仿宋_GB2312" w:hAnsi="仿宋_GB2312" w:cs="仿宋_GB2312" w:eastAsia="仿宋_GB2312"/>
        </w:rPr>
        <w:t>详见附件：法定代表人身份证明或授权委托书.docx</w:t>
      </w:r>
    </w:p>
    <w:p>
      <w:pPr>
        <w:pStyle w:val="null3"/>
        <w:ind w:firstLine="960"/>
      </w:pPr>
      <w:r>
        <w:rPr>
          <w:rFonts w:ascii="仿宋_GB2312" w:hAnsi="仿宋_GB2312" w:cs="仿宋_GB2312" w:eastAsia="仿宋_GB2312"/>
        </w:rPr>
        <w:t>详见附件：资格审查资料.docx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详见附件：项目团队配置.docx</w:t>
      </w:r>
    </w:p>
    <w:p>
      <w:pPr>
        <w:pStyle w:val="null3"/>
        <w:ind w:firstLine="960"/>
      </w:pPr>
      <w:r>
        <w:rPr>
          <w:rFonts w:ascii="仿宋_GB2312" w:hAnsi="仿宋_GB2312" w:cs="仿宋_GB2312" w:eastAsia="仿宋_GB2312"/>
        </w:rPr>
        <w:t>详见附件：近年完成的类似项目情况表.docx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详见附件：合同样稿.docx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