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版本号：ZCSP-潼关县-2026-0004320260513001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潼关县2026年林业草原有害生物防治项目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ZCSP-潼关县-2026-00043</w:t>
      </w:r>
      <w:r>
        <w:br/>
      </w:r>
      <w:r>
        <w:br/>
      </w:r>
      <w:r>
        <w:br/>
      </w:r>
    </w:p>
    <w:p>
      <w:pPr>
        <w:pStyle w:val="null3"/>
        <w:jc w:val="center"/>
        <w:outlineLvl w:val="2"/>
      </w:pPr>
      <w:r>
        <w:rPr>
          <w:rFonts w:ascii="仿宋_GB2312" w:hAnsi="仿宋_GB2312" w:cs="仿宋_GB2312" w:eastAsia="仿宋_GB2312"/>
          <w:sz w:val="28"/>
          <w:b/>
        </w:rPr>
        <w:t>潼关县林业局</w:t>
      </w:r>
    </w:p>
    <w:p>
      <w:pPr>
        <w:pStyle w:val="null3"/>
        <w:jc w:val="center"/>
        <w:outlineLvl w:val="2"/>
      </w:pPr>
      <w:r>
        <w:rPr>
          <w:rFonts w:ascii="仿宋_GB2312" w:hAnsi="仿宋_GB2312" w:cs="仿宋_GB2312" w:eastAsia="仿宋_GB2312"/>
          <w:sz w:val="28"/>
          <w:b/>
        </w:rPr>
        <w:t>陕西三公泽利项目管理有限公司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陕西三公泽利项目管理有限公司</w:t>
      </w:r>
      <w:r>
        <w:rPr>
          <w:rFonts w:ascii="仿宋_GB2312" w:hAnsi="仿宋_GB2312" w:cs="仿宋_GB2312" w:eastAsia="仿宋_GB2312"/>
        </w:rPr>
        <w:t>（以下简称“代理机构”）受</w:t>
      </w:r>
      <w:r>
        <w:rPr>
          <w:rFonts w:ascii="仿宋_GB2312" w:hAnsi="仿宋_GB2312" w:cs="仿宋_GB2312" w:eastAsia="仿宋_GB2312"/>
        </w:rPr>
        <w:t>潼关县林业局</w:t>
      </w:r>
      <w:r>
        <w:rPr>
          <w:rFonts w:ascii="仿宋_GB2312" w:hAnsi="仿宋_GB2312" w:cs="仿宋_GB2312" w:eastAsia="仿宋_GB2312"/>
        </w:rPr>
        <w:t>委托，拟对</w:t>
      </w:r>
      <w:r>
        <w:rPr>
          <w:rFonts w:ascii="仿宋_GB2312" w:hAnsi="仿宋_GB2312" w:cs="仿宋_GB2312" w:eastAsia="仿宋_GB2312"/>
        </w:rPr>
        <w:t>潼关县2026年林业草原有害生物防治项目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ZCSP-潼关县-2026-00043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潼关县2026年林业草原有害生物防治项目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本项目在潼关县安乐镇潼峪村西潼峪与华阴市以及商洛市洛南县三县交邻处，采取无人机喷洒化学药剂方式开展飞防作业 1.5 万亩，预防性防治对象为松材线虫病等危害松类病虫害。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采购包1（潼关县2026年林业草原有害生物防治项目）：属于专门面向中小企业采购。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2、保证金：供应商提供磋商保证金缴纳凭证</w:t>
      </w:r>
    </w:p>
    <w:p>
      <w:pPr>
        <w:pStyle w:val="null3"/>
      </w:pPr>
      <w:r>
        <w:rPr>
          <w:rFonts w:ascii="仿宋_GB2312" w:hAnsi="仿宋_GB2312" w:cs="仿宋_GB2312" w:eastAsia="仿宋_GB2312"/>
        </w:rPr>
        <w:t>3、信誉要求：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4、关联关系：单位负责人为同一人或者存在直接控股、管理关系的不同投标人，不得参加同一合同项下的政府采购活动（供应商需提供企业关系关联承诺书）</w:t>
      </w:r>
    </w:p>
    <w:p>
      <w:pPr>
        <w:pStyle w:val="null3"/>
      </w:pPr>
      <w:r>
        <w:rPr>
          <w:rFonts w:ascii="仿宋_GB2312" w:hAnsi="仿宋_GB2312" w:cs="仿宋_GB2312" w:eastAsia="仿宋_GB2312"/>
        </w:rPr>
        <w:t>5、非联合体投标：本项目不接受联合体投标（供应商需提供非联合体投标承诺书）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潼关县中心街西段198号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0913-3822165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陕西三公泽利项目管理有限公司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陕西省西安市新城区建华路511号白桦林明天北区21号楼二单元2601室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17382622486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开户名称：陕西三公泽利项目管理有限公司</w:t>
            </w:r>
          </w:p>
          <w:p>
            <w:pPr>
              <w:pStyle w:val="null3"/>
            </w:pPr>
            <w:r>
              <w:rPr>
                <w:rFonts w:ascii="仿宋_GB2312" w:hAnsi="仿宋_GB2312" w:cs="仿宋_GB2312" w:eastAsia="仿宋_GB2312"/>
              </w:rPr>
              <w:t>开户银行：中国农业银行股份有限公司西安莲湖区支行</w:t>
            </w:r>
          </w:p>
          <w:p>
            <w:pPr>
              <w:pStyle w:val="null3"/>
            </w:pPr>
            <w:r>
              <w:rPr>
                <w:rFonts w:ascii="仿宋_GB2312" w:hAnsi="仿宋_GB2312" w:cs="仿宋_GB2312" w:eastAsia="仿宋_GB2312"/>
              </w:rPr>
              <w:t>银行账号：26142601040022646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按照《国家发展改革委关于进一步放开建设项目专业服务价格的通知》（发改价格﹝2015﹞299号）的要求，参照计价格﹝2002﹞1980号、发改价格﹝2011﹞534号文件的计费标准，以成交（成交）价为基数计算，按照标准收取，由成交供应 商在领取成交通知书前一次性付清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潼关县林业局</w:t>
      </w:r>
      <w:r>
        <w:rPr>
          <w:rFonts w:ascii="仿宋_GB2312" w:hAnsi="仿宋_GB2312" w:cs="仿宋_GB2312" w:eastAsia="仿宋_GB2312"/>
        </w:rPr>
        <w:t>和</w:t>
      </w:r>
      <w:r>
        <w:rPr>
          <w:rFonts w:ascii="仿宋_GB2312" w:hAnsi="仿宋_GB2312" w:cs="仿宋_GB2312" w:eastAsia="仿宋_GB2312"/>
        </w:rPr>
        <w:t>陕西三公泽利项目管理有限公司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陕西三公泽利项目管理有限公司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陕西三公泽利项目管理有限公司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详见“技术性能与指标”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联系人：李磊</w:t>
      </w:r>
    </w:p>
    <w:p>
      <w:pPr>
        <w:pStyle w:val="null3"/>
      </w:pPr>
      <w:r>
        <w:rPr>
          <w:rFonts w:ascii="仿宋_GB2312" w:hAnsi="仿宋_GB2312" w:cs="仿宋_GB2312" w:eastAsia="仿宋_GB2312"/>
        </w:rPr>
        <w:t>联系电话：17382622486</w:t>
      </w:r>
    </w:p>
    <w:p>
      <w:pPr>
        <w:pStyle w:val="null3"/>
      </w:pPr>
      <w:r>
        <w:rPr>
          <w:rFonts w:ascii="仿宋_GB2312" w:hAnsi="仿宋_GB2312" w:cs="仿宋_GB2312" w:eastAsia="仿宋_GB2312"/>
        </w:rPr>
        <w:t>地址：陕西省西安市新城区建华路511号白桦林明 天北区21号楼二单元2601室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本项目在潼关县安乐镇潼峪村西潼峪与华阴市以及商洛市洛南县三县交邻处，采取无人机喷洒化学药剂方式开展飞防作业 1.5 万亩，预防性防治对象为松材线虫病等危害松类病虫害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潼关县2026年林业草原有害生物防治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标的名称：潼关县2026年林业草原有害生物防治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00"/>
              </w:rPr>
              <w:t>一.项目名称</w:t>
            </w:r>
          </w:p>
          <w:p>
            <w:pPr>
              <w:pStyle w:val="null3"/>
            </w:pPr>
            <w:r>
              <w:rPr>
                <w:rFonts w:ascii="仿宋_GB2312" w:hAnsi="仿宋_GB2312" w:cs="仿宋_GB2312" w:eastAsia="仿宋_GB2312"/>
                <w:color w:val="000000"/>
              </w:rPr>
              <w:t>潼关县 2026 年省级财政林业草原改革发展资金林草有害生物防治项目</w:t>
            </w:r>
          </w:p>
          <w:p>
            <w:pPr>
              <w:pStyle w:val="null3"/>
            </w:pPr>
            <w:r>
              <w:rPr>
                <w:rFonts w:ascii="仿宋_GB2312" w:hAnsi="仿宋_GB2312" w:cs="仿宋_GB2312" w:eastAsia="仿宋_GB2312"/>
                <w:b/>
                <w:color w:val="000000"/>
              </w:rPr>
              <w:t>二.项目实施地点</w:t>
            </w:r>
          </w:p>
          <w:p>
            <w:pPr>
              <w:pStyle w:val="null3"/>
            </w:pPr>
            <w:r>
              <w:rPr>
                <w:rFonts w:ascii="仿宋_GB2312" w:hAnsi="仿宋_GB2312" w:cs="仿宋_GB2312" w:eastAsia="仿宋_GB2312"/>
                <w:color w:val="000000"/>
              </w:rPr>
              <w:t>潼关县安乐镇潼峪村西潼峪</w:t>
            </w:r>
          </w:p>
          <w:p>
            <w:pPr>
              <w:pStyle w:val="null3"/>
            </w:pPr>
            <w:r>
              <w:rPr>
                <w:rFonts w:ascii="仿宋_GB2312" w:hAnsi="仿宋_GB2312" w:cs="仿宋_GB2312" w:eastAsia="仿宋_GB2312"/>
                <w:b/>
                <w:color w:val="000000"/>
              </w:rPr>
              <w:t>三.项目主要建设内容及规模</w:t>
            </w:r>
          </w:p>
          <w:p>
            <w:pPr>
              <w:pStyle w:val="null3"/>
            </w:pPr>
            <w:r>
              <w:rPr>
                <w:rFonts w:ascii="仿宋_GB2312" w:hAnsi="仿宋_GB2312" w:cs="仿宋_GB2312" w:eastAsia="仿宋_GB2312"/>
                <w:color w:val="000000"/>
              </w:rPr>
              <w:t>本项目在潼关县安乐镇潼峪村西潼峪与华阴市以及商洛市洛南县三县交邻处，采取无人机喷洒化学药剂方式开展飞防作业 1.5 万亩，预防性防治对象为松材线虫病等危害松类病虫害。</w:t>
            </w:r>
          </w:p>
          <w:p>
            <w:pPr>
              <w:pStyle w:val="null3"/>
            </w:pPr>
            <w:r>
              <w:rPr>
                <w:rFonts w:ascii="仿宋_GB2312" w:hAnsi="仿宋_GB2312" w:cs="仿宋_GB2312" w:eastAsia="仿宋_GB2312"/>
                <w:b/>
                <w:color w:val="000000"/>
              </w:rPr>
              <w:t>四.服务内容</w:t>
            </w:r>
          </w:p>
          <w:p>
            <w:pPr>
              <w:pStyle w:val="null3"/>
            </w:pPr>
            <w:r>
              <w:rPr>
                <w:rFonts w:ascii="仿宋_GB2312" w:hAnsi="仿宋_GB2312" w:cs="仿宋_GB2312" w:eastAsia="仿宋_GB2312"/>
                <w:color w:val="000000"/>
              </w:rPr>
              <w:t>1.防治范围：覆盖潼关县安乐镇潼峪村西潼峪，总面积 1.5 万亩。</w:t>
            </w:r>
          </w:p>
          <w:p>
            <w:pPr>
              <w:pStyle w:val="null3"/>
            </w:pPr>
            <w:r>
              <w:rPr>
                <w:rFonts w:ascii="仿宋_GB2312" w:hAnsi="仿宋_GB2312" w:cs="仿宋_GB2312" w:eastAsia="仿宋_GB2312"/>
                <w:color w:val="000000"/>
              </w:rPr>
              <w:t>2.防治对象：松材线虫病等危害松类病虫害。</w:t>
            </w:r>
          </w:p>
          <w:p>
            <w:pPr>
              <w:pStyle w:val="null3"/>
            </w:pPr>
            <w:r>
              <w:rPr>
                <w:rFonts w:ascii="仿宋_GB2312" w:hAnsi="仿宋_GB2312" w:cs="仿宋_GB2312" w:eastAsia="仿宋_GB2312"/>
                <w:color w:val="000000"/>
              </w:rPr>
              <w:t>3.防治目标：使用无人机对重点区域松林喷洒化学和生物制剂预防性防治松材线虫病等危害松类病虫害，建立有害生物防控区，控制区域内媒介昆虫种群密度，确保松林安全。</w:t>
            </w:r>
          </w:p>
          <w:p>
            <w:pPr>
              <w:pStyle w:val="null3"/>
            </w:pPr>
            <w:r>
              <w:rPr>
                <w:rFonts w:ascii="仿宋_GB2312" w:hAnsi="仿宋_GB2312" w:cs="仿宋_GB2312" w:eastAsia="仿宋_GB2312"/>
                <w:color w:val="000000"/>
              </w:rPr>
              <w:t>4.防治药品</w:t>
            </w:r>
          </w:p>
          <w:p>
            <w:pPr>
              <w:pStyle w:val="null3"/>
            </w:pPr>
            <w:r>
              <w:rPr>
                <w:rFonts w:ascii="仿宋_GB2312" w:hAnsi="仿宋_GB2312" w:cs="仿宋_GB2312" w:eastAsia="仿宋_GB2312"/>
                <w:color w:val="000000"/>
              </w:rPr>
              <w:t>①药品选择</w:t>
            </w:r>
          </w:p>
          <w:p>
            <w:pPr>
              <w:pStyle w:val="null3"/>
            </w:pPr>
            <w:r>
              <w:rPr>
                <w:rFonts w:ascii="仿宋_GB2312" w:hAnsi="仿宋_GB2312" w:cs="仿宋_GB2312" w:eastAsia="仿宋_GB2312"/>
                <w:color w:val="000000"/>
              </w:rPr>
              <w:t xml:space="preserve">药品应选择三证齐全，符合国家标准的且产品质量符 </w:t>
            </w:r>
            <w:r>
              <w:rPr>
                <w:rFonts w:ascii="仿宋_GB2312" w:hAnsi="仿宋_GB2312" w:cs="仿宋_GB2312" w:eastAsia="仿宋_GB2312"/>
                <w:color w:val="000000"/>
              </w:rPr>
              <w:t xml:space="preserve">合相关标准的生物制剂，适合防治对象且对林木、作物、 </w:t>
            </w:r>
            <w:r>
              <w:rPr>
                <w:rFonts w:ascii="仿宋_GB2312" w:hAnsi="仿宋_GB2312" w:cs="仿宋_GB2312" w:eastAsia="仿宋_GB2312"/>
                <w:color w:val="000000"/>
              </w:rPr>
              <w:t xml:space="preserve">天敌及其它生物和生态环境安全的药剂品种。本次飞防松 </w:t>
            </w:r>
            <w:r>
              <w:rPr>
                <w:rFonts w:ascii="仿宋_GB2312" w:hAnsi="仿宋_GB2312" w:cs="仿宋_GB2312" w:eastAsia="仿宋_GB2312"/>
                <w:color w:val="000000"/>
              </w:rPr>
              <w:t xml:space="preserve">褐天牛的防治采用生物制剂：3%噻虫啉微囊悬浮剂和青皮 </w:t>
            </w:r>
            <w:r>
              <w:rPr>
                <w:rFonts w:ascii="仿宋_GB2312" w:hAnsi="仿宋_GB2312" w:cs="仿宋_GB2312" w:eastAsia="仿宋_GB2312"/>
                <w:color w:val="000000"/>
              </w:rPr>
              <w:t>桔油。</w:t>
            </w:r>
          </w:p>
          <w:p>
            <w:pPr>
              <w:pStyle w:val="null3"/>
            </w:pPr>
            <w:r>
              <w:rPr>
                <w:rFonts w:ascii="仿宋_GB2312" w:hAnsi="仿宋_GB2312" w:cs="仿宋_GB2312" w:eastAsia="仿宋_GB2312"/>
                <w:color w:val="000000"/>
              </w:rPr>
              <w:t>②药品调配</w:t>
            </w:r>
          </w:p>
          <w:p>
            <w:pPr>
              <w:pStyle w:val="null3"/>
            </w:pPr>
            <w:r>
              <w:rPr>
                <w:rFonts w:ascii="仿宋_GB2312" w:hAnsi="仿宋_GB2312" w:cs="仿宋_GB2312" w:eastAsia="仿宋_GB2312"/>
                <w:color w:val="000000"/>
              </w:rPr>
              <w:t xml:space="preserve">药品调配工作由飞防施工单位承担，操作过程应符合 </w:t>
            </w:r>
            <w:r>
              <w:rPr>
                <w:rFonts w:ascii="仿宋_GB2312" w:hAnsi="仿宋_GB2312" w:cs="仿宋_GB2312" w:eastAsia="仿宋_GB2312"/>
                <w:color w:val="000000"/>
              </w:rPr>
              <w:t>农药安全使用规范（NY/T1276）、农药储运、销售和使用</w:t>
            </w:r>
            <w:r>
              <w:rPr>
                <w:rFonts w:ascii="仿宋_GB2312" w:hAnsi="仿宋_GB2312" w:cs="仿宋_GB2312" w:eastAsia="仿宋_GB2312"/>
                <w:color w:val="000000"/>
              </w:rPr>
              <w:t xml:space="preserve">的防毒规程（GB12475），飞防施工单位对配备装药过程的 </w:t>
            </w:r>
            <w:r>
              <w:rPr>
                <w:rFonts w:ascii="仿宋_GB2312" w:hAnsi="仿宋_GB2312" w:cs="仿宋_GB2312" w:eastAsia="仿宋_GB2312"/>
                <w:color w:val="000000"/>
              </w:rPr>
              <w:t>安全性负责。</w:t>
            </w:r>
          </w:p>
          <w:p>
            <w:pPr>
              <w:pStyle w:val="null3"/>
            </w:pPr>
            <w:r>
              <w:rPr>
                <w:rFonts w:ascii="仿宋_GB2312" w:hAnsi="仿宋_GB2312" w:cs="仿宋_GB2312" w:eastAsia="仿宋_GB2312"/>
                <w:color w:val="000000"/>
              </w:rPr>
              <w:t>③药量设计</w:t>
            </w:r>
          </w:p>
          <w:p>
            <w:pPr>
              <w:pStyle w:val="null3"/>
            </w:pPr>
            <w:r>
              <w:rPr>
                <w:rFonts w:ascii="仿宋_GB2312" w:hAnsi="仿宋_GB2312" w:cs="仿宋_GB2312" w:eastAsia="仿宋_GB2312"/>
                <w:color w:val="000000"/>
              </w:rPr>
              <w:t xml:space="preserve">3%噻虫啉微囊悬浮剂 70 毫升/亩，青皮桔油 5 毫升/ </w:t>
            </w:r>
            <w:r>
              <w:rPr>
                <w:rFonts w:ascii="仿宋_GB2312" w:hAnsi="仿宋_GB2312" w:cs="仿宋_GB2312" w:eastAsia="仿宋_GB2312"/>
                <w:color w:val="000000"/>
              </w:rPr>
              <w:t>亩，每亩喷洒 1 升混合药液。药品配比应按照药品说明书</w:t>
            </w:r>
            <w:r>
              <w:rPr>
                <w:rFonts w:ascii="仿宋_GB2312" w:hAnsi="仿宋_GB2312" w:cs="仿宋_GB2312" w:eastAsia="仿宋_GB2312"/>
                <w:color w:val="000000"/>
              </w:rPr>
              <w:t>进行配比，不能少于药品浓度最低配比。</w:t>
            </w:r>
          </w:p>
          <w:p>
            <w:pPr>
              <w:pStyle w:val="null3"/>
            </w:pPr>
            <w:r>
              <w:rPr>
                <w:rFonts w:ascii="仿宋_GB2312" w:hAnsi="仿宋_GB2312" w:cs="仿宋_GB2312" w:eastAsia="仿宋_GB2312"/>
                <w:color w:val="000000"/>
              </w:rPr>
              <w:t>5.飞防作业要求</w:t>
            </w:r>
          </w:p>
          <w:p>
            <w:pPr>
              <w:pStyle w:val="null3"/>
            </w:pPr>
            <w:r>
              <w:rPr>
                <w:rFonts w:ascii="仿宋_GB2312" w:hAnsi="仿宋_GB2312" w:cs="仿宋_GB2312" w:eastAsia="仿宋_GB2312"/>
                <w:color w:val="000000"/>
              </w:rPr>
              <w:t>①飞防作业前公告</w:t>
            </w:r>
          </w:p>
          <w:p>
            <w:pPr>
              <w:pStyle w:val="null3"/>
            </w:pPr>
            <w:r>
              <w:rPr>
                <w:rFonts w:ascii="仿宋_GB2312" w:hAnsi="仿宋_GB2312" w:cs="仿宋_GB2312" w:eastAsia="仿宋_GB2312"/>
                <w:color w:val="000000"/>
              </w:rPr>
              <w:t>应于飞防作业前 15 天，通过广播、电视和张贴通告等</w:t>
            </w:r>
            <w:r>
              <w:rPr>
                <w:rFonts w:ascii="仿宋_GB2312" w:hAnsi="仿宋_GB2312" w:cs="仿宋_GB2312" w:eastAsia="仿宋_GB2312"/>
                <w:color w:val="000000"/>
              </w:rPr>
              <w:t>形式向飞防区所在乡镇和村、组发出飞防作业安全防护须</w:t>
            </w:r>
            <w:r>
              <w:rPr>
                <w:rFonts w:ascii="仿宋_GB2312" w:hAnsi="仿宋_GB2312" w:cs="仿宋_GB2312" w:eastAsia="仿宋_GB2312"/>
                <w:color w:val="000000"/>
              </w:rPr>
              <w:t>知，飞防作业期间不得进入作业区放牧，游玩、挖野菜</w:t>
            </w:r>
            <w:r>
              <w:rPr>
                <w:rFonts w:ascii="仿宋_GB2312" w:hAnsi="仿宋_GB2312" w:cs="仿宋_GB2312" w:eastAsia="仿宋_GB2312"/>
                <w:color w:val="000000"/>
              </w:rPr>
              <w:t>等。提前调查飞防作业区范围内是否有养蚕、养鱼、养蜂</w:t>
            </w:r>
            <w:r>
              <w:rPr>
                <w:rFonts w:ascii="仿宋_GB2312" w:hAnsi="仿宋_GB2312" w:cs="仿宋_GB2312" w:eastAsia="仿宋_GB2312"/>
                <w:color w:val="000000"/>
              </w:rPr>
              <w:t>和饲养林下动物的企业或农户，提前做好应对处置工作，</w:t>
            </w:r>
            <w:r>
              <w:rPr>
                <w:rFonts w:ascii="仿宋_GB2312" w:hAnsi="仿宋_GB2312" w:cs="仿宋_GB2312" w:eastAsia="仿宋_GB2312"/>
                <w:color w:val="000000"/>
              </w:rPr>
              <w:t>避免发生意外事件。</w:t>
            </w:r>
          </w:p>
          <w:p>
            <w:pPr>
              <w:pStyle w:val="null3"/>
            </w:pPr>
            <w:r>
              <w:rPr>
                <w:rFonts w:ascii="仿宋_GB2312" w:hAnsi="仿宋_GB2312" w:cs="仿宋_GB2312" w:eastAsia="仿宋_GB2312"/>
                <w:color w:val="000000"/>
              </w:rPr>
              <w:t>②飞行作业航高</w:t>
            </w:r>
          </w:p>
          <w:p>
            <w:pPr>
              <w:pStyle w:val="null3"/>
            </w:pPr>
            <w:r>
              <w:rPr>
                <w:rFonts w:ascii="仿宋_GB2312" w:hAnsi="仿宋_GB2312" w:cs="仿宋_GB2312" w:eastAsia="仿宋_GB2312"/>
                <w:color w:val="000000"/>
              </w:rPr>
              <w:t>无人机飞行高度一般要求保持在离树梢 5-10 米；复杂</w:t>
            </w:r>
            <w:r>
              <w:rPr>
                <w:rFonts w:ascii="仿宋_GB2312" w:hAnsi="仿宋_GB2312" w:cs="仿宋_GB2312" w:eastAsia="仿宋_GB2312"/>
                <w:color w:val="000000"/>
              </w:rPr>
              <w:t>地形飞行作业高度可适当提高，离树梢不得超过 20 米，但</w:t>
            </w:r>
            <w:r>
              <w:rPr>
                <w:rFonts w:ascii="仿宋_GB2312" w:hAnsi="仿宋_GB2312" w:cs="仿宋_GB2312" w:eastAsia="仿宋_GB2312"/>
                <w:color w:val="000000"/>
              </w:rPr>
              <w:t>必须保证作业质量。飞手应该注意有通信塔和高压线的作</w:t>
            </w:r>
            <w:r>
              <w:rPr>
                <w:rFonts w:ascii="仿宋_GB2312" w:hAnsi="仿宋_GB2312" w:cs="仿宋_GB2312" w:eastAsia="仿宋_GB2312"/>
                <w:color w:val="000000"/>
              </w:rPr>
              <w:t>业区飞行高度。</w:t>
            </w:r>
          </w:p>
          <w:p>
            <w:pPr>
              <w:pStyle w:val="null3"/>
            </w:pPr>
            <w:r>
              <w:rPr>
                <w:rFonts w:ascii="仿宋_GB2312" w:hAnsi="仿宋_GB2312" w:cs="仿宋_GB2312" w:eastAsia="仿宋_GB2312"/>
                <w:color w:val="000000"/>
              </w:rPr>
              <w:t>③飞行作业速度及喷幅要求</w:t>
            </w:r>
          </w:p>
          <w:p>
            <w:pPr>
              <w:pStyle w:val="null3"/>
            </w:pPr>
            <w:r>
              <w:rPr>
                <w:rFonts w:ascii="仿宋_GB2312" w:hAnsi="仿宋_GB2312" w:cs="仿宋_GB2312" w:eastAsia="仿宋_GB2312"/>
                <w:color w:val="000000"/>
              </w:rPr>
              <w:t xml:space="preserve">作业速度 3 米/秒，喷幅要求为 5-10 米（视飞行速 </w:t>
            </w:r>
            <w:r>
              <w:rPr>
                <w:rFonts w:ascii="仿宋_GB2312" w:hAnsi="仿宋_GB2312" w:cs="仿宋_GB2312" w:eastAsia="仿宋_GB2312"/>
                <w:color w:val="000000"/>
              </w:rPr>
              <w:t>度、高度、环境进行调整）。</w:t>
            </w:r>
          </w:p>
          <w:p>
            <w:pPr>
              <w:pStyle w:val="null3"/>
            </w:pPr>
            <w:r>
              <w:rPr>
                <w:rFonts w:ascii="仿宋_GB2312" w:hAnsi="仿宋_GB2312" w:cs="仿宋_GB2312" w:eastAsia="仿宋_GB2312"/>
                <w:color w:val="000000"/>
              </w:rPr>
              <w:t>④飞行作业工日</w:t>
            </w:r>
          </w:p>
          <w:p>
            <w:pPr>
              <w:pStyle w:val="null3"/>
            </w:pPr>
            <w:r>
              <w:rPr>
                <w:rFonts w:ascii="仿宋_GB2312" w:hAnsi="仿宋_GB2312" w:cs="仿宋_GB2312" w:eastAsia="仿宋_GB2312"/>
                <w:color w:val="000000"/>
              </w:rPr>
              <w:t>按照每架次载药量 80 千克，日防治面积 1200 亩，防</w:t>
            </w:r>
            <w:r>
              <w:rPr>
                <w:rFonts w:ascii="仿宋_GB2312" w:hAnsi="仿宋_GB2312" w:cs="仿宋_GB2312" w:eastAsia="仿宋_GB2312"/>
                <w:color w:val="000000"/>
              </w:rPr>
              <w:t>治面积 1.5 万亩共需飞行作业 12.5 个工作日。</w:t>
            </w:r>
          </w:p>
          <w:p>
            <w:pPr>
              <w:pStyle w:val="null3"/>
            </w:pPr>
            <w:r>
              <w:rPr>
                <w:rFonts w:ascii="仿宋_GB2312" w:hAnsi="仿宋_GB2312" w:cs="仿宋_GB2312" w:eastAsia="仿宋_GB2312"/>
                <w:color w:val="000000"/>
              </w:rPr>
              <w:t>⑤飞防作业用工量</w:t>
            </w:r>
          </w:p>
          <w:p>
            <w:pPr>
              <w:pStyle w:val="null3"/>
            </w:pPr>
            <w:r>
              <w:rPr>
                <w:rFonts w:ascii="仿宋_GB2312" w:hAnsi="仿宋_GB2312" w:cs="仿宋_GB2312" w:eastAsia="仿宋_GB2312"/>
                <w:color w:val="000000"/>
              </w:rPr>
              <w:t xml:space="preserve">根据飞防工作量，共需要工作人员 7 人，其中作业操 </w:t>
            </w:r>
            <w:r>
              <w:rPr>
                <w:rFonts w:ascii="仿宋_GB2312" w:hAnsi="仿宋_GB2312" w:cs="仿宋_GB2312" w:eastAsia="仿宋_GB2312"/>
                <w:color w:val="000000"/>
              </w:rPr>
              <w:t>作人员 4 人（包括控制测绘无人机、作业无人机、汽油发</w:t>
            </w:r>
            <w:r>
              <w:rPr>
                <w:rFonts w:ascii="仿宋_GB2312" w:hAnsi="仿宋_GB2312" w:cs="仿宋_GB2312" w:eastAsia="仿宋_GB2312"/>
                <w:color w:val="000000"/>
              </w:rPr>
              <w:t>电机、注药泵等），后勤保障 3 人，配备 3 辆工作用车。</w:t>
            </w:r>
          </w:p>
          <w:p>
            <w:pPr>
              <w:pStyle w:val="null3"/>
            </w:pPr>
            <w:r>
              <w:rPr>
                <w:rFonts w:ascii="仿宋_GB2312" w:hAnsi="仿宋_GB2312" w:cs="仿宋_GB2312" w:eastAsia="仿宋_GB2312"/>
                <w:color w:val="000000"/>
              </w:rPr>
              <w:t>6.飞防作业程序</w:t>
            </w:r>
          </w:p>
          <w:p>
            <w:pPr>
              <w:pStyle w:val="null3"/>
            </w:pPr>
            <w:r>
              <w:rPr>
                <w:rFonts w:ascii="仿宋_GB2312" w:hAnsi="仿宋_GB2312" w:cs="仿宋_GB2312" w:eastAsia="仿宋_GB2312"/>
                <w:color w:val="000000"/>
              </w:rPr>
              <w:t>①测绘</w:t>
            </w:r>
          </w:p>
          <w:p>
            <w:pPr>
              <w:pStyle w:val="null3"/>
            </w:pPr>
            <w:r>
              <w:rPr>
                <w:rFonts w:ascii="仿宋_GB2312" w:hAnsi="仿宋_GB2312" w:cs="仿宋_GB2312" w:eastAsia="仿宋_GB2312"/>
                <w:color w:val="000000"/>
              </w:rPr>
              <w:t>利用无人机进行高精度航拍作业区域，采集汇总避让</w:t>
            </w:r>
            <w:r>
              <w:rPr>
                <w:rFonts w:ascii="仿宋_GB2312" w:hAnsi="仿宋_GB2312" w:cs="仿宋_GB2312" w:eastAsia="仿宋_GB2312"/>
                <w:color w:val="000000"/>
              </w:rPr>
              <w:t>区域。使用 RTK 定位系统对飞防区域内的养殖区、养蜂</w:t>
            </w:r>
            <w:r>
              <w:rPr>
                <w:rFonts w:ascii="仿宋_GB2312" w:hAnsi="仿宋_GB2312" w:cs="仿宋_GB2312" w:eastAsia="仿宋_GB2312"/>
                <w:color w:val="000000"/>
              </w:rPr>
              <w:t>区、高大建筑物等一切可能产生次生灾害的区域进行准确</w:t>
            </w:r>
            <w:r>
              <w:rPr>
                <w:rFonts w:ascii="仿宋_GB2312" w:hAnsi="仿宋_GB2312" w:cs="仿宋_GB2312" w:eastAsia="仿宋_GB2312"/>
                <w:color w:val="000000"/>
              </w:rPr>
              <w:t>定位和标注，减少作业存在的安全风险。</w:t>
            </w:r>
          </w:p>
          <w:p>
            <w:pPr>
              <w:pStyle w:val="null3"/>
            </w:pPr>
            <w:r>
              <w:rPr>
                <w:rFonts w:ascii="仿宋_GB2312" w:hAnsi="仿宋_GB2312" w:cs="仿宋_GB2312" w:eastAsia="仿宋_GB2312"/>
                <w:color w:val="000000"/>
              </w:rPr>
              <w:t>②选择起降平台</w:t>
            </w:r>
          </w:p>
          <w:p>
            <w:pPr>
              <w:pStyle w:val="null3"/>
            </w:pPr>
            <w:r>
              <w:rPr>
                <w:rFonts w:ascii="仿宋_GB2312" w:hAnsi="仿宋_GB2312" w:cs="仿宋_GB2312" w:eastAsia="仿宋_GB2312"/>
                <w:color w:val="000000"/>
              </w:rPr>
              <w:t>经过现地考察后选择宽阔且平坦的地势进行起降点选</w:t>
            </w:r>
            <w:r>
              <w:rPr>
                <w:rFonts w:ascii="仿宋_GB2312" w:hAnsi="仿宋_GB2312" w:cs="仿宋_GB2312" w:eastAsia="仿宋_GB2312"/>
                <w:color w:val="000000"/>
              </w:rPr>
              <w:t>择，在确定起降点后设立警戒线及标牌标识，提醒周边居</w:t>
            </w:r>
            <w:r>
              <w:rPr>
                <w:rFonts w:ascii="仿宋_GB2312" w:hAnsi="仿宋_GB2312" w:cs="仿宋_GB2312" w:eastAsia="仿宋_GB2312"/>
                <w:color w:val="000000"/>
              </w:rPr>
              <w:t>民或闲散人员避免发生因人员进入作业区而造成的安全事</w:t>
            </w:r>
            <w:r>
              <w:rPr>
                <w:rFonts w:ascii="仿宋_GB2312" w:hAnsi="仿宋_GB2312" w:cs="仿宋_GB2312" w:eastAsia="仿宋_GB2312"/>
                <w:color w:val="000000"/>
              </w:rPr>
              <w:t>故。</w:t>
            </w:r>
          </w:p>
          <w:p>
            <w:pPr>
              <w:pStyle w:val="null3"/>
            </w:pPr>
            <w:r>
              <w:rPr>
                <w:rFonts w:ascii="仿宋_GB2312" w:hAnsi="仿宋_GB2312" w:cs="仿宋_GB2312" w:eastAsia="仿宋_GB2312"/>
                <w:color w:val="000000"/>
              </w:rPr>
              <w:t>③作业前航线设计</w:t>
            </w:r>
          </w:p>
          <w:p>
            <w:pPr>
              <w:pStyle w:val="null3"/>
            </w:pPr>
            <w:r>
              <w:rPr>
                <w:rFonts w:ascii="仿宋_GB2312" w:hAnsi="仿宋_GB2312" w:cs="仿宋_GB2312" w:eastAsia="仿宋_GB2312"/>
                <w:color w:val="000000"/>
              </w:rPr>
              <w:t>在作业前进行作业区域框选，选择即将作业的区域，</w:t>
            </w:r>
            <w:r>
              <w:rPr>
                <w:rFonts w:ascii="仿宋_GB2312" w:hAnsi="仿宋_GB2312" w:cs="仿宋_GB2312" w:eastAsia="仿宋_GB2312"/>
                <w:color w:val="000000"/>
              </w:rPr>
              <w:t>按照面积进行作业航线规划，本次项目所使用的无人机具</w:t>
            </w:r>
            <w:r>
              <w:rPr>
                <w:rFonts w:ascii="仿宋_GB2312" w:hAnsi="仿宋_GB2312" w:cs="仿宋_GB2312" w:eastAsia="仿宋_GB2312"/>
                <w:color w:val="000000"/>
              </w:rPr>
              <w:t>备自主航线规划功能，系统将自行规划即将作业航线，在</w:t>
            </w:r>
            <w:r>
              <w:rPr>
                <w:rFonts w:ascii="仿宋_GB2312" w:hAnsi="仿宋_GB2312" w:cs="仿宋_GB2312" w:eastAsia="仿宋_GB2312"/>
                <w:color w:val="000000"/>
              </w:rPr>
              <w:t>本次航线未完成时如无人机药品消耗完成或电池续航不够</w:t>
            </w:r>
            <w:r>
              <w:rPr>
                <w:rFonts w:ascii="仿宋_GB2312" w:hAnsi="仿宋_GB2312" w:cs="仿宋_GB2312" w:eastAsia="仿宋_GB2312"/>
                <w:color w:val="000000"/>
              </w:rPr>
              <w:t>时，无人机将自动返回起降点，在重新更换电池及药桶后</w:t>
            </w:r>
            <w:r>
              <w:rPr>
                <w:rFonts w:ascii="仿宋_GB2312" w:hAnsi="仿宋_GB2312" w:cs="仿宋_GB2312" w:eastAsia="仿宋_GB2312"/>
                <w:color w:val="000000"/>
              </w:rPr>
              <w:t>飞机将延续未作业完成航线继续作业。</w:t>
            </w:r>
          </w:p>
          <w:p>
            <w:pPr>
              <w:pStyle w:val="null3"/>
            </w:pPr>
            <w:r>
              <w:rPr>
                <w:rFonts w:ascii="仿宋_GB2312" w:hAnsi="仿宋_GB2312" w:cs="仿宋_GB2312" w:eastAsia="仿宋_GB2312"/>
                <w:color w:val="000000"/>
              </w:rPr>
              <w:t>④安放雾滴试纸</w:t>
            </w:r>
          </w:p>
          <w:p>
            <w:pPr>
              <w:pStyle w:val="null3"/>
            </w:pPr>
            <w:r>
              <w:rPr>
                <w:rFonts w:ascii="仿宋_GB2312" w:hAnsi="仿宋_GB2312" w:cs="仿宋_GB2312" w:eastAsia="仿宋_GB2312"/>
                <w:color w:val="000000"/>
              </w:rPr>
              <w:t>在作业区设置标准地，标准地内选择 3 株作为标准</w:t>
            </w:r>
            <w:r>
              <w:rPr>
                <w:rFonts w:ascii="仿宋_GB2312" w:hAnsi="仿宋_GB2312" w:cs="仿宋_GB2312" w:eastAsia="仿宋_GB2312"/>
                <w:color w:val="000000"/>
              </w:rPr>
              <w:t>株，在每株标准株中下部设置水敏试纸若干，喷药结束后</w:t>
            </w:r>
            <w:r>
              <w:rPr>
                <w:rFonts w:ascii="仿宋_GB2312" w:hAnsi="仿宋_GB2312" w:cs="仿宋_GB2312" w:eastAsia="仿宋_GB2312"/>
                <w:color w:val="000000"/>
              </w:rPr>
              <w:t>取回检查雾滴数量，每平方厘米不低于 30 个雾滴。</w:t>
            </w:r>
          </w:p>
          <w:p>
            <w:pPr>
              <w:pStyle w:val="null3"/>
            </w:pPr>
            <w:r>
              <w:rPr>
                <w:rFonts w:ascii="仿宋_GB2312" w:hAnsi="仿宋_GB2312" w:cs="仿宋_GB2312" w:eastAsia="仿宋_GB2312"/>
                <w:color w:val="000000"/>
              </w:rPr>
              <w:t>⑤开始作业</w:t>
            </w:r>
          </w:p>
          <w:p>
            <w:pPr>
              <w:pStyle w:val="null3"/>
            </w:pPr>
            <w:r>
              <w:rPr>
                <w:rFonts w:ascii="仿宋_GB2312" w:hAnsi="仿宋_GB2312" w:cs="仿宋_GB2312" w:eastAsia="仿宋_GB2312"/>
                <w:color w:val="000000"/>
              </w:rPr>
              <w:t>在完成上述准备工作后，将配备好的药箱放入飞机</w:t>
            </w:r>
            <w:r>
              <w:rPr>
                <w:rFonts w:ascii="仿宋_GB2312" w:hAnsi="仿宋_GB2312" w:cs="仿宋_GB2312" w:eastAsia="仿宋_GB2312"/>
                <w:color w:val="000000"/>
              </w:rPr>
              <w:t>后，飞机将进行自主作业，过程无需人员手动控制，飞机</w:t>
            </w:r>
            <w:r>
              <w:rPr>
                <w:rFonts w:ascii="仿宋_GB2312" w:hAnsi="仿宋_GB2312" w:cs="仿宋_GB2312" w:eastAsia="仿宋_GB2312"/>
                <w:color w:val="000000"/>
              </w:rPr>
              <w:t>将按照测绘好的航线航路进行仿地飞行，飞机作业时，飞</w:t>
            </w:r>
            <w:r>
              <w:rPr>
                <w:rFonts w:ascii="仿宋_GB2312" w:hAnsi="仿宋_GB2312" w:cs="仿宋_GB2312" w:eastAsia="仿宋_GB2312"/>
                <w:color w:val="000000"/>
              </w:rPr>
              <w:t>行高度一般要求保持在离树梢 5-10 米；复杂地形或城区周</w:t>
            </w:r>
            <w:r>
              <w:rPr>
                <w:rFonts w:ascii="仿宋_GB2312" w:hAnsi="仿宋_GB2312" w:cs="仿宋_GB2312" w:eastAsia="仿宋_GB2312"/>
                <w:color w:val="000000"/>
              </w:rPr>
              <w:t>围飞行作业高度可适当提高，离树梢 10-15 米，但必须保</w:t>
            </w:r>
            <w:r>
              <w:rPr>
                <w:rFonts w:ascii="仿宋_GB2312" w:hAnsi="仿宋_GB2312" w:cs="仿宋_GB2312" w:eastAsia="仿宋_GB2312"/>
                <w:color w:val="000000"/>
              </w:rPr>
              <w:t>证作业质量。喷雾的有效幅宽为 10 米，飞行速度 6 米/</w:t>
            </w:r>
            <w:r>
              <w:rPr>
                <w:rFonts w:ascii="仿宋_GB2312" w:hAnsi="仿宋_GB2312" w:cs="仿宋_GB2312" w:eastAsia="仿宋_GB2312"/>
                <w:color w:val="000000"/>
              </w:rPr>
              <w:t>秒。在风速大于 10 米/秒、能见度小于 1500 米，大气温度</w:t>
            </w:r>
            <w:r>
              <w:rPr>
                <w:rFonts w:ascii="仿宋_GB2312" w:hAnsi="仿宋_GB2312" w:cs="仿宋_GB2312" w:eastAsia="仿宋_GB2312"/>
                <w:color w:val="000000"/>
              </w:rPr>
              <w:t>超过 35℃或下雨天时，停止飞行作业。</w:t>
            </w:r>
            <w:r>
              <w:rPr>
                <w:rFonts w:ascii="仿宋_GB2312" w:hAnsi="仿宋_GB2312" w:cs="仿宋_GB2312" w:eastAsia="仿宋_GB2312"/>
                <w:color w:val="000000"/>
              </w:rPr>
              <w:t>搞好地空配合，及时传递飞防区域喷药质量信息，以</w:t>
            </w:r>
            <w:r>
              <w:rPr>
                <w:rFonts w:ascii="仿宋_GB2312" w:hAnsi="仿宋_GB2312" w:cs="仿宋_GB2312" w:eastAsia="仿宋_GB2312"/>
                <w:color w:val="000000"/>
              </w:rPr>
              <w:t xml:space="preserve">便飞机空中修正因风力、其它因素造成的飞行偏差，确保 </w:t>
            </w:r>
            <w:r>
              <w:rPr>
                <w:rFonts w:ascii="仿宋_GB2312" w:hAnsi="仿宋_GB2312" w:cs="仿宋_GB2312" w:eastAsia="仿宋_GB2312"/>
                <w:color w:val="000000"/>
              </w:rPr>
              <w:t xml:space="preserve">飞防作业质量。在飞机作业过程中地面人员进行地面检 </w:t>
            </w:r>
            <w:r>
              <w:rPr>
                <w:rFonts w:ascii="仿宋_GB2312" w:hAnsi="仿宋_GB2312" w:cs="仿宋_GB2312" w:eastAsia="仿宋_GB2312"/>
                <w:color w:val="000000"/>
              </w:rPr>
              <w:t>查，在发现不符合标准时进行及时纠正，适当调整飞机雾</w:t>
            </w:r>
            <w:r>
              <w:rPr>
                <w:rFonts w:ascii="仿宋_GB2312" w:hAnsi="仿宋_GB2312" w:cs="仿宋_GB2312" w:eastAsia="仿宋_GB2312"/>
                <w:color w:val="000000"/>
              </w:rPr>
              <w:t>滴大小及飞行速度，达到满意效果。</w:t>
            </w:r>
          </w:p>
          <w:p>
            <w:pPr>
              <w:pStyle w:val="null3"/>
            </w:pPr>
            <w:r>
              <w:rPr>
                <w:rFonts w:ascii="仿宋_GB2312" w:hAnsi="仿宋_GB2312" w:cs="仿宋_GB2312" w:eastAsia="仿宋_GB2312"/>
                <w:color w:val="000000"/>
              </w:rPr>
              <w:t>⑥导航方法设计</w:t>
            </w:r>
          </w:p>
          <w:p>
            <w:pPr>
              <w:pStyle w:val="null3"/>
            </w:pPr>
            <w:r>
              <w:rPr>
                <w:rFonts w:ascii="仿宋_GB2312" w:hAnsi="仿宋_GB2312" w:cs="仿宋_GB2312" w:eastAsia="仿宋_GB2312"/>
                <w:color w:val="000000"/>
              </w:rPr>
              <w:t>无人机防治采用 GPS 导航。GPS 导航数据由无人机操作</w:t>
            </w:r>
            <w:r>
              <w:rPr>
                <w:rFonts w:ascii="仿宋_GB2312" w:hAnsi="仿宋_GB2312" w:cs="仿宋_GB2312" w:eastAsia="仿宋_GB2312"/>
                <w:color w:val="000000"/>
              </w:rPr>
              <w:t>员按照设计提前输入、调试、核对和应用，一旦发现问</w:t>
            </w:r>
            <w:r>
              <w:rPr>
                <w:rFonts w:ascii="仿宋_GB2312" w:hAnsi="仿宋_GB2312" w:cs="仿宋_GB2312" w:eastAsia="仿宋_GB2312"/>
                <w:color w:val="000000"/>
              </w:rPr>
              <w:t>题，及时纠正，避免造成误飞或遗漏。</w:t>
            </w:r>
          </w:p>
          <w:p>
            <w:pPr>
              <w:pStyle w:val="null3"/>
            </w:pPr>
            <w:r>
              <w:rPr>
                <w:rFonts w:ascii="仿宋_GB2312" w:hAnsi="仿宋_GB2312" w:cs="仿宋_GB2312" w:eastAsia="仿宋_GB2312"/>
                <w:color w:val="000000"/>
              </w:rPr>
              <w:t>⑦无人机作业技术要求</w:t>
            </w:r>
          </w:p>
          <w:p>
            <w:pPr>
              <w:pStyle w:val="null3"/>
            </w:pPr>
            <w:r>
              <w:rPr>
                <w:rFonts w:ascii="仿宋_GB2312" w:hAnsi="仿宋_GB2312" w:cs="仿宋_GB2312" w:eastAsia="仿宋_GB2312"/>
                <w:color w:val="000000"/>
              </w:rPr>
              <w:t>为保证无人机作业质量和飞行安全，无人机操作员会</w:t>
            </w:r>
            <w:r>
              <w:rPr>
                <w:rFonts w:ascii="仿宋_GB2312" w:hAnsi="仿宋_GB2312" w:cs="仿宋_GB2312" w:eastAsia="仿宋_GB2312"/>
                <w:color w:val="000000"/>
              </w:rPr>
              <w:t xml:space="preserve">做到以下几点： </w:t>
            </w:r>
            <w:r>
              <w:rPr>
                <w:rFonts w:ascii="仿宋_GB2312" w:hAnsi="仿宋_GB2312" w:cs="仿宋_GB2312" w:eastAsia="仿宋_GB2312"/>
                <w:color w:val="000000"/>
              </w:rPr>
              <w:t xml:space="preserve">防治作业前，无人机操作员了解飞防区域周围地形、 </w:t>
            </w:r>
            <w:r>
              <w:rPr>
                <w:rFonts w:ascii="仿宋_GB2312" w:hAnsi="仿宋_GB2312" w:cs="仿宋_GB2312" w:eastAsia="仿宋_GB2312"/>
                <w:color w:val="000000"/>
              </w:rPr>
              <w:t xml:space="preserve">地物情况，并制定出各合理的飞行作业方案； </w:t>
            </w:r>
            <w:r>
              <w:rPr>
                <w:rFonts w:ascii="仿宋_GB2312" w:hAnsi="仿宋_GB2312" w:cs="仿宋_GB2312" w:eastAsia="仿宋_GB2312"/>
                <w:color w:val="000000"/>
              </w:rPr>
              <w:t>无人机开展作业时，按照飞防设计图划定的区域准确</w:t>
            </w:r>
            <w:r>
              <w:rPr>
                <w:rFonts w:ascii="仿宋_GB2312" w:hAnsi="仿宋_GB2312" w:cs="仿宋_GB2312" w:eastAsia="仿宋_GB2312"/>
                <w:color w:val="000000"/>
              </w:rPr>
              <w:t>飞行，严格按照 GPS 导航设计数据和飞行作业方位角适时</w:t>
            </w:r>
            <w:r>
              <w:rPr>
                <w:rFonts w:ascii="仿宋_GB2312" w:hAnsi="仿宋_GB2312" w:cs="仿宋_GB2312" w:eastAsia="仿宋_GB2312"/>
                <w:color w:val="000000"/>
              </w:rPr>
              <w:t xml:space="preserve">开关喷雾开口，防止漏喷和重喷； </w:t>
            </w:r>
            <w:r>
              <w:rPr>
                <w:rFonts w:ascii="仿宋_GB2312" w:hAnsi="仿宋_GB2312" w:cs="仿宋_GB2312" w:eastAsia="仿宋_GB2312"/>
                <w:color w:val="000000"/>
              </w:rPr>
              <w:t>在风速大于 10 米/秒、能见度小于 1500 米、大气温度</w:t>
            </w:r>
            <w:r>
              <w:rPr>
                <w:rFonts w:ascii="仿宋_GB2312" w:hAnsi="仿宋_GB2312" w:cs="仿宋_GB2312" w:eastAsia="仿宋_GB2312"/>
                <w:color w:val="000000"/>
              </w:rPr>
              <w:t>超过 35℃或下雨天时，停止飞行作业。</w:t>
            </w:r>
          </w:p>
          <w:p>
            <w:pPr>
              <w:pStyle w:val="null3"/>
            </w:pPr>
            <w:r>
              <w:rPr>
                <w:rFonts w:ascii="仿宋_GB2312" w:hAnsi="仿宋_GB2312" w:cs="仿宋_GB2312" w:eastAsia="仿宋_GB2312"/>
                <w:color w:val="000000"/>
              </w:rPr>
              <w:t>⑧废弃药瓶回收</w:t>
            </w:r>
          </w:p>
          <w:p>
            <w:pPr>
              <w:pStyle w:val="null3"/>
            </w:pPr>
            <w:r>
              <w:rPr>
                <w:rFonts w:ascii="仿宋_GB2312" w:hAnsi="仿宋_GB2312" w:cs="仿宋_GB2312" w:eastAsia="仿宋_GB2312"/>
                <w:color w:val="000000"/>
              </w:rPr>
              <w:t>在作业后进行废弃农药瓶回收，将使用过的农药瓶统</w:t>
            </w:r>
            <w:r>
              <w:rPr>
                <w:rFonts w:ascii="仿宋_GB2312" w:hAnsi="仿宋_GB2312" w:cs="仿宋_GB2312" w:eastAsia="仿宋_GB2312"/>
                <w:color w:val="000000"/>
              </w:rPr>
              <w:t>一收纳装箱带离作业区后，选择专业的回收销毁机构进行</w:t>
            </w:r>
            <w:r>
              <w:rPr>
                <w:rFonts w:ascii="仿宋_GB2312" w:hAnsi="仿宋_GB2312" w:cs="仿宋_GB2312" w:eastAsia="仿宋_GB2312"/>
                <w:color w:val="000000"/>
              </w:rPr>
              <w:t>统一销毁，避免因药瓶乱丢造成人员中毒及环境污染问</w:t>
            </w:r>
            <w:r>
              <w:rPr>
                <w:rFonts w:ascii="仿宋_GB2312" w:hAnsi="仿宋_GB2312" w:cs="仿宋_GB2312" w:eastAsia="仿宋_GB2312"/>
                <w:color w:val="000000"/>
              </w:rPr>
              <w:t>题。</w:t>
            </w:r>
          </w:p>
          <w:p>
            <w:pPr>
              <w:pStyle w:val="null3"/>
            </w:pPr>
            <w:r>
              <w:rPr>
                <w:rFonts w:ascii="仿宋_GB2312" w:hAnsi="仿宋_GB2312" w:cs="仿宋_GB2312" w:eastAsia="仿宋_GB2312"/>
                <w:color w:val="000000"/>
              </w:rPr>
              <w:t>7.飞防作业质量评估</w:t>
            </w:r>
          </w:p>
          <w:p>
            <w:pPr>
              <w:pStyle w:val="null3"/>
            </w:pPr>
            <w:r>
              <w:rPr>
                <w:rFonts w:ascii="仿宋_GB2312" w:hAnsi="仿宋_GB2312" w:cs="仿宋_GB2312" w:eastAsia="仿宋_GB2312"/>
                <w:color w:val="000000"/>
              </w:rPr>
              <w:t xml:space="preserve">为确保飞防成效，务必认真做好飞防质量评估和跟踪 </w:t>
            </w:r>
            <w:r>
              <w:rPr>
                <w:rFonts w:ascii="仿宋_GB2312" w:hAnsi="仿宋_GB2312" w:cs="仿宋_GB2312" w:eastAsia="仿宋_GB2312"/>
                <w:color w:val="000000"/>
              </w:rPr>
              <w:t xml:space="preserve">调查，为资金结算兑付提供依据。 </w:t>
            </w:r>
            <w:r>
              <w:rPr>
                <w:rFonts w:ascii="仿宋_GB2312" w:hAnsi="仿宋_GB2312" w:cs="仿宋_GB2312" w:eastAsia="仿宋_GB2312"/>
                <w:color w:val="000000"/>
              </w:rPr>
              <w:t>药品必须为国家正式批准生产的产品，附有生产合格</w:t>
            </w:r>
            <w:r>
              <w:rPr>
                <w:rFonts w:ascii="仿宋_GB2312" w:hAnsi="仿宋_GB2312" w:cs="仿宋_GB2312" w:eastAsia="仿宋_GB2312"/>
                <w:color w:val="000000"/>
              </w:rPr>
              <w:t>证、药品有效期限证明及农药三证。</w:t>
            </w:r>
          </w:p>
          <w:p>
            <w:pPr>
              <w:pStyle w:val="null3"/>
            </w:pPr>
            <w:r>
              <w:rPr>
                <w:rFonts w:ascii="仿宋_GB2312" w:hAnsi="仿宋_GB2312" w:cs="仿宋_GB2312" w:eastAsia="仿宋_GB2312"/>
                <w:color w:val="000000"/>
              </w:rPr>
              <w:t xml:space="preserve">喷药效果：飞防作业喷药过程中，由质量跟踪组进行 </w:t>
            </w:r>
            <w:r>
              <w:rPr>
                <w:rFonts w:ascii="仿宋_GB2312" w:hAnsi="仿宋_GB2312" w:cs="仿宋_GB2312" w:eastAsia="仿宋_GB2312"/>
                <w:color w:val="000000"/>
              </w:rPr>
              <w:t>实地接药，在喷播带与航向垂直方向每隔 5 米的林间空地</w:t>
            </w:r>
            <w:r>
              <w:rPr>
                <w:rFonts w:ascii="仿宋_GB2312" w:hAnsi="仿宋_GB2312" w:cs="仿宋_GB2312" w:eastAsia="仿宋_GB2312"/>
                <w:color w:val="000000"/>
              </w:rPr>
              <w:t xml:space="preserve">上，按顺序放一片载玻片或深红色打印纸作为采样片，每 </w:t>
            </w:r>
            <w:r>
              <w:rPr>
                <w:rFonts w:ascii="仿宋_GB2312" w:hAnsi="仿宋_GB2312" w:cs="仿宋_GB2312" w:eastAsia="仿宋_GB2312"/>
                <w:color w:val="000000"/>
              </w:rPr>
              <w:t>一喷洒带飞行作业结束 30 分钟后收集采样片，飞机喷洒药</w:t>
            </w:r>
            <w:r>
              <w:rPr>
                <w:rFonts w:ascii="仿宋_GB2312" w:hAnsi="仿宋_GB2312" w:cs="仿宋_GB2312" w:eastAsia="仿宋_GB2312"/>
                <w:color w:val="000000"/>
              </w:rPr>
              <w:t>物的雾滴密度必须达到每平方厘米 30 滴以上。载玻片或荧</w:t>
            </w:r>
            <w:r>
              <w:rPr>
                <w:rFonts w:ascii="仿宋_GB2312" w:hAnsi="仿宋_GB2312" w:cs="仿宋_GB2312" w:eastAsia="仿宋_GB2312"/>
                <w:color w:val="000000"/>
              </w:rPr>
              <w:t>光纸片每平方厘米低于 30 滴，即视为本小班作业不达标。</w:t>
            </w:r>
            <w:r>
              <w:rPr>
                <w:rFonts w:ascii="仿宋_GB2312" w:hAnsi="仿宋_GB2312" w:cs="仿宋_GB2312" w:eastAsia="仿宋_GB2312"/>
                <w:color w:val="000000"/>
              </w:rPr>
              <w:t>如不达标，应及时调整用药量及飞防作业高度、路线。</w:t>
            </w:r>
          </w:p>
          <w:p>
            <w:pPr>
              <w:pStyle w:val="null3"/>
            </w:pPr>
            <w:r>
              <w:rPr>
                <w:rFonts w:ascii="仿宋_GB2312" w:hAnsi="仿宋_GB2312" w:cs="仿宋_GB2312" w:eastAsia="仿宋_GB2312"/>
                <w:b/>
                <w:color w:val="000000"/>
              </w:rPr>
              <w:t>五.验收标准与方法</w:t>
            </w:r>
          </w:p>
          <w:p>
            <w:pPr>
              <w:pStyle w:val="null3"/>
            </w:pPr>
            <w:r>
              <w:rPr>
                <w:rFonts w:ascii="仿宋_GB2312" w:hAnsi="仿宋_GB2312" w:cs="仿宋_GB2312" w:eastAsia="仿宋_GB2312"/>
                <w:color w:val="000000"/>
              </w:rPr>
              <w:t>1.验收标准</w:t>
            </w:r>
          </w:p>
          <w:p>
            <w:pPr>
              <w:pStyle w:val="null3"/>
            </w:pPr>
            <w:r>
              <w:rPr>
                <w:rFonts w:ascii="仿宋_GB2312" w:hAnsi="仿宋_GB2312" w:cs="仿宋_GB2312" w:eastAsia="仿宋_GB2312"/>
                <w:color w:val="000000"/>
              </w:rPr>
              <w:t xml:space="preserve">①病虫害发生率：是评估和衡量防治工作成效的核心 </w:t>
            </w:r>
            <w:r>
              <w:rPr>
                <w:rFonts w:ascii="仿宋_GB2312" w:hAnsi="仿宋_GB2312" w:cs="仿宋_GB2312" w:eastAsia="仿宋_GB2312"/>
                <w:color w:val="000000"/>
              </w:rPr>
              <w:t xml:space="preserve">指标之一。通过精准对比防治前与防治后的病虫害数量变 </w:t>
            </w:r>
            <w:r>
              <w:rPr>
                <w:rFonts w:ascii="仿宋_GB2312" w:hAnsi="仿宋_GB2312" w:cs="仿宋_GB2312" w:eastAsia="仿宋_GB2312"/>
                <w:color w:val="000000"/>
              </w:rPr>
              <w:t xml:space="preserve">化，并结合历年同期发生数据进行纵向印证，能够直观、 </w:t>
            </w:r>
            <w:r>
              <w:rPr>
                <w:rFonts w:ascii="仿宋_GB2312" w:hAnsi="仿宋_GB2312" w:cs="仿宋_GB2312" w:eastAsia="仿宋_GB2312"/>
                <w:color w:val="000000"/>
              </w:rPr>
              <w:t>清晰地量化防治措施的实际效果。经科学防治后，病虫害</w:t>
            </w:r>
            <w:r>
              <w:rPr>
                <w:rFonts w:ascii="仿宋_GB2312" w:hAnsi="仿宋_GB2312" w:cs="仿宋_GB2312" w:eastAsia="仿宋_GB2312"/>
                <w:color w:val="000000"/>
              </w:rPr>
              <w:t>发生率需实现显著下降，以此切实体现防控工作的针对性</w:t>
            </w:r>
            <w:r>
              <w:rPr>
                <w:rFonts w:ascii="仿宋_GB2312" w:hAnsi="仿宋_GB2312" w:cs="仿宋_GB2312" w:eastAsia="仿宋_GB2312"/>
                <w:color w:val="000000"/>
              </w:rPr>
              <w:t>与有效性。</w:t>
            </w:r>
          </w:p>
          <w:p>
            <w:pPr>
              <w:pStyle w:val="null3"/>
            </w:pPr>
            <w:r>
              <w:rPr>
                <w:rFonts w:ascii="仿宋_GB2312" w:hAnsi="仿宋_GB2312" w:cs="仿宋_GB2312" w:eastAsia="仿宋_GB2312"/>
                <w:color w:val="000000"/>
              </w:rPr>
              <w:t>②防治效果指数：防治效果指数是评估防治效果的综</w:t>
            </w:r>
            <w:r>
              <w:rPr>
                <w:rFonts w:ascii="仿宋_GB2312" w:hAnsi="仿宋_GB2312" w:cs="仿宋_GB2312" w:eastAsia="仿宋_GB2312"/>
                <w:color w:val="000000"/>
              </w:rPr>
              <w:t>合指标。通过计算防治效果值，定量描述防治工作的效果</w:t>
            </w:r>
            <w:r>
              <w:rPr>
                <w:rFonts w:ascii="仿宋_GB2312" w:hAnsi="仿宋_GB2312" w:cs="仿宋_GB2312" w:eastAsia="仿宋_GB2312"/>
                <w:color w:val="000000"/>
              </w:rPr>
              <w:t>要求防治效果达到85%以上。</w:t>
            </w:r>
          </w:p>
          <w:p>
            <w:pPr>
              <w:pStyle w:val="null3"/>
            </w:pPr>
            <w:r>
              <w:rPr>
                <w:rFonts w:ascii="仿宋_GB2312" w:hAnsi="仿宋_GB2312" w:cs="仿宋_GB2312" w:eastAsia="仿宋_GB2312"/>
                <w:color w:val="000000"/>
              </w:rPr>
              <w:t>③生态环境影响评估：评估防治效果时，还要考虑防</w:t>
            </w:r>
            <w:r>
              <w:rPr>
                <w:rFonts w:ascii="仿宋_GB2312" w:hAnsi="仿宋_GB2312" w:cs="仿宋_GB2312" w:eastAsia="仿宋_GB2312"/>
                <w:color w:val="000000"/>
              </w:rPr>
              <w:t>治措施对生态环境的影响。包括土壤、生物多样性等方面</w:t>
            </w:r>
            <w:r>
              <w:rPr>
                <w:rFonts w:ascii="仿宋_GB2312" w:hAnsi="仿宋_GB2312" w:cs="仿宋_GB2312" w:eastAsia="仿宋_GB2312"/>
                <w:color w:val="000000"/>
              </w:rPr>
              <w:t>的变化。通过全面评估，确保防治措施既有效又环保。</w:t>
            </w:r>
          </w:p>
          <w:p>
            <w:pPr>
              <w:pStyle w:val="null3"/>
            </w:pPr>
            <w:r>
              <w:rPr>
                <w:rFonts w:ascii="仿宋_GB2312" w:hAnsi="仿宋_GB2312" w:cs="仿宋_GB2312" w:eastAsia="仿宋_GB2312"/>
                <w:color w:val="000000"/>
              </w:rPr>
              <w:t>2.调查方法</w:t>
            </w:r>
          </w:p>
          <w:p>
            <w:pPr>
              <w:pStyle w:val="null3"/>
            </w:pPr>
            <w:r>
              <w:rPr>
                <w:rFonts w:ascii="仿宋_GB2312" w:hAnsi="仿宋_GB2312" w:cs="仿宋_GB2312" w:eastAsia="仿宋_GB2312"/>
                <w:color w:val="000000"/>
              </w:rPr>
              <w:t>飞防前基线调查与飞防后效果调查，需遵循“统一范</w:t>
            </w:r>
            <w:r>
              <w:rPr>
                <w:rFonts w:ascii="仿宋_GB2312" w:hAnsi="仿宋_GB2312" w:cs="仿宋_GB2312" w:eastAsia="仿宋_GB2312"/>
                <w:color w:val="000000"/>
              </w:rPr>
              <w:t>围、统一抽样、统一指标、统一标准”原则，确保数据可</w:t>
            </w:r>
            <w:r>
              <w:rPr>
                <w:rFonts w:ascii="仿宋_GB2312" w:hAnsi="仿宋_GB2312" w:cs="仿宋_GB2312" w:eastAsia="仿宋_GB2312"/>
                <w:color w:val="000000"/>
              </w:rPr>
              <w:t>比。调查范围需明确林区边界、林分类型（如针叶林、阔</w:t>
            </w:r>
            <w:r>
              <w:rPr>
                <w:rFonts w:ascii="仿宋_GB2312" w:hAnsi="仿宋_GB2312" w:cs="仿宋_GB2312" w:eastAsia="仿宋_GB2312"/>
                <w:color w:val="000000"/>
              </w:rPr>
              <w:t>叶林）及小班编号，飞防前后保持一致，重点聚焦往年病</w:t>
            </w:r>
            <w:r>
              <w:rPr>
                <w:rFonts w:ascii="仿宋_GB2312" w:hAnsi="仿宋_GB2312" w:cs="仿宋_GB2312" w:eastAsia="仿宋_GB2312"/>
                <w:color w:val="000000"/>
              </w:rPr>
              <w:t>虫害高发区、林缘带、山脊线等关键区域。</w:t>
            </w:r>
          </w:p>
          <w:p>
            <w:pPr>
              <w:pStyle w:val="null3"/>
            </w:pPr>
            <w:r>
              <w:rPr>
                <w:rFonts w:ascii="仿宋_GB2312" w:hAnsi="仿宋_GB2312" w:cs="仿宋_GB2312" w:eastAsia="仿宋_GB2312"/>
                <w:color w:val="000000"/>
              </w:rPr>
              <w:t>抽样采用棋盘式 + 重点样地结合法：按林分面积划分</w:t>
            </w:r>
            <w:r>
              <w:rPr>
                <w:rFonts w:ascii="仿宋_GB2312" w:hAnsi="仿宋_GB2312" w:cs="仿宋_GB2312" w:eastAsia="仿宋_GB2312"/>
                <w:color w:val="000000"/>
              </w:rPr>
              <w:t xml:space="preserve">抽样单元，每 100-200 亩设 1 个样地（面积 0.04 公顷 </w:t>
            </w:r>
            <w:r>
              <w:rPr>
                <w:rFonts w:ascii="仿宋_GB2312" w:hAnsi="仿宋_GB2312" w:cs="仿宋_GB2312" w:eastAsia="仿宋_GB2312"/>
                <w:color w:val="000000"/>
              </w:rPr>
              <w:t>），飞防前后样地用 GPS 定位复刻；针对病虫害集中发生</w:t>
            </w:r>
            <w:r>
              <w:rPr>
                <w:rFonts w:ascii="仿宋_GB2312" w:hAnsi="仿宋_GB2312" w:cs="仿宋_GB2312" w:eastAsia="仿宋_GB2312"/>
                <w:color w:val="000000"/>
              </w:rPr>
              <w:t>区，额外增设 3-5 个重点样地。</w:t>
            </w:r>
          </w:p>
          <w:p>
            <w:pPr>
              <w:pStyle w:val="null3"/>
            </w:pPr>
            <w:r>
              <w:rPr>
                <w:rFonts w:ascii="仿宋_GB2312" w:hAnsi="仿宋_GB2312" w:cs="仿宋_GB2312" w:eastAsia="仿宋_GB2312"/>
                <w:color w:val="000000"/>
              </w:rPr>
              <w:t>调查时间：飞防前 1-2 天完成，记录病虫害自然发生</w:t>
            </w:r>
            <w:r>
              <w:rPr>
                <w:rFonts w:ascii="仿宋_GB2312" w:hAnsi="仿宋_GB2312" w:cs="仿宋_GB2312" w:eastAsia="仿宋_GB2312"/>
                <w:color w:val="000000"/>
              </w:rPr>
              <w:t>状态；飞防后 7-15 天（药剂药效显现期）调查，两次均</w:t>
            </w:r>
            <w:r>
              <w:rPr>
                <w:rFonts w:ascii="仿宋_GB2312" w:hAnsi="仿宋_GB2312" w:cs="仿宋_GB2312" w:eastAsia="仿宋_GB2312"/>
                <w:color w:val="000000"/>
              </w:rPr>
              <w:t>选择无雨天上午 9-11 点开展。</w:t>
            </w:r>
          </w:p>
          <w:p>
            <w:pPr>
              <w:pStyle w:val="null3"/>
            </w:pPr>
            <w:r>
              <w:rPr>
                <w:rFonts w:ascii="仿宋_GB2312" w:hAnsi="仿宋_GB2312" w:cs="仿宋_GB2312" w:eastAsia="仿宋_GB2312"/>
                <w:color w:val="000000"/>
              </w:rPr>
              <w:t>调查内容：基础信息需记录林分树种、郁闭度、病虫</w:t>
            </w:r>
            <w:r>
              <w:rPr>
                <w:rFonts w:ascii="仿宋_GB2312" w:hAnsi="仿宋_GB2312" w:cs="仿宋_GB2312" w:eastAsia="仿宋_GB2312"/>
                <w:color w:val="000000"/>
              </w:rPr>
              <w:t>害发生情况，以及飞防药剂名称、用量、飞行路线等；核</w:t>
            </w:r>
            <w:r>
              <w:rPr>
                <w:rFonts w:ascii="仿宋_GB2312" w:hAnsi="仿宋_GB2312" w:cs="仿宋_GB2312" w:eastAsia="仿宋_GB2312"/>
                <w:color w:val="000000"/>
              </w:rPr>
              <w:t xml:space="preserve">心指标包括虫口密度（每株 / 样地计数害虫数量，成虫、 </w:t>
            </w:r>
            <w:r>
              <w:rPr>
                <w:rFonts w:ascii="仿宋_GB2312" w:hAnsi="仿宋_GB2312" w:cs="仿宋_GB2312" w:eastAsia="仿宋_GB2312"/>
                <w:color w:val="000000"/>
              </w:rPr>
              <w:t xml:space="preserve">幼虫分别记录）、株受害率（受害株数 / 调查总株数 × </w:t>
            </w:r>
            <w:r>
              <w:rPr>
                <w:rFonts w:ascii="仿宋_GB2312" w:hAnsi="仿宋_GB2312" w:cs="仿宋_GB2312" w:eastAsia="仿宋_GB2312"/>
                <w:color w:val="000000"/>
              </w:rPr>
              <w:t>100%）、病情指数（按 0-5 级病级分级计算），飞防后重</w:t>
            </w:r>
            <w:r>
              <w:rPr>
                <w:rFonts w:ascii="仿宋_GB2312" w:hAnsi="仿宋_GB2312" w:cs="仿宋_GB2312" w:eastAsia="仿宋_GB2312"/>
                <w:color w:val="000000"/>
              </w:rPr>
              <w:t>点对比各项指标降幅，评估防治效果。</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潼关县安乐镇潼峪村西潼峪</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详见“技术性能与指标”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农、林、牧、渔业（营业收入20000万元以下的为中小微型企业。其中，营业收入500万元及以上的为中型企业，营业收入50万元及以上的为小型企业，营业收入50万元以下的为微型企业）。2、成交供应商在领取成交通知书后三个工作日，须向采购代理机构提供一正一副纸质响应文件及电子版1份（U盘存储），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有效的主体资格证明：具有独立承担民事责任的能力，提供营业执照、税务登记证、组织机构代码证或登载有统一社会信用代码的营业执照（或其他合法组织登记证书、自然人只须提交身份证复印件）；②供应商应提供健全的财务会计制度的证明材料：提供具有财务审计资质单位出具的2024年或2025年度财务审计报告（成立时间至开标时间不足一年的可提供成立后任意时段的资产负债表、现金流量表、利润表）或开标前六个月内其基本账户银行出具的资信证明（附开户许可证或基本账户证明）；③税收缴纳证明：提供截止至开标时间前六个月内任意一个月的缴费凭据（依法免税的投标人应提供相关文件证明） ；④社会保障资金缴纳证明：提供截止至开标时间前六个月内任意一个月的社保缴费凭据或社保机构开具的社会保险参保缴费情况证明（依法不需要缴纳社会保障资金的投标人应提供相关证明）；⑤专业技术能力证明：提供具有履行本合同所必需的设备和专业技术能力的书面声明；⑥无重大违法记录声明：提供参加本次政府采购活动前三年内在经营活动中没有重大违法记录的书面声明； 注1.供应商需在项目电子化交易系统中按要求填写《投标函》完成承诺并进行电子签章；2.供应商需在项目电子化交易系统中按要求上传相应证明文件并进行电子签章。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法定代表人身份证明书与法定代表人授权书.docx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供应商提供磋商保证金缴纳凭证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单位负责人为同一人或者存在直接控股、管理关系的不同投标人，不得参加同一合同项下的政府采购活动（供应商需提供企业关系关联承诺书）</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本项目不接受联合体投标（供应商需提供非联合体投标承诺书）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1、报价货币符合磋商文件要求 ; 2、未超出采购预算或磋商文件规定的最高限价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业绩.docx 法定代表人身份证明书与法定代表人授权书.docx 中小企业声明函 承诺书.docx 商务应答表.docx 企业实力.docx 服务条款响应偏离表.docx 响应文件封面 供应商应提交的相关资格证明材料.docx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商务应答表.docx 服务条款响应偏离表.docx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评审得分相同的，按照最后报价由低到高的顺序推荐。评审得分且最后报价相同的，按照技术指标优劣顺序推荐。评审得分且最后报价且技术指标得分均相同的，由评标委员会无记名投票决定。</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一、针对本项目提供的需求制定合理的方案，包括但不限于以下内容①项目认知分析；②防治目标及防 治区域现状分析；③监测方案；④防治成效方案。并按照以下标准评审：二、评审标准 1、完整性：方 案必须全面，对评审内容中的各项要求有详细描述；2、可实施性：切合本项目实际情况，提出步骤清 晰、合理的方案；3、针对性：方案能够紧扣项目实际情况，内容科学合理。三、赋分标准（满分24分 ）①项目认知分析：每满足一个评审标准得2分，不满足得0分，满分6分； ②防治目标及防治区域现状 分析：每满足一个评审标准得2分，不满足得0分，满分6分；③监测普查方案：每满足一个评审标准得 2分，不满足得0分，满分6分；④防治成效方案：每满足一个评审标准得2分，不满足得0分，满分6分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一、针对本项目提供的需求制定合理的方案，包括但不限于以下内容①质量保障措施；②进度保障措施 ；③安全保障措施。二、评审标准1、完整性：方案必须全面，对评审内容中的各项要求有详细描述； 2、可实施性：切合本项目实际情况，提出清晰、合理的方案；3、针对性：方案能够紧扣项目实际情 况，内容科学合理。三、赋分标准（满分18分）①质量保障措施：每满足一个评审标准得2分，不满足得0分，满分6分；②进度保障措施：每满足一个评审标准得2分，不满足得0分，满分6分；③安全保障措施：每满足一个评审标准得2分，不满足得0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一、针对本项目提供的需求制定合理的方案，包括但不限于以下内容①对本项目的重点、难点进行分析；②对本项目重点、难点的应对措施。二、评审标准 1、完整性：方案必须全面，对评审内容中的各项要求有详细描述；2、合理性：切合本项目实际情况，条理清楚；3、针对性：方案能够紧扣项目实际情况，内容科学合理。三、赋分标准（满分12分）①对本项目的重点、难点进行分析：每满足一个评审标准得2分，不满足得0分，满分6分；②对本项目重点、难点的应对措施：每满足一个评审标准得2分，不满足得0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一、应急处置方案包括但不限于以下内容①应急组织机构②应急响应流程③作业过程中突发状况的应急处理方案④应急保障措施。二、评审标准 1、完整性：方案必须全面，对评审内容中的各项要求有详细描述；2、可实施性：切合本项目实际情况，提出清晰、合理的方案；3、针对性：方案能够紧扣项目实际情况，内容科学合理。三、赋分标准（满分12分）①应急组织机构：每满足一个评审标准得1分，不满足得0分，满分3分； ②应急响应流程：每满足一个评审标准得1分，不满足得0分，满分3分；③作业过程中突发状况的应急处理方案：每满足一个评审标准得1分，不满足得0分，满分3分；④应急保障措施：每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设施设备配置</w:t>
            </w:r>
          </w:p>
        </w:tc>
        <w:tc>
          <w:tcPr>
            <w:tcW w:type="dxa" w:w="2492"/>
          </w:tcPr>
          <w:p>
            <w:pPr>
              <w:pStyle w:val="null3"/>
            </w:pPr>
            <w:r>
              <w:rPr>
                <w:rFonts w:ascii="仿宋_GB2312" w:hAnsi="仿宋_GB2312" w:cs="仿宋_GB2312" w:eastAsia="仿宋_GB2312"/>
              </w:rPr>
              <w:t>提供针对项目设施设备的配置情况，包含名称、使用状况、性能、先进性、合理性且有利于项目实施，计4分。 备注：内容缺失此项不得分，每有一处存在内容缺陷扣0.5分，扣完为止。内容缺陷是指：非专门针对本项目或不适用项目特性的情形、内容不完整或缺少关键节点、套用其他项目内容、内容前后矛盾、常识性错误、规范及标准性错误、科学原理错误、凭空编造、逻辑漏洞、不利于项目实施、不可能实现的夸大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拟投入专业人员，12人及以上得5分，8（含）-12人得3分，5（含）-8人得1分，5人以下或未提供不得分。2、项目拟投入人员包含2名相关领域专业技术人员，均具有高级职称得5分，中级职称得3分，未提供不得分（需提供职称证书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供应商具有2023年1月1日至今（以合同签订时间为准）同类项目业绩，响应文件中提供合同复印件加盖公章，每提供一个得2分，最高得6分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1.供应商具有林业有害生物防治作业甲级证书，得 4分；2、供应商具有林业有害生物防治作业乙级证书，得 3分；3.供应商具有林业有害生物防治作业丙级证书，得 2分；4.供应商具有林业有害生物防治作业丁级证书，得 1分；不提供不得分。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满足磋商文件要求且最后报价最低的报价为评标基准价，其价格分为满分。报价得分=（评标基准价／最后报价）×价格权值×100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详见附件：法定代表人身份证明书与法定代表人授权书.docx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