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CD56E">
      <w:pPr>
        <w:autoSpaceDE w:val="0"/>
        <w:autoSpaceDN w:val="0"/>
        <w:adjustRightInd w:val="0"/>
        <w:snapToGrid w:val="0"/>
        <w:spacing w:line="560" w:lineRule="exact"/>
        <w:jc w:val="center"/>
        <w:rPr>
          <w:rFonts w:ascii="方正小标宋简体" w:hAnsi="方正小标宋简体" w:eastAsia="方正小标宋简体" w:cs="方正小标宋简体"/>
          <w:color w:val="auto"/>
          <w:spacing w:val="-5"/>
          <w:sz w:val="44"/>
          <w:szCs w:val="44"/>
          <w:highlight w:val="none"/>
        </w:rPr>
      </w:pPr>
      <w:bookmarkStart w:id="0" w:name="_Hlk107229277"/>
      <w:r>
        <w:rPr>
          <w:rFonts w:hint="eastAsia" w:ascii="方正小标宋简体" w:hAnsi="方正小标宋简体" w:eastAsia="方正小标宋简体" w:cs="方正小标宋简体"/>
          <w:color w:val="auto"/>
          <w:spacing w:val="-5"/>
          <w:sz w:val="44"/>
          <w:szCs w:val="44"/>
          <w:highlight w:val="none"/>
        </w:rPr>
        <w:t>拟签订的合同条款文本</w:t>
      </w:r>
    </w:p>
    <w:bookmarkEnd w:id="0"/>
    <w:p w14:paraId="520EA121">
      <w:pPr>
        <w:tabs>
          <w:tab w:val="left" w:pos="9030"/>
        </w:tabs>
        <w:snapToGrid w:val="0"/>
        <w:spacing w:line="360" w:lineRule="auto"/>
        <w:ind w:right="-62"/>
        <w:jc w:val="center"/>
        <w:outlineLvl w:val="0"/>
        <w:rPr>
          <w:color w:val="auto"/>
          <w:szCs w:val="21"/>
          <w:highlight w:val="none"/>
          <w:lang w:val="zh-CN"/>
        </w:rPr>
      </w:pPr>
      <w:r>
        <w:rPr>
          <w:rFonts w:hint="eastAsia"/>
          <w:color w:val="auto"/>
          <w:szCs w:val="21"/>
          <w:highlight w:val="none"/>
          <w:lang w:val="zh-CN"/>
        </w:rPr>
        <w:t>（</w:t>
      </w:r>
      <w:r>
        <w:rPr>
          <w:rFonts w:hint="eastAsia"/>
          <w:color w:val="auto"/>
          <w:szCs w:val="21"/>
          <w:highlight w:val="none"/>
          <w:lang w:val="en-US" w:eastAsia="zh-CN"/>
        </w:rPr>
        <w:t>本合同为参考合同，</w:t>
      </w:r>
      <w:r>
        <w:rPr>
          <w:rFonts w:hint="eastAsia"/>
          <w:color w:val="auto"/>
          <w:szCs w:val="21"/>
          <w:highlight w:val="none"/>
        </w:rPr>
        <w:t>具体以甲方签订合同为准</w:t>
      </w:r>
      <w:r>
        <w:rPr>
          <w:rFonts w:hint="eastAsia"/>
          <w:color w:val="auto"/>
          <w:szCs w:val="21"/>
          <w:highlight w:val="none"/>
          <w:lang w:val="zh-CN"/>
        </w:rPr>
        <w:t>）</w:t>
      </w:r>
    </w:p>
    <w:p w14:paraId="485E4659">
      <w:pPr>
        <w:pStyle w:val="6"/>
        <w:adjustRightInd w:val="0"/>
        <w:snapToGrid w:val="0"/>
        <w:spacing w:line="360" w:lineRule="auto"/>
        <w:ind w:firstLine="422"/>
        <w:jc w:val="left"/>
        <w:rPr>
          <w:rFonts w:ascii="宋体" w:hAnsi="宋体"/>
          <w:b/>
          <w:bCs/>
          <w:color w:val="auto"/>
          <w:szCs w:val="24"/>
          <w:highlight w:val="none"/>
        </w:rPr>
      </w:pPr>
    </w:p>
    <w:p w14:paraId="0700723B">
      <w:pPr>
        <w:pStyle w:val="6"/>
        <w:adjustRightInd w:val="0"/>
        <w:snapToGrid w:val="0"/>
        <w:spacing w:line="360" w:lineRule="auto"/>
        <w:ind w:firstLine="422"/>
        <w:jc w:val="left"/>
        <w:rPr>
          <w:rFonts w:ascii="宋体" w:hAnsi="宋体"/>
          <w:b/>
          <w:bCs/>
          <w:color w:val="auto"/>
          <w:szCs w:val="24"/>
          <w:highlight w:val="none"/>
          <w:u w:val="single"/>
        </w:rPr>
      </w:pPr>
      <w:r>
        <w:rPr>
          <w:rFonts w:hint="eastAsia" w:ascii="宋体" w:hAnsi="宋体"/>
          <w:b/>
          <w:bCs/>
          <w:color w:val="auto"/>
          <w:szCs w:val="24"/>
          <w:highlight w:val="none"/>
        </w:rPr>
        <w:t>甲方（采  购  人）：</w:t>
      </w:r>
      <w:r>
        <w:rPr>
          <w:rFonts w:hint="eastAsia" w:ascii="宋体" w:hAnsi="宋体"/>
          <w:b/>
          <w:bCs/>
          <w:color w:val="auto"/>
          <w:szCs w:val="24"/>
          <w:highlight w:val="none"/>
          <w:u w:val="single"/>
        </w:rPr>
        <w:t xml:space="preserve"> </w:t>
      </w:r>
      <w:r>
        <w:rPr>
          <w:rFonts w:hint="eastAsia" w:ascii="宋体" w:hAnsi="宋体"/>
          <w:b/>
          <w:bCs/>
          <w:color w:val="auto"/>
          <w:szCs w:val="24"/>
          <w:highlight w:val="none"/>
          <w:u w:val="single"/>
          <w:lang w:eastAsia="zh-CN"/>
        </w:rPr>
        <w:t>潼关县林业局</w:t>
      </w:r>
      <w:r>
        <w:rPr>
          <w:rFonts w:hint="eastAsia" w:ascii="宋体" w:hAnsi="宋体"/>
          <w:b/>
          <w:bCs/>
          <w:color w:val="auto"/>
          <w:szCs w:val="24"/>
          <w:highlight w:val="none"/>
          <w:u w:val="single"/>
        </w:rPr>
        <w:t xml:space="preserve"> </w:t>
      </w:r>
    </w:p>
    <w:p w14:paraId="70C1595E">
      <w:pPr>
        <w:adjustRightInd w:val="0"/>
        <w:snapToGrid w:val="0"/>
        <w:spacing w:line="360" w:lineRule="auto"/>
        <w:ind w:firstLine="422"/>
        <w:jc w:val="left"/>
        <w:rPr>
          <w:rFonts w:ascii="宋体" w:hAnsi="宋体"/>
          <w:color w:val="auto"/>
          <w:szCs w:val="24"/>
          <w:highlight w:val="none"/>
          <w:u w:val="single"/>
        </w:rPr>
      </w:pPr>
      <w:r>
        <w:rPr>
          <w:rFonts w:hint="eastAsia" w:ascii="宋体" w:hAnsi="宋体"/>
          <w:b/>
          <w:bCs/>
          <w:color w:val="auto"/>
          <w:szCs w:val="24"/>
          <w:highlight w:val="none"/>
        </w:rPr>
        <w:t>乙方（成交供应商）：</w:t>
      </w:r>
      <w:r>
        <w:rPr>
          <w:rFonts w:hint="eastAsia" w:ascii="宋体" w:hAnsi="宋体"/>
          <w:b/>
          <w:bCs/>
          <w:color w:val="auto"/>
          <w:szCs w:val="24"/>
          <w:highlight w:val="none"/>
          <w:u w:val="single"/>
        </w:rPr>
        <w:t xml:space="preserve">                             </w:t>
      </w:r>
    </w:p>
    <w:p w14:paraId="709005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为了保护甲、乙双方合法权益，根据《中华人民共和国民法典》 、 《中华人民共和国政府采购法》和《中华人民共和国政府采购法实施条例》及其他有关法律、法规、规章，双方签订本合同协议书。</w:t>
      </w:r>
    </w:p>
    <w:p w14:paraId="5EDB600C">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一、项目概述</w:t>
      </w:r>
    </w:p>
    <w:p w14:paraId="0F9A246A">
      <w:pPr>
        <w:adjustRightInd w:val="0"/>
        <w:snapToGrid w:val="0"/>
        <w:spacing w:line="360" w:lineRule="auto"/>
        <w:ind w:firstLine="420" w:firstLineChars="200"/>
        <w:jc w:val="left"/>
        <w:rPr>
          <w:rFonts w:hint="eastAsia" w:ascii="宋体" w:hAnsi="宋体" w:eastAsia="宋体"/>
          <w:color w:val="auto"/>
          <w:szCs w:val="24"/>
          <w:highlight w:val="none"/>
          <w:lang w:eastAsia="zh-CN"/>
        </w:rPr>
      </w:pPr>
      <w:r>
        <w:rPr>
          <w:rFonts w:hint="eastAsia" w:ascii="宋体" w:hAnsi="宋体"/>
          <w:color w:val="auto"/>
          <w:szCs w:val="24"/>
          <w:highlight w:val="none"/>
        </w:rPr>
        <w:t>1、项目名称：</w:t>
      </w:r>
      <w:r>
        <w:rPr>
          <w:rFonts w:hint="eastAsia" w:ascii="宋体" w:hAnsi="宋体"/>
          <w:color w:val="auto"/>
          <w:szCs w:val="24"/>
          <w:highlight w:val="none"/>
          <w:u w:val="single"/>
          <w:lang w:eastAsia="zh-CN"/>
        </w:rPr>
        <w:t>潼关县202</w:t>
      </w:r>
      <w:r>
        <w:rPr>
          <w:rFonts w:hint="eastAsia" w:ascii="宋体" w:hAnsi="宋体"/>
          <w:color w:val="auto"/>
          <w:szCs w:val="24"/>
          <w:highlight w:val="none"/>
          <w:u w:val="single"/>
          <w:lang w:val="en-US" w:eastAsia="zh-CN"/>
        </w:rPr>
        <w:t>6</w:t>
      </w:r>
      <w:r>
        <w:rPr>
          <w:rFonts w:hint="eastAsia" w:ascii="宋体" w:hAnsi="宋体"/>
          <w:color w:val="auto"/>
          <w:szCs w:val="24"/>
          <w:highlight w:val="none"/>
          <w:u w:val="single"/>
          <w:lang w:eastAsia="zh-CN"/>
        </w:rPr>
        <w:t>年林业草原有害生物防治项目</w:t>
      </w:r>
    </w:p>
    <w:p w14:paraId="5CCE683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2、项目地点：</w:t>
      </w:r>
      <w:r>
        <w:rPr>
          <w:rFonts w:hint="eastAsia" w:ascii="宋体" w:hAnsi="宋体"/>
          <w:color w:val="auto"/>
          <w:szCs w:val="24"/>
          <w:highlight w:val="none"/>
          <w:u w:val="single"/>
          <w:lang w:val="en-US" w:eastAsia="zh-CN"/>
        </w:rPr>
        <w:t>潼关县安乐镇潼峪村西潼峪</w:t>
      </w:r>
      <w:r>
        <w:rPr>
          <w:rFonts w:hint="eastAsia" w:ascii="宋体" w:hAnsi="宋体"/>
          <w:color w:val="auto"/>
          <w:szCs w:val="24"/>
          <w:highlight w:val="none"/>
          <w:u w:val="single"/>
        </w:rPr>
        <w:t xml:space="preserve"> </w:t>
      </w:r>
    </w:p>
    <w:p w14:paraId="1DA5CEE5">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3、项目内容：</w:t>
      </w:r>
      <w:r>
        <w:rPr>
          <w:rFonts w:hint="eastAsia" w:ascii="宋体" w:hAnsi="宋体"/>
          <w:color w:val="auto"/>
          <w:szCs w:val="24"/>
          <w:highlight w:val="none"/>
          <w:u w:val="single"/>
        </w:rPr>
        <w:t xml:space="preserve">                                                    </w:t>
      </w:r>
    </w:p>
    <w:p w14:paraId="6E6E9388">
      <w:pPr>
        <w:adjustRightInd w:val="0"/>
        <w:snapToGrid w:val="0"/>
        <w:spacing w:line="360" w:lineRule="auto"/>
        <w:ind w:firstLine="420" w:firstLineChars="200"/>
        <w:jc w:val="left"/>
        <w:rPr>
          <w:rFonts w:ascii="宋体" w:hAnsi="宋体"/>
          <w:color w:val="auto"/>
          <w:highlight w:val="none"/>
        </w:rPr>
      </w:pPr>
      <w:r>
        <w:rPr>
          <w:rFonts w:hint="eastAsia" w:ascii="宋体" w:hAnsi="宋体"/>
          <w:color w:val="auto"/>
          <w:szCs w:val="24"/>
          <w:highlight w:val="none"/>
        </w:rPr>
        <w:t>4、服务期限：</w:t>
      </w:r>
      <w:r>
        <w:rPr>
          <w:rFonts w:hint="eastAsia" w:ascii="宋体" w:hAnsi="宋体"/>
          <w:color w:val="auto"/>
          <w:szCs w:val="24"/>
          <w:highlight w:val="none"/>
          <w:lang w:val="en-US" w:eastAsia="zh-CN"/>
        </w:rPr>
        <w:t>合同签订之日起至2026年6月30日</w:t>
      </w:r>
      <w:bookmarkStart w:id="2" w:name="_GoBack"/>
      <w:bookmarkEnd w:id="2"/>
      <w:r>
        <w:rPr>
          <w:rFonts w:hint="eastAsia" w:ascii="宋体" w:hAnsi="宋体"/>
          <w:color w:val="auto"/>
          <w:szCs w:val="24"/>
          <w:highlight w:val="none"/>
          <w:u w:val="none"/>
        </w:rPr>
        <w:t>。</w:t>
      </w:r>
    </w:p>
    <w:p w14:paraId="30ABC5B4">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二、合同价款</w:t>
      </w:r>
    </w:p>
    <w:p w14:paraId="3186785B">
      <w:pPr>
        <w:pStyle w:val="6"/>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1、合同总价款为人民币（大写）</w:t>
      </w:r>
      <w:r>
        <w:rPr>
          <w:rFonts w:hint="eastAsia" w:ascii="宋体" w:hAnsi="宋体"/>
          <w:color w:val="auto"/>
          <w:szCs w:val="24"/>
          <w:highlight w:val="none"/>
          <w:u w:val="single"/>
        </w:rPr>
        <w:t xml:space="preserve">              </w:t>
      </w:r>
      <w:r>
        <w:rPr>
          <w:rFonts w:hint="eastAsia" w:ascii="宋体" w:hAnsi="宋体"/>
          <w:color w:val="auto"/>
          <w:szCs w:val="24"/>
          <w:highlight w:val="none"/>
        </w:rPr>
        <w:t>（￥</w:t>
      </w:r>
      <w:r>
        <w:rPr>
          <w:rFonts w:hint="eastAsia" w:ascii="宋体" w:hAnsi="宋体"/>
          <w:color w:val="auto"/>
          <w:szCs w:val="24"/>
          <w:highlight w:val="none"/>
          <w:u w:val="single"/>
        </w:rPr>
        <w:t xml:space="preserve">           </w:t>
      </w:r>
      <w:r>
        <w:rPr>
          <w:rFonts w:hint="eastAsia" w:ascii="宋体" w:hAnsi="宋体"/>
          <w:color w:val="auto"/>
          <w:szCs w:val="24"/>
          <w:highlight w:val="none"/>
        </w:rPr>
        <w:t>）。</w:t>
      </w:r>
    </w:p>
    <w:p w14:paraId="40794831">
      <w:pPr>
        <w:adjustRightInd w:val="0"/>
        <w:snapToGrid w:val="0"/>
        <w:spacing w:line="360" w:lineRule="auto"/>
        <w:ind w:firstLine="420" w:firstLineChars="200"/>
        <w:jc w:val="left"/>
        <w:rPr>
          <w:rFonts w:ascii="宋体" w:hAnsi="宋体"/>
          <w:color w:val="auto"/>
          <w:szCs w:val="24"/>
          <w:highlight w:val="none"/>
          <w:u w:val="single"/>
        </w:rPr>
      </w:pPr>
      <w:r>
        <w:rPr>
          <w:rFonts w:hint="eastAsia" w:ascii="宋体" w:hAnsi="宋体"/>
          <w:color w:val="auto"/>
          <w:szCs w:val="24"/>
          <w:highlight w:val="none"/>
        </w:rPr>
        <w:t>2、合同价格形式：</w:t>
      </w:r>
      <w:r>
        <w:rPr>
          <w:rFonts w:hint="eastAsia" w:ascii="宋体" w:hAnsi="宋体"/>
          <w:color w:val="auto"/>
          <w:szCs w:val="24"/>
          <w:highlight w:val="none"/>
          <w:u w:val="single"/>
        </w:rPr>
        <w:t>合同总价包括</w:t>
      </w:r>
      <w:r>
        <w:rPr>
          <w:rFonts w:hint="eastAsia" w:ascii="宋体" w:hAnsi="宋体"/>
          <w:color w:val="auto"/>
          <w:szCs w:val="24"/>
          <w:highlight w:val="none"/>
          <w:u w:val="single"/>
          <w:lang w:val="en-US" w:eastAsia="zh-CN"/>
        </w:rPr>
        <w:t>人工费、物料费、服务费、管理费、税金等所有费用</w:t>
      </w:r>
      <w:r>
        <w:rPr>
          <w:rFonts w:hint="eastAsia" w:ascii="宋体" w:hAnsi="宋体"/>
          <w:color w:val="auto"/>
          <w:szCs w:val="24"/>
          <w:highlight w:val="none"/>
          <w:u w:val="single"/>
        </w:rPr>
        <w:t>。</w:t>
      </w:r>
    </w:p>
    <w:p w14:paraId="0568101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3、合同总价一次性包死，不受市场价格变化因素的影响</w:t>
      </w:r>
    </w:p>
    <w:p w14:paraId="328811B1">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三、付款方式和发票开具方式</w:t>
      </w:r>
    </w:p>
    <w:p w14:paraId="10B7F64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1、付款方式</w:t>
      </w:r>
      <w:r>
        <w:rPr>
          <w:rFonts w:hint="eastAsia" w:ascii="宋体" w:hAnsi="宋体"/>
          <w:color w:val="auto"/>
          <w:szCs w:val="24"/>
          <w:highlight w:val="none"/>
          <w:lang w:val="en-US" w:eastAsia="zh-CN"/>
        </w:rPr>
        <w:t>合同签订后支付合同总金额的40%作为预付款，剩余60%项目完成验收合格后一次性付清</w:t>
      </w:r>
      <w:r>
        <w:rPr>
          <w:rFonts w:hint="eastAsia" w:ascii="宋体" w:hAnsi="宋体"/>
          <w:color w:val="auto"/>
          <w:szCs w:val="24"/>
          <w:highlight w:val="none"/>
        </w:rPr>
        <w:t>。</w:t>
      </w:r>
    </w:p>
    <w:p w14:paraId="67517F7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2、支付方式：银行转帐。</w:t>
      </w:r>
    </w:p>
    <w:p w14:paraId="59E531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3、乙方在接受付款前，根据支付方式开具等额发票给甲方。否则甲方有权拒绝付款且不因此承担任何违约责任。</w:t>
      </w:r>
    </w:p>
    <w:p w14:paraId="444D3BE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四、双方的权利和义务</w:t>
      </w:r>
    </w:p>
    <w:p w14:paraId="55221F2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(一)甲方的权利与义务</w:t>
      </w:r>
    </w:p>
    <w:p w14:paraId="6422A49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1、甲方有权对乙方的项目实施情况进行检查和监督，对检查中发现的问题及时向乙方提出书面或口头改进意见，并要求乙方限期予以整改。对乙方不符合本项目要求规定，造成严重影响的行为进行处罚。</w:t>
      </w:r>
    </w:p>
    <w:p w14:paraId="426F13B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2、甲方可要求乙方调整不合格的服务人员，并于5日内调整到位。 </w:t>
      </w:r>
    </w:p>
    <w:p w14:paraId="4C3B16F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 xml:space="preserve">3、双方可根据政策的变动并结合实际情况对合同项目内容进行修改和补充，对项目内容的修改和补充双方以书面补充协议形式做出。 </w:t>
      </w:r>
    </w:p>
    <w:p w14:paraId="51F7BD4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4、甲方有权调阅乙方关于该项目的全部工作资料。</w:t>
      </w:r>
    </w:p>
    <w:p w14:paraId="54652EC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(二) 乙方的权利与义务</w:t>
      </w:r>
    </w:p>
    <w:p w14:paraId="47CC089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1、乙方须制定防控实施方案和应急处置预案，于合同签订后2日内将该方案报送甲方审核后执行。</w:t>
      </w:r>
    </w:p>
    <w:p w14:paraId="16844AE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2、乙方须按甲方的要求</w:t>
      </w:r>
      <w:bookmarkStart w:id="1" w:name="OLE_LINK3"/>
      <w:r>
        <w:rPr>
          <w:rFonts w:hint="eastAsia" w:ascii="宋体" w:hAnsi="宋体"/>
          <w:color w:val="auto"/>
          <w:szCs w:val="24"/>
          <w:highlight w:val="none"/>
        </w:rPr>
        <w:t>实行周报制度，每周五16:00前将监测、普查和防治情况书面上报区森林资源管理中心</w:t>
      </w:r>
      <w:bookmarkEnd w:id="1"/>
      <w:r>
        <w:rPr>
          <w:rFonts w:hint="eastAsia" w:ascii="宋体" w:hAnsi="宋体"/>
          <w:color w:val="auto"/>
          <w:szCs w:val="24"/>
          <w:highlight w:val="none"/>
        </w:rPr>
        <w:t>。</w:t>
      </w:r>
    </w:p>
    <w:p w14:paraId="04A3D6E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乙方发现虫情立即报告，经甲方同意后，将有关疫情照片、信息上报报送区林业局。不按时上报各类计划或计划执行严重滞后，乙方须承担人民币1000元/次的违约金，累计连续违约3次，且未按甲方要求及时整改的，甲方有权解除合同，由此造成的损失，由乙方承担。</w:t>
      </w:r>
    </w:p>
    <w:p w14:paraId="145322B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4、发现虫情立即按照技术要求进行虫情除治作业，对施工中延误最佳防治期的，每延期一天处罚2000元。</w:t>
      </w:r>
    </w:p>
    <w:p w14:paraId="137221E2">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5、乙方在实施作业期间，所有安全责任由乙方自行承担；乙方在施工时要加强对施工员的管理，提高安全意识，做好安全防范工作，加强火源管理，杜绝一切野外非法用火，严防火灾，确保施工员人身安全。</w:t>
      </w:r>
    </w:p>
    <w:p w14:paraId="5005CCD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五、验收</w:t>
      </w:r>
    </w:p>
    <w:p w14:paraId="29CC0C9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甲方根据磋商文件、响应文件和合同约定标准、技术和服务逐项验收。</w:t>
      </w:r>
    </w:p>
    <w:p w14:paraId="141F7ED9">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验收依据：甲方组织相关部门、专家进行现场验收，现场随机抽查每个街道办不少于5个行政村。</w:t>
      </w:r>
    </w:p>
    <w:p w14:paraId="61B78088">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1、验收时，若发现幼虫或网幕，整体超过2株，则每株扣除合同总价款的5%；超过5株以上虫体或网幕或不合格行政村超过3个，验收不合格，甲方有权直接解除本合同，乙方承担违约责任。</w:t>
      </w:r>
    </w:p>
    <w:p w14:paraId="65477ECD">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2、未完成防控目标的，兑付金额减半支付。</w:t>
      </w:r>
    </w:p>
    <w:p w14:paraId="182F6E6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六、成果交付要求</w:t>
      </w:r>
    </w:p>
    <w:p w14:paraId="55A8B51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1、原始材料</w:t>
      </w:r>
    </w:p>
    <w:p w14:paraId="517B810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①防控监测调查的外业原始记录表格、影像资料等；</w:t>
      </w:r>
    </w:p>
    <w:p w14:paraId="2B939C9F">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②防控普查调查外业原始记录表格、影像资料等；</w:t>
      </w:r>
    </w:p>
    <w:p w14:paraId="609CE42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③防控喷药防治外业原始记录表格、影像资料等；</w:t>
      </w:r>
    </w:p>
    <w:p w14:paraId="6F199D06">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④防控宣传培训原始记录表格、影像资料等</w:t>
      </w:r>
    </w:p>
    <w:p w14:paraId="6846F32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⑤项目部人员、监测员、普查员、喷防员的汇总统计表（加盖公章）</w:t>
      </w:r>
    </w:p>
    <w:p w14:paraId="10EF462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2、档案资料移交与接管</w:t>
      </w:r>
    </w:p>
    <w:p w14:paraId="52E40FD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合同任务完成结束后，按照档案管理的要求，由区森林资源管理中心森防室配备专人负责档案资料的接收、整理、保管和提供利用。档案保存形式以纸质档案和电子档案为主，纸质档案包括上述疫情防控过程性资料内容，字迹清楚。</w:t>
      </w:r>
    </w:p>
    <w:p w14:paraId="4CD8B3ED">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七、违约责任</w:t>
      </w:r>
    </w:p>
    <w:p w14:paraId="43AD143E">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1、按《中华人民共和国民法典》中的相关条款执行。</w:t>
      </w:r>
    </w:p>
    <w:p w14:paraId="0A2063C4">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2、合同所订一切条款，甲、乙任何一方不得擅自变更或修改。如一方单独变更、修改合同，对方有权拒绝，并要求变更、修改合同一方赔偿一切损失。</w:t>
      </w:r>
    </w:p>
    <w:p w14:paraId="11782FE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3、合同生效后，除合同另有约定外，甲、乙双方不得中途毁约，否则视为违约，违约方除向对方支付已发生的各项费用外，还需支付违约金，违约为合同金额的10%。</w:t>
      </w:r>
    </w:p>
    <w:p w14:paraId="6737EFBB">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乙方未按合同要求及时提供监测普查防治服务或提供的服务不能满足技术标准和要求，需在甲方指定的期限内无条件重新提供满足甲方需求的相关服务，否则甲方有权解除本合同，甲方解除合同的书面通知书到达乙方之日起合同解除，甲方可不向乙方支付任何费用。</w:t>
      </w:r>
    </w:p>
    <w:p w14:paraId="5BF33BFE">
      <w:pPr>
        <w:pStyle w:val="6"/>
        <w:adjustRightInd w:val="0"/>
        <w:snapToGrid w:val="0"/>
        <w:spacing w:line="360" w:lineRule="auto"/>
        <w:ind w:firstLine="422"/>
        <w:jc w:val="left"/>
        <w:rPr>
          <w:rFonts w:ascii="宋体" w:hAnsi="宋体"/>
          <w:b/>
          <w:bCs/>
          <w:color w:val="auto"/>
          <w:szCs w:val="24"/>
          <w:highlight w:val="none"/>
        </w:rPr>
      </w:pPr>
      <w:r>
        <w:rPr>
          <w:rFonts w:hint="eastAsia" w:ascii="宋体" w:hAnsi="宋体"/>
          <w:b/>
          <w:bCs/>
          <w:color w:val="auto"/>
          <w:szCs w:val="24"/>
          <w:highlight w:val="none"/>
        </w:rPr>
        <w:t>八、合同争议解决的方式</w:t>
      </w:r>
    </w:p>
    <w:p w14:paraId="0EE155F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本合同在履行过程中发生的争议，由甲、乙双方当事人协商解决，协商不成的按下列第</w:t>
      </w:r>
      <w:r>
        <w:rPr>
          <w:rFonts w:hint="eastAsia" w:ascii="宋体" w:hAnsi="宋体"/>
          <w:color w:val="auto"/>
          <w:szCs w:val="24"/>
          <w:highlight w:val="none"/>
          <w:u w:val="single"/>
        </w:rPr>
        <w:t xml:space="preserve"> 2 </w:t>
      </w:r>
      <w:r>
        <w:rPr>
          <w:rFonts w:hint="eastAsia" w:ascii="宋体" w:hAnsi="宋体"/>
          <w:color w:val="auto"/>
          <w:szCs w:val="24"/>
          <w:highlight w:val="none"/>
        </w:rPr>
        <w:t>种方式解决：</w:t>
      </w:r>
    </w:p>
    <w:p w14:paraId="7C5BEBC5">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1、申请仲裁委员会仲裁；</w:t>
      </w:r>
    </w:p>
    <w:p w14:paraId="488A18F7">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2、向甲方住所地人民法院起诉。</w:t>
      </w:r>
    </w:p>
    <w:p w14:paraId="0F92B072">
      <w:pPr>
        <w:pStyle w:val="6"/>
        <w:adjustRightInd w:val="0"/>
        <w:snapToGrid w:val="0"/>
        <w:spacing w:line="360" w:lineRule="auto"/>
        <w:ind w:firstLine="422"/>
        <w:jc w:val="left"/>
        <w:rPr>
          <w:rFonts w:ascii="宋体" w:hAnsi="宋体"/>
          <w:color w:val="auto"/>
          <w:szCs w:val="24"/>
          <w:highlight w:val="none"/>
        </w:rPr>
      </w:pPr>
      <w:r>
        <w:rPr>
          <w:rFonts w:hint="eastAsia" w:ascii="宋体" w:hAnsi="宋体"/>
          <w:b/>
          <w:bCs/>
          <w:color w:val="auto"/>
          <w:szCs w:val="24"/>
          <w:highlight w:val="none"/>
        </w:rPr>
        <w:t>九、合同生效及其它</w:t>
      </w:r>
    </w:p>
    <w:p w14:paraId="14637940">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1、合同未尽事宜、由甲、乙双方协商，作为合同补充，与原合同具有同等法律效力。</w:t>
      </w:r>
    </w:p>
    <w:p w14:paraId="0C0D6813">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2、本合同正本一式</w:t>
      </w:r>
      <w:r>
        <w:rPr>
          <w:rFonts w:hint="eastAsia" w:ascii="宋体" w:hAnsi="宋体"/>
          <w:color w:val="auto"/>
          <w:szCs w:val="24"/>
          <w:highlight w:val="none"/>
          <w:u w:val="single"/>
        </w:rPr>
        <w:t xml:space="preserve">    </w:t>
      </w:r>
      <w:r>
        <w:rPr>
          <w:rFonts w:hint="eastAsia" w:ascii="宋体" w:hAnsi="宋体"/>
          <w:color w:val="auto"/>
          <w:szCs w:val="24"/>
          <w:highlight w:val="none"/>
        </w:rPr>
        <w:t>份，甲乙双方各执</w:t>
      </w:r>
      <w:r>
        <w:rPr>
          <w:rFonts w:hint="eastAsia" w:ascii="宋体" w:hAnsi="宋体"/>
          <w:color w:val="auto"/>
          <w:szCs w:val="24"/>
          <w:highlight w:val="none"/>
          <w:u w:val="single"/>
        </w:rPr>
        <w:t xml:space="preserve">   </w:t>
      </w:r>
      <w:r>
        <w:rPr>
          <w:rFonts w:hint="eastAsia" w:ascii="宋体" w:hAnsi="宋体"/>
          <w:color w:val="auto"/>
          <w:szCs w:val="24"/>
          <w:highlight w:val="none"/>
        </w:rPr>
        <w:t>份。</w:t>
      </w:r>
    </w:p>
    <w:p w14:paraId="5F34F26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3、合同经甲乙双方盖章、签字后生效。</w:t>
      </w:r>
    </w:p>
    <w:p w14:paraId="5E8A2481">
      <w:pPr>
        <w:adjustRightInd w:val="0"/>
        <w:snapToGrid w:val="0"/>
        <w:spacing w:line="360" w:lineRule="auto"/>
        <w:ind w:firstLine="420" w:firstLineChars="200"/>
        <w:jc w:val="left"/>
        <w:rPr>
          <w:rFonts w:ascii="宋体" w:hAnsi="宋体"/>
          <w:color w:val="auto"/>
          <w:szCs w:val="24"/>
          <w:highlight w:val="none"/>
        </w:rPr>
      </w:pPr>
      <w:r>
        <w:rPr>
          <w:rFonts w:hint="eastAsia" w:ascii="宋体" w:hAnsi="宋体"/>
          <w:color w:val="auto"/>
          <w:szCs w:val="24"/>
          <w:highlight w:val="none"/>
        </w:rPr>
        <w:t>4、合同签订地点：</w:t>
      </w:r>
      <w:r>
        <w:rPr>
          <w:rFonts w:hint="eastAsia" w:ascii="宋体" w:hAnsi="宋体"/>
          <w:color w:val="auto"/>
          <w:szCs w:val="24"/>
          <w:highlight w:val="none"/>
          <w:lang w:eastAsia="zh-CN"/>
        </w:rPr>
        <w:t>潼关县林业局</w:t>
      </w:r>
      <w:r>
        <w:rPr>
          <w:rFonts w:hint="eastAsia" w:ascii="宋体" w:hAnsi="宋体"/>
          <w:color w:val="auto"/>
          <w:szCs w:val="24"/>
          <w:highlight w:val="none"/>
        </w:rPr>
        <w:t>。</w:t>
      </w:r>
    </w:p>
    <w:p w14:paraId="4FFA4430">
      <w:pPr>
        <w:pStyle w:val="7"/>
        <w:ind w:firstLine="360"/>
        <w:rPr>
          <w:rFonts w:ascii="宋体" w:hAnsi="宋体"/>
          <w:color w:val="auto"/>
          <w:highlight w:val="none"/>
        </w:rPr>
      </w:pPr>
    </w:p>
    <w:tbl>
      <w:tblPr>
        <w:tblStyle w:val="9"/>
        <w:tblpPr w:leftFromText="180" w:rightFromText="180" w:vertAnchor="text" w:horzAnchor="page" w:tblpX="1438" w:tblpY="637"/>
        <w:tblOverlap w:val="never"/>
        <w:tblW w:w="5211" w:type="pct"/>
        <w:tblInd w:w="0" w:type="dxa"/>
        <w:tblLayout w:type="autofit"/>
        <w:tblCellMar>
          <w:top w:w="0" w:type="dxa"/>
          <w:left w:w="108" w:type="dxa"/>
          <w:bottom w:w="0" w:type="dxa"/>
          <w:right w:w="108" w:type="dxa"/>
        </w:tblCellMar>
      </w:tblPr>
      <w:tblGrid>
        <w:gridCol w:w="4632"/>
        <w:gridCol w:w="4250"/>
      </w:tblGrid>
      <w:tr w14:paraId="13A5027E">
        <w:trPr>
          <w:trHeight w:val="123" w:hRule="atLeast"/>
        </w:trPr>
        <w:tc>
          <w:tcPr>
            <w:tcW w:w="2607" w:type="pct"/>
            <w:vAlign w:val="center"/>
          </w:tcPr>
          <w:p w14:paraId="2A4216F8">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甲方（盖章）：</w:t>
            </w:r>
            <w:r>
              <w:rPr>
                <w:rFonts w:hint="eastAsia" w:ascii="宋体" w:hAnsi="宋体"/>
                <w:color w:val="auto"/>
                <w:szCs w:val="24"/>
                <w:highlight w:val="none"/>
                <w:lang w:eastAsia="zh-CN"/>
              </w:rPr>
              <w:t>潼关县林业局</w:t>
            </w:r>
            <w:r>
              <w:rPr>
                <w:rFonts w:hint="eastAsia" w:ascii="宋体" w:hAnsi="宋体"/>
                <w:color w:val="auto"/>
                <w:szCs w:val="24"/>
                <w:highlight w:val="none"/>
              </w:rPr>
              <w:t xml:space="preserve"> </w:t>
            </w:r>
          </w:p>
          <w:p w14:paraId="6F515506">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4719B5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25EE71A0">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5E6A745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461FC99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w:t>
            </w:r>
          </w:p>
          <w:p w14:paraId="13E72DC9">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70636B7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w:t>
            </w:r>
          </w:p>
          <w:p w14:paraId="7E17F9B4">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70A75A8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4CB6667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c>
          <w:tcPr>
            <w:tcW w:w="2392" w:type="pct"/>
            <w:vAlign w:val="center"/>
          </w:tcPr>
          <w:p w14:paraId="08A715CB">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乙方（盖章）：</w:t>
            </w:r>
          </w:p>
          <w:p w14:paraId="22EF7271">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法定代表人：</w:t>
            </w:r>
          </w:p>
          <w:p w14:paraId="6A4817BC">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（签字或盖章）</w:t>
            </w:r>
          </w:p>
          <w:p w14:paraId="739B7748">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或授权代表：</w:t>
            </w:r>
          </w:p>
          <w:p w14:paraId="09A8EA2E">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（签字）</w:t>
            </w:r>
          </w:p>
          <w:p w14:paraId="4DD822B4">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单位地址：</w:t>
            </w:r>
          </w:p>
          <w:p w14:paraId="56B178BA">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联系人：</w:t>
            </w:r>
          </w:p>
          <w:p w14:paraId="7DE3F99D">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联系电话：</w:t>
            </w:r>
          </w:p>
          <w:p w14:paraId="3B5B2CF9">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开户银行：</w:t>
            </w:r>
          </w:p>
          <w:p w14:paraId="37C69062">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银行帐号：</w:t>
            </w:r>
          </w:p>
          <w:p w14:paraId="3F4EB6D0">
            <w:pPr>
              <w:pStyle w:val="6"/>
              <w:widowControl/>
              <w:spacing w:line="480" w:lineRule="exact"/>
              <w:jc w:val="both"/>
              <w:rPr>
                <w:rFonts w:ascii="宋体" w:hAnsi="宋体"/>
                <w:color w:val="auto"/>
                <w:szCs w:val="24"/>
                <w:highlight w:val="none"/>
              </w:rPr>
            </w:pPr>
            <w:r>
              <w:rPr>
                <w:rFonts w:hint="eastAsia" w:ascii="宋体" w:hAnsi="宋体"/>
                <w:color w:val="auto"/>
                <w:szCs w:val="24"/>
                <w:highlight w:val="none"/>
              </w:rPr>
              <w:t>签订日期：2026年   月   日</w:t>
            </w:r>
          </w:p>
        </w:tc>
      </w:tr>
    </w:tbl>
    <w:p w14:paraId="5CD172AA">
      <w:pPr>
        <w:spacing w:line="560" w:lineRule="exact"/>
        <w:ind w:firstLine="420" w:firstLineChars="200"/>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9D3840"/>
    <w:rsid w:val="00070F44"/>
    <w:rsid w:val="0018031A"/>
    <w:rsid w:val="009D3840"/>
    <w:rsid w:val="00B07E19"/>
    <w:rsid w:val="00D22481"/>
    <w:rsid w:val="01091F26"/>
    <w:rsid w:val="029C1412"/>
    <w:rsid w:val="047E2BDC"/>
    <w:rsid w:val="04AD7ABA"/>
    <w:rsid w:val="060C64A3"/>
    <w:rsid w:val="07554228"/>
    <w:rsid w:val="088B0AD2"/>
    <w:rsid w:val="08B82EF3"/>
    <w:rsid w:val="0B060E63"/>
    <w:rsid w:val="0CA43C19"/>
    <w:rsid w:val="0E6810FB"/>
    <w:rsid w:val="14B37887"/>
    <w:rsid w:val="15EE2D41"/>
    <w:rsid w:val="1A9B4D19"/>
    <w:rsid w:val="1E8D5F3B"/>
    <w:rsid w:val="20045859"/>
    <w:rsid w:val="22983D97"/>
    <w:rsid w:val="22AF0896"/>
    <w:rsid w:val="22FB2867"/>
    <w:rsid w:val="22FE48A1"/>
    <w:rsid w:val="23002CC8"/>
    <w:rsid w:val="29450034"/>
    <w:rsid w:val="29E259F5"/>
    <w:rsid w:val="2CF40789"/>
    <w:rsid w:val="2D23061C"/>
    <w:rsid w:val="2DB155D6"/>
    <w:rsid w:val="2F193C67"/>
    <w:rsid w:val="30332969"/>
    <w:rsid w:val="305425A9"/>
    <w:rsid w:val="32F94991"/>
    <w:rsid w:val="34651AF2"/>
    <w:rsid w:val="34FC549D"/>
    <w:rsid w:val="366E3E9D"/>
    <w:rsid w:val="3A102E54"/>
    <w:rsid w:val="3B6E0E98"/>
    <w:rsid w:val="3DF24001"/>
    <w:rsid w:val="435720D9"/>
    <w:rsid w:val="459B04FB"/>
    <w:rsid w:val="46784A78"/>
    <w:rsid w:val="475F17EC"/>
    <w:rsid w:val="4D6132AA"/>
    <w:rsid w:val="4E0B7D9B"/>
    <w:rsid w:val="50CA2930"/>
    <w:rsid w:val="51F233A7"/>
    <w:rsid w:val="57BB08A7"/>
    <w:rsid w:val="58907E91"/>
    <w:rsid w:val="58DF3ACC"/>
    <w:rsid w:val="59C3741A"/>
    <w:rsid w:val="5B1E7567"/>
    <w:rsid w:val="5C440896"/>
    <w:rsid w:val="5E496E33"/>
    <w:rsid w:val="623C6124"/>
    <w:rsid w:val="65A67BEF"/>
    <w:rsid w:val="68FC4253"/>
    <w:rsid w:val="690A53D6"/>
    <w:rsid w:val="6AF83D38"/>
    <w:rsid w:val="6C476CA0"/>
    <w:rsid w:val="6E4E7318"/>
    <w:rsid w:val="7312139A"/>
    <w:rsid w:val="773B10EA"/>
    <w:rsid w:val="78571E88"/>
    <w:rsid w:val="78F637DD"/>
    <w:rsid w:val="7B864284"/>
    <w:rsid w:val="7B9C2A4D"/>
    <w:rsid w:val="7BBB198C"/>
    <w:rsid w:val="7CA10B3D"/>
    <w:rsid w:val="7DCC55D8"/>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0"/>
    <w:pPr>
      <w:keepNext/>
      <w:jc w:val="center"/>
      <w:outlineLvl w:val="0"/>
    </w:pPr>
    <w:rPr>
      <w:rFonts w:ascii="黑体" w:eastAsia="黑体"/>
      <w:sz w:val="28"/>
    </w:rPr>
  </w:style>
  <w:style w:type="paragraph" w:styleId="3">
    <w:name w:val="heading 2"/>
    <w:basedOn w:val="1"/>
    <w:next w:val="1"/>
    <w:qFormat/>
    <w:uiPriority w:val="0"/>
    <w:pPr>
      <w:keepNext/>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semiHidden/>
    <w:unhideWhenUsed/>
    <w:qFormat/>
    <w:uiPriority w:val="99"/>
    <w:pPr>
      <w:spacing w:beforeAutospacing="1"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3">
    <w:name w:val="标题 1 Char"/>
    <w:link w:val="2"/>
    <w:qFormat/>
    <w:uiPriority w:val="0"/>
    <w:rPr>
      <w:rFonts w:ascii="黑体" w:eastAsia="黑体"/>
      <w:sz w:val="28"/>
    </w:rPr>
  </w:style>
  <w:style w:type="paragraph" w:customStyle="1" w:styleId="14">
    <w:name w:val="p0"/>
    <w:basedOn w:val="1"/>
    <w:qFormat/>
    <w:uiPriority w:val="0"/>
    <w:pPr>
      <w:widowControl/>
      <w:jc w:val="left"/>
    </w:pPr>
    <w:rPr>
      <w:rFonts w:ascii="Calibri" w:hAnsi="Calibri"/>
      <w:kern w:val="0"/>
      <w:szCs w:val="21"/>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paragraph" w:customStyle="1" w:styleId="17">
    <w:name w:val="Default"/>
    <w:autoRedefine/>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2041</Words>
  <Characters>2068</Characters>
  <Lines>17</Lines>
  <Paragraphs>4</Paragraphs>
  <TotalTime>2</TotalTime>
  <ScaleCrop>false</ScaleCrop>
  <LinksUpToDate>false</LinksUpToDate>
  <CharactersWithSpaces>2208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2026-03-25T01:30:00Z</dcterms:created>
  <dc:creator>hc618</dc:creator>
  <cp:lastModifiedBy>Bella</cp:lastModifiedBy>
  <cp:lastPrinted>2025-07-02T03:20:00Z</cp:lastPrinted>
  <dcterms:modified xsi:type="dcterms:W3CDTF">2026-05-15T01:56:37Z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C45845A802BB459FBF6B5D4ED7F78626_13</vt:lpwstr>
  </property>
  <property fmtid="{D5CDD505-2E9C-101B-9397-08002B2CF9AE}" pid="4" name="KSOTemplateDocerSaveRecord">
    <vt:lpwstr>eyJoZGlkIjoiNDNkZTczOGQ2NDE0NjZiYjUwZGEyODQ3NzdhMDZmZGUiLCJ1c2VySWQiOiI0OTM1MTMxNTEifQ==</vt:lpwstr>
  </property>
</Properties>
</file>