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版本号：HXZK2026ZC042300120260428001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12122热线运行维护</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HXZK2026ZC0423001</w:t>
      </w:r>
      <w:r>
        <w:br/>
      </w:r>
      <w:r>
        <w:br/>
      </w:r>
      <w:r>
        <w:br/>
      </w:r>
    </w:p>
    <w:p>
      <w:pPr>
        <w:pStyle w:val="null3"/>
        <w:jc w:val="center"/>
        <w:outlineLvl w:val="2"/>
      </w:pPr>
      <w:r>
        <w:rPr>
          <w:rFonts w:ascii="仿宋_GB2312" w:hAnsi="仿宋_GB2312" w:cs="仿宋_GB2312" w:eastAsia="仿宋_GB2312"/>
          <w:sz w:val="28"/>
          <w:b/>
        </w:rPr>
        <w:t>陕西省高速公路收费中心</w:t>
      </w:r>
    </w:p>
    <w:p>
      <w:pPr>
        <w:pStyle w:val="null3"/>
        <w:jc w:val="center"/>
        <w:outlineLvl w:val="2"/>
      </w:pPr>
      <w:r>
        <w:rPr>
          <w:rFonts w:ascii="仿宋_GB2312" w:hAnsi="仿宋_GB2312" w:cs="仿宋_GB2312" w:eastAsia="仿宋_GB2312"/>
          <w:sz w:val="28"/>
          <w:b/>
        </w:rPr>
        <w:t>华夏正康（陕西）工程技术有限公司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华夏正康（陕西）工程技术有限公司</w:t>
      </w:r>
      <w:r>
        <w:rPr>
          <w:rFonts w:ascii="仿宋_GB2312" w:hAnsi="仿宋_GB2312" w:cs="仿宋_GB2312" w:eastAsia="仿宋_GB2312"/>
        </w:rPr>
        <w:t>（以下简称“代理机构”）受</w:t>
      </w:r>
      <w:r>
        <w:rPr>
          <w:rFonts w:ascii="仿宋_GB2312" w:hAnsi="仿宋_GB2312" w:cs="仿宋_GB2312" w:eastAsia="仿宋_GB2312"/>
        </w:rPr>
        <w:t>陕西省高速公路收费中心</w:t>
      </w:r>
      <w:r>
        <w:rPr>
          <w:rFonts w:ascii="仿宋_GB2312" w:hAnsi="仿宋_GB2312" w:cs="仿宋_GB2312" w:eastAsia="仿宋_GB2312"/>
        </w:rPr>
        <w:t>委托，拟对</w:t>
      </w:r>
      <w:r>
        <w:rPr>
          <w:rFonts w:ascii="仿宋_GB2312" w:hAnsi="仿宋_GB2312" w:cs="仿宋_GB2312" w:eastAsia="仿宋_GB2312"/>
        </w:rPr>
        <w:t>12122热线运行维护</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HXZK2026ZC0423001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12122热线运行维护</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12122热线全年24小时不间断运行，负责受理交通信息咨询，转达行业投诉举报和意见建议，协调转达求助信息。为确保12122热线系统运行平稳，需开展年度软硬件维护。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采购包1（12122 热线运行维护）：属于专门面向中小企业采购。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1、营业执照或其他组织：具有独立承担民事责任能力的法人、其他组织或自然人，提供营业执照/事业单位法人证书/非企业专业服务机构执业许可证/自然人身份证。 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2、供应商应授权合法的人员参加磋商全过程：法定代表人直接参加的，提供法定代表人身份证；授权代表参加的，提供法定代表人授权书（附法定代表人及授权代表身份证）；非法人单位参照执行。 供应商需在项目电子化交易系统中按要求上传相应证明文件并进行电子签章。</w:t>
      </w:r>
    </w:p>
    <w:p>
      <w:pPr>
        <w:pStyle w:val="null3"/>
      </w:pPr>
      <w:r>
        <w:rPr>
          <w:rFonts w:ascii="仿宋_GB2312" w:hAnsi="仿宋_GB2312" w:cs="仿宋_GB2312" w:eastAsia="仿宋_GB2312"/>
        </w:rPr>
        <w:t>3、财务状况：提供2024年度或2025年度的财务审计报告并具有在“注册会计师行业统一监管平台”赋予的验证码(包括审计报告、资产负债表、利润表、现金流量表、所有者权益变动表及其附注等，成立时间至提交响应文件截止时间不足一年的可提供成立后任意时段的资产负债表)，或其响应文件提交截止时间前三个月内银行出具的资信证明，或信用担保机构出具的投标担保函(以上三种形式的资料提供任何一种即可)。 供应商需在项目电子化交易系统中按要求上传相应证明文件并进行电子签章。</w:t>
      </w:r>
    </w:p>
    <w:p>
      <w:pPr>
        <w:pStyle w:val="null3"/>
      </w:pPr>
      <w:r>
        <w:rPr>
          <w:rFonts w:ascii="仿宋_GB2312" w:hAnsi="仿宋_GB2312" w:cs="仿宋_GB2312" w:eastAsia="仿宋_GB2312"/>
        </w:rPr>
        <w:t>4、依法缴纳税收证明资料：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 供应商需在项目电子化交易系统中按要求上传相应证明文件并进行电子签章。</w:t>
      </w:r>
    </w:p>
    <w:p>
      <w:pPr>
        <w:pStyle w:val="null3"/>
      </w:pPr>
      <w:r>
        <w:rPr>
          <w:rFonts w:ascii="仿宋_GB2312" w:hAnsi="仿宋_GB2312" w:cs="仿宋_GB2312" w:eastAsia="仿宋_GB2312"/>
        </w:rPr>
        <w:t>5、依法缴纳社会保险证明资料：提供响应文件提交截止时间前一年内至少一个月已缴纳的社会保障资金缴存单据或社保机构开具的社会保险参保缴费情况证明，依法不需要缴纳社会保障资金的单位应提供相关证明材料。 供应商需在项目电子化交易系统中按要求上传相应证明文件并进行电子签章。</w:t>
      </w:r>
    </w:p>
    <w:p>
      <w:pPr>
        <w:pStyle w:val="null3"/>
      </w:pPr>
      <w:r>
        <w:rPr>
          <w:rFonts w:ascii="仿宋_GB2312" w:hAnsi="仿宋_GB2312" w:cs="仿宋_GB2312" w:eastAsia="仿宋_GB2312"/>
        </w:rPr>
        <w:t>6、承诺书：提供具有履行合同所必需的设备和专业技术能力的承诺。 供应商需在项目电子化交易系统中按要求上传相应证明文件并进行电子签章。</w:t>
      </w:r>
    </w:p>
    <w:p>
      <w:pPr>
        <w:pStyle w:val="null3"/>
      </w:pPr>
      <w:r>
        <w:rPr>
          <w:rFonts w:ascii="仿宋_GB2312" w:hAnsi="仿宋_GB2312" w:cs="仿宋_GB2312" w:eastAsia="仿宋_GB2312"/>
        </w:rPr>
        <w:t>7、书面声明：提供参加政府采购活动前三年内在经营活动中没有重大违法记录的书面声明。 供应商需在项目电子化交易系统中按要求上传相应证明文件并进行电子签章。</w:t>
      </w:r>
    </w:p>
    <w:p>
      <w:pPr>
        <w:pStyle w:val="null3"/>
      </w:pPr>
      <w:r>
        <w:rPr>
          <w:rFonts w:ascii="仿宋_GB2312" w:hAnsi="仿宋_GB2312" w:cs="仿宋_GB2312" w:eastAsia="仿宋_GB2312"/>
        </w:rPr>
        <w:t>8、控股管理关系：单位负责人为同一人或者存在直接控股、管理关系的不同供应商，不得参加同一合同项下的政府采购活动。供应商需在项目电子化交易系统中按要求上传相应证明文件并进行电子签章。</w:t>
      </w:r>
    </w:p>
    <w:p>
      <w:pPr>
        <w:pStyle w:val="null3"/>
      </w:pPr>
      <w:r>
        <w:rPr>
          <w:rFonts w:ascii="仿宋_GB2312" w:hAnsi="仿宋_GB2312" w:cs="仿宋_GB2312" w:eastAsia="仿宋_GB2312"/>
        </w:rPr>
        <w:t>9、非联合体磋商：本采购包不接受联合体磋商，供应商提供非联合体磋商承诺书。 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陕西省高速公路收费中心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029-86531245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华夏正康（陕西）工程技术有限公司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陕西省西安市雁塔区高新路15号城建大厦4楼401室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薛淑丹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17791951522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无产品</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开户名称：华夏正康（陕西）工程技术有限公司</w:t>
            </w:r>
          </w:p>
          <w:p>
            <w:pPr>
              <w:pStyle w:val="null3"/>
            </w:pPr>
            <w:r>
              <w:rPr>
                <w:rFonts w:ascii="仿宋_GB2312" w:hAnsi="仿宋_GB2312" w:cs="仿宋_GB2312" w:eastAsia="仿宋_GB2312"/>
              </w:rPr>
              <w:t>开户银行：中国建设银行股份有限公司西安咸宁中路支行</w:t>
            </w:r>
          </w:p>
          <w:p>
            <w:pPr>
              <w:pStyle w:val="null3"/>
            </w:pPr>
            <w:r>
              <w:rPr>
                <w:rFonts w:ascii="仿宋_GB2312" w:hAnsi="仿宋_GB2312" w:cs="仿宋_GB2312" w:eastAsia="仿宋_GB2312"/>
              </w:rPr>
              <w:t>银行账号：61050173430000001131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改革委办公厅颁发的《关于招标代理服务收费有关问题的通知》（发改办价格『2003』857号）规定，代理采购项目实际成交金额为计算基准按1980号文件类标准的 89% 向中标（成交）供应商收取代理服务费。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陕西省高速公路收费中心</w:t>
      </w:r>
      <w:r>
        <w:rPr>
          <w:rFonts w:ascii="仿宋_GB2312" w:hAnsi="仿宋_GB2312" w:cs="仿宋_GB2312" w:eastAsia="仿宋_GB2312"/>
        </w:rPr>
        <w:t>和</w:t>
      </w:r>
      <w:r>
        <w:rPr>
          <w:rFonts w:ascii="仿宋_GB2312" w:hAnsi="仿宋_GB2312" w:cs="仿宋_GB2312" w:eastAsia="仿宋_GB2312"/>
        </w:rPr>
        <w:t>华夏正康（陕西）工程技术有限公司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陕西省高速公路收费中心</w:t>
      </w:r>
      <w:r>
        <w:rPr>
          <w:rFonts w:ascii="仿宋_GB2312" w:hAnsi="仿宋_GB2312" w:cs="仿宋_GB2312" w:eastAsia="仿宋_GB2312"/>
        </w:rPr>
        <w:t>负责解释。除上述磋商文件内容，其他内容由</w:t>
      </w:r>
      <w:r>
        <w:rPr>
          <w:rFonts w:ascii="仿宋_GB2312" w:hAnsi="仿宋_GB2312" w:cs="仿宋_GB2312" w:eastAsia="仿宋_GB2312"/>
        </w:rPr>
        <w:t>华夏正康（陕西）工程技术有限公司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陕西省高速公路收费中心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华夏正康（陕西）工程技术有限公司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项目履约验收主体为采购人，验收工作流程为供应商提出验收申请之日起30日内，由采购人组织验收工作。本项目为一次性验收，采购人严格按照磋商文件、响应文件和合同约定内容进行履约验收。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华夏正康（陕西）工程技术有限公司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华夏正康（陕西）工程技术有限公司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华夏正康（陕西）工程技术有限公司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联系人：薛淑丹</w:t>
      </w:r>
    </w:p>
    <w:p>
      <w:pPr>
        <w:pStyle w:val="null3"/>
      </w:pPr>
      <w:r>
        <w:rPr>
          <w:rFonts w:ascii="仿宋_GB2312" w:hAnsi="仿宋_GB2312" w:cs="仿宋_GB2312" w:eastAsia="仿宋_GB2312"/>
        </w:rPr>
        <w:t>联系电话：17791951522</w:t>
      </w:r>
    </w:p>
    <w:p>
      <w:pPr>
        <w:pStyle w:val="null3"/>
      </w:pPr>
      <w:r>
        <w:rPr>
          <w:rFonts w:ascii="仿宋_GB2312" w:hAnsi="仿宋_GB2312" w:cs="仿宋_GB2312" w:eastAsia="仿宋_GB2312"/>
        </w:rPr>
        <w:t>地址：陕西省西安市雁塔区高新路15号城建大厦4楼401室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12122热线全年24小时不间断运行，负责受理交通信息咨询，转达行业投诉举报和意见建议，协调转达求助信息。为确保12122热线系统运行平稳，需开展年度软硬件维护。</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780,000.00</w:t>
      </w:r>
    </w:p>
    <w:p>
      <w:pPr>
        <w:pStyle w:val="null3"/>
      </w:pPr>
      <w:r>
        <w:rPr>
          <w:rFonts w:ascii="仿宋_GB2312" w:hAnsi="仿宋_GB2312" w:cs="仿宋_GB2312" w:eastAsia="仿宋_GB2312"/>
        </w:rPr>
        <w:t>采购包最高限价（元）: 780,000.00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12122热线运行维护</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信息传输业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标的名称：12122热线运行维护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jc w:val="left"/>
            </w:pPr>
            <w:r>
              <w:rPr>
                <w:rFonts w:ascii="仿宋_GB2312" w:hAnsi="仿宋_GB2312" w:cs="仿宋_GB2312" w:eastAsia="仿宋_GB2312"/>
                <w:sz w:val="20"/>
              </w:rPr>
              <w:t>一</w:t>
            </w:r>
            <w:r>
              <w:rPr>
                <w:rFonts w:ascii="仿宋_GB2312" w:hAnsi="仿宋_GB2312" w:cs="仿宋_GB2312" w:eastAsia="仿宋_GB2312"/>
                <w:sz w:val="20"/>
              </w:rPr>
              <w:t>、服务内容</w:t>
            </w:r>
          </w:p>
          <w:p>
            <w:pPr>
              <w:pStyle w:val="null3"/>
              <w:ind w:firstLine="400"/>
              <w:jc w:val="left"/>
            </w:pPr>
            <w:r>
              <w:rPr>
                <w:rFonts w:ascii="仿宋_GB2312" w:hAnsi="仿宋_GB2312" w:cs="仿宋_GB2312" w:eastAsia="仿宋_GB2312"/>
                <w:sz w:val="20"/>
              </w:rPr>
              <w:t>（一）</w:t>
            </w:r>
            <w:r>
              <w:rPr>
                <w:rFonts w:ascii="仿宋_GB2312" w:hAnsi="仿宋_GB2312" w:cs="仿宋_GB2312" w:eastAsia="仿宋_GB2312"/>
                <w:sz w:val="20"/>
              </w:rPr>
              <w:t>12122热线系统软件运行维护</w:t>
            </w:r>
          </w:p>
          <w:p>
            <w:pPr>
              <w:pStyle w:val="null3"/>
              <w:ind w:firstLine="400"/>
              <w:jc w:val="left"/>
            </w:pPr>
            <w:r>
              <w:rPr>
                <w:rFonts w:ascii="仿宋_GB2312" w:hAnsi="仿宋_GB2312" w:cs="仿宋_GB2312" w:eastAsia="仿宋_GB2312"/>
                <w:sz w:val="20"/>
              </w:rPr>
              <w:t>包括业务系统、话务系统（包含话务底层扩容部分）及智能语音导航系统等软件的稳定运行状态日常监测和维护工作，配合重大活动的临时保障工作。</w:t>
            </w:r>
          </w:p>
          <w:p>
            <w:pPr>
              <w:pStyle w:val="null3"/>
              <w:ind w:firstLine="400"/>
              <w:jc w:val="left"/>
            </w:pPr>
            <w:r>
              <w:rPr>
                <w:rFonts w:ascii="仿宋_GB2312" w:hAnsi="仿宋_GB2312" w:cs="仿宋_GB2312" w:eastAsia="仿宋_GB2312"/>
                <w:sz w:val="20"/>
              </w:rPr>
              <w:t>（二）</w:t>
            </w:r>
            <w:r>
              <w:rPr>
                <w:rFonts w:ascii="仿宋_GB2312" w:hAnsi="仿宋_GB2312" w:cs="仿宋_GB2312" w:eastAsia="仿宋_GB2312"/>
                <w:sz w:val="20"/>
              </w:rPr>
              <w:t>12122热线硬件设备运行维护</w:t>
            </w:r>
          </w:p>
          <w:p>
            <w:pPr>
              <w:pStyle w:val="null3"/>
              <w:ind w:firstLine="400"/>
              <w:jc w:val="left"/>
            </w:pPr>
            <w:r>
              <w:rPr>
                <w:rFonts w:ascii="仿宋_GB2312" w:hAnsi="仿宋_GB2312" w:cs="仿宋_GB2312" w:eastAsia="仿宋_GB2312"/>
                <w:sz w:val="20"/>
              </w:rPr>
              <w:t>1．机房设备运行维护：提供4楼机房超融合一体机、超融合交换机、汇聚交换机、接入交换机、代理服务器、语音网关、内存条、机柜、光猫的日常维护、安全巡检（包括不限于用户、权限、口令等检查）、检修工作，根据检查结果及时更新优化；对发现故障进行排查、处理并记录；故障维修期间，提供备件临时应急使用，避免因维修故障期间硬件设备长时间停机对业务正常使用造成影响，确保12122热线系统正常运行。</w:t>
            </w:r>
          </w:p>
          <w:p>
            <w:pPr>
              <w:pStyle w:val="null3"/>
              <w:ind w:firstLine="400"/>
              <w:jc w:val="left"/>
            </w:pPr>
            <w:r>
              <w:rPr>
                <w:rFonts w:ascii="仿宋_GB2312" w:hAnsi="仿宋_GB2312" w:cs="仿宋_GB2312" w:eastAsia="仿宋_GB2312"/>
                <w:sz w:val="20"/>
              </w:rPr>
              <w:t>2．监控设备运行维护：提供5楼12122座席区域2台监控摄像头、1台硬盘录像机、1台监控显示器的硬件及监控软件系统日常维护、故障响应及维修服务，包括设备巡检、调试、配置、保养、故障维护、检修和配件更换及材料费用。</w:t>
            </w:r>
          </w:p>
          <w:p>
            <w:pPr>
              <w:pStyle w:val="null3"/>
              <w:ind w:firstLine="400"/>
              <w:jc w:val="left"/>
            </w:pPr>
            <w:r>
              <w:rPr>
                <w:rFonts w:ascii="仿宋_GB2312" w:hAnsi="仿宋_GB2312" w:cs="仿宋_GB2312" w:eastAsia="仿宋_GB2312"/>
                <w:sz w:val="20"/>
              </w:rPr>
              <w:t>3．座席设备运行维护：提供5楼、6楼12122坐席区域包含台式电脑103台、IP话机60台以及座席耳麦60套设备日常维护、故障响应和检修工作。</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台式电脑103台：提供故障响应和维修服务；提供终端系统安全管理，包括漏洞病毒查杀、补丁升级、防护软件安装维护，操作系统维护，系统问题处理、系统及常用软件安装、调试、维护，终端系统操作使用培训、技术支持；提供设备硬件维护、巡检、故障检修、配件更换服务及材料费用。</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2）IP话机60台：提供故障响应和维修服务；提供各设备巡检维护服务；话机调试、配置，话机硬件保养、故障维护、检修、处理和更换，内核系统升级（原厂商提供升级版本前提下）所需的人工及材料费。</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3）座席耳麦60套：座席话务专业耳麦的维护保养、故障维修直至更换全新专业耳麦。</w:t>
            </w:r>
          </w:p>
          <w:p>
            <w:pPr>
              <w:pStyle w:val="null3"/>
              <w:ind w:firstLine="400"/>
              <w:jc w:val="left"/>
            </w:pPr>
            <w:r>
              <w:rPr>
                <w:rFonts w:ascii="仿宋_GB2312" w:hAnsi="仿宋_GB2312" w:cs="仿宋_GB2312" w:eastAsia="仿宋_GB2312"/>
                <w:sz w:val="20"/>
              </w:rPr>
              <w:t>4．维护清单：详见附件，12122软件、硬件设备及网络维护清单。</w:t>
            </w:r>
          </w:p>
          <w:p>
            <w:pPr>
              <w:pStyle w:val="null3"/>
              <w:ind w:firstLine="400"/>
              <w:jc w:val="left"/>
            </w:pPr>
            <w:r>
              <w:rPr>
                <w:rFonts w:ascii="仿宋_GB2312" w:hAnsi="仿宋_GB2312" w:cs="仿宋_GB2312" w:eastAsia="仿宋_GB2312"/>
                <w:sz w:val="20"/>
              </w:rPr>
              <w:t>（三）其他运维服务</w:t>
            </w:r>
          </w:p>
          <w:p>
            <w:pPr>
              <w:pStyle w:val="null3"/>
              <w:ind w:firstLine="400"/>
              <w:jc w:val="left"/>
            </w:pPr>
            <w:r>
              <w:rPr>
                <w:rFonts w:ascii="仿宋_GB2312" w:hAnsi="仿宋_GB2312" w:cs="仿宋_GB2312" w:eastAsia="仿宋_GB2312"/>
                <w:sz w:val="20"/>
              </w:rPr>
              <w:t>1．提供超融合一体机专业服务，购买硬件设备的专业服务以及软件维护专业服务，包含硬件质保、上门服务维修以及配件更换服务等。</w:t>
            </w:r>
          </w:p>
          <w:p>
            <w:pPr>
              <w:pStyle w:val="null3"/>
              <w:ind w:firstLine="400"/>
              <w:jc w:val="left"/>
            </w:pPr>
            <w:r>
              <w:rPr>
                <w:rFonts w:ascii="仿宋_GB2312" w:hAnsi="仿宋_GB2312" w:cs="仿宋_GB2312" w:eastAsia="仿宋_GB2312"/>
                <w:sz w:val="20"/>
              </w:rPr>
              <w:t>2.</w:t>
            </w:r>
            <w:r>
              <w:rPr>
                <w:rFonts w:ascii="仿宋_GB2312" w:hAnsi="仿宋_GB2312" w:cs="仿宋_GB2312" w:eastAsia="仿宋_GB2312"/>
                <w:sz w:val="20"/>
              </w:rPr>
              <w:t>安全运维服务：主要包含响应网络安全事件、修复发现的漏洞、升级更新补丁、定期审核用户权限、清理僵尸数据、配合应急演练等日常维护；提供</w:t>
            </w:r>
            <w:r>
              <w:rPr>
                <w:rFonts w:ascii="仿宋_GB2312" w:hAnsi="仿宋_GB2312" w:cs="仿宋_GB2312" w:eastAsia="仿宋_GB2312"/>
                <w:sz w:val="20"/>
              </w:rPr>
              <w:t>5楼、6楼共163个网络接入节点日常维护、故障响应及维修服务，包括各网络接入节点、接入网络环境的巡检维护、故障处理、线路调整、终端网络施工和维修服务工作。</w:t>
            </w:r>
          </w:p>
          <w:p>
            <w:pPr>
              <w:pStyle w:val="null3"/>
              <w:ind w:firstLine="400"/>
              <w:jc w:val="left"/>
            </w:pPr>
            <w:r>
              <w:rPr>
                <w:rFonts w:ascii="仿宋_GB2312" w:hAnsi="仿宋_GB2312" w:cs="仿宋_GB2312" w:eastAsia="仿宋_GB2312"/>
                <w:sz w:val="20"/>
              </w:rPr>
              <w:t>二</w:t>
            </w:r>
            <w:r>
              <w:rPr>
                <w:rFonts w:ascii="仿宋_GB2312" w:hAnsi="仿宋_GB2312" w:cs="仿宋_GB2312" w:eastAsia="仿宋_GB2312"/>
                <w:sz w:val="20"/>
              </w:rPr>
              <w:t>、服务要求</w:t>
            </w:r>
          </w:p>
          <w:p>
            <w:pPr>
              <w:pStyle w:val="null3"/>
              <w:ind w:firstLine="400"/>
              <w:jc w:val="left"/>
            </w:pPr>
            <w:r>
              <w:rPr>
                <w:rFonts w:ascii="仿宋_GB2312" w:hAnsi="仿宋_GB2312" w:cs="仿宋_GB2312" w:eastAsia="仿宋_GB2312"/>
                <w:sz w:val="20"/>
              </w:rPr>
              <w:t>（一）服务基本要求</w:t>
            </w:r>
          </w:p>
          <w:p>
            <w:pPr>
              <w:pStyle w:val="null3"/>
              <w:ind w:firstLine="400"/>
              <w:jc w:val="left"/>
            </w:pPr>
            <w:r>
              <w:rPr>
                <w:rFonts w:ascii="仿宋_GB2312" w:hAnsi="仿宋_GB2312" w:cs="仿宋_GB2312" w:eastAsia="仿宋_GB2312"/>
                <w:sz w:val="20"/>
              </w:rPr>
              <w:t>1.12122热线系统软件、硬件设备及安全运维服务：</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）技术支持服务</w:t>
            </w:r>
          </w:p>
          <w:p>
            <w:pPr>
              <w:pStyle w:val="null3"/>
              <w:ind w:firstLine="400"/>
              <w:jc w:val="left"/>
            </w:pPr>
            <w:r>
              <w:rPr>
                <w:rFonts w:ascii="仿宋_GB2312" w:hAnsi="仿宋_GB2312" w:cs="仿宋_GB2312" w:eastAsia="仿宋_GB2312"/>
                <w:sz w:val="20"/>
              </w:rPr>
              <w:t>①日常运维服务：针对维护范围内的软件系统、硬件设备及网络，提供日常维护、定期巡检、性能测试、故障排查等驻场服务，</w:t>
            </w:r>
            <w:r>
              <w:rPr>
                <w:rFonts w:ascii="仿宋_GB2312" w:hAnsi="仿宋_GB2312" w:cs="仿宋_GB2312" w:eastAsia="仿宋_GB2312"/>
                <w:sz w:val="20"/>
              </w:rPr>
              <w:t>工作日每日</w:t>
            </w:r>
            <w:r>
              <w:rPr>
                <w:rFonts w:ascii="仿宋_GB2312" w:hAnsi="仿宋_GB2312" w:cs="仿宋_GB2312" w:eastAsia="仿宋_GB2312"/>
                <w:sz w:val="20"/>
              </w:rPr>
              <w:t>8:30至17:30在采购人所在地驻场维护，</w:t>
            </w:r>
            <w:r>
              <w:rPr>
                <w:rFonts w:ascii="仿宋_GB2312" w:hAnsi="仿宋_GB2312" w:cs="仿宋_GB2312" w:eastAsia="仿宋_GB2312"/>
                <w:sz w:val="20"/>
              </w:rPr>
              <w:t>7*24小时故障响应，及时应答和解决，快速排除故障，确保陕西交通服务热线12122系统正常稳定运行。</w:t>
            </w:r>
          </w:p>
          <w:p>
            <w:pPr>
              <w:pStyle w:val="null3"/>
              <w:ind w:firstLine="400"/>
              <w:jc w:val="left"/>
            </w:pPr>
            <w:r>
              <w:rPr>
                <w:rFonts w:ascii="仿宋_GB2312" w:hAnsi="仿宋_GB2312" w:cs="仿宋_GB2312" w:eastAsia="仿宋_GB2312"/>
                <w:sz w:val="20"/>
              </w:rPr>
              <w:t>②故障响应服务：针对维护范围内的软件系统、硬件设备和网络出现的各类故障及问题，提供7*24小时在线服务。供应商需在30分钟内响应，1小时内提供解决方案，2小时内做出明确响应，非灾难性问题在8小时内解决，如需现场服务的，具有解决能力的工程师应在24小时内到达现场，解决并做出故障诊断报告。</w:t>
            </w:r>
          </w:p>
          <w:p>
            <w:pPr>
              <w:pStyle w:val="null3"/>
              <w:ind w:firstLine="400"/>
              <w:jc w:val="left"/>
            </w:pPr>
            <w:r>
              <w:rPr>
                <w:rFonts w:ascii="仿宋_GB2312" w:hAnsi="仿宋_GB2312" w:cs="仿宋_GB2312" w:eastAsia="仿宋_GB2312"/>
                <w:sz w:val="20"/>
              </w:rPr>
              <w:t>③系统安全服务：针对维护范围内软件系统使用时发现的系统BUG、安全漏洞等影响系统安全的问题、硬件设备的安全要求和网络出现的安全问题，供应商除免费提供必要的修复和改进措施之外，还应每月对系统进行安全巡检，根据检查结果及时更新优化；对发现故障进行排查和处理，配合省收费中心完成网络安全整改工作。</w:t>
            </w:r>
          </w:p>
          <w:p>
            <w:pPr>
              <w:pStyle w:val="null3"/>
              <w:ind w:firstLine="400"/>
              <w:jc w:val="left"/>
            </w:pPr>
            <w:r>
              <w:rPr>
                <w:rFonts w:ascii="仿宋_GB2312" w:hAnsi="仿宋_GB2312" w:cs="仿宋_GB2312" w:eastAsia="仿宋_GB2312"/>
                <w:sz w:val="20"/>
              </w:rPr>
              <w:t>④技术保障服务：做好重要节假日（春节、清明节、劳动节、国庆节等）、重大活动（国家、公安、省厅等护网行动）技术保障服务，配合省收费中心做好漏洞升级工作。应加强值班值守，提供7*24小时应急响应服务，确保12122系统安全稳定运行。</w:t>
            </w:r>
          </w:p>
          <w:p>
            <w:pPr>
              <w:pStyle w:val="null3"/>
              <w:ind w:firstLine="400"/>
              <w:jc w:val="left"/>
            </w:pPr>
            <w:r>
              <w:rPr>
                <w:rFonts w:ascii="仿宋_GB2312" w:hAnsi="仿宋_GB2312" w:cs="仿宋_GB2312" w:eastAsia="仿宋_GB2312"/>
                <w:sz w:val="20"/>
              </w:rPr>
              <w:t>⑤系统培训服务：针对维护范围内的系统优化功能有重大变更时，供应商应组织提供必要的培训服务，使系统使用人员能够准确、及时掌握系统及相关信息。</w:t>
            </w:r>
          </w:p>
          <w:p>
            <w:pPr>
              <w:pStyle w:val="null3"/>
              <w:ind w:firstLine="400"/>
              <w:jc w:val="left"/>
            </w:pPr>
            <w:r>
              <w:rPr>
                <w:rFonts w:ascii="仿宋_GB2312" w:hAnsi="仿宋_GB2312" w:cs="仿宋_GB2312" w:eastAsia="仿宋_GB2312"/>
                <w:sz w:val="20"/>
              </w:rPr>
              <w:t>⑥服务队伍要求：在服务过程中指定一名具有项目经理相关从业资质的人员，同时具备丰富的项目管理经验，至少1个及以上同规模项目的项目经理任职经历，同时应具有预见和应对项目风险的能力；项目组成员须具备灾难恢复工作经验，包括但不限于日志分析和事件响应等方面，以确保系统连续安全运行；为保证项目的连续性，在项目服务周期内不得随意更换服务人员。</w:t>
            </w:r>
          </w:p>
          <w:p>
            <w:pPr>
              <w:pStyle w:val="null3"/>
              <w:ind w:firstLine="400"/>
              <w:jc w:val="left"/>
            </w:pPr>
            <w:r>
              <w:rPr>
                <w:rFonts w:ascii="仿宋_GB2312" w:hAnsi="仿宋_GB2312" w:cs="仿宋_GB2312" w:eastAsia="仿宋_GB2312"/>
                <w:sz w:val="20"/>
              </w:rPr>
              <w:t>⑦</w:t>
            </w:r>
            <w:r>
              <w:rPr>
                <w:rFonts w:ascii="仿宋_GB2312" w:hAnsi="仿宋_GB2312" w:cs="仿宋_GB2312" w:eastAsia="仿宋_GB2312"/>
                <w:sz w:val="20"/>
              </w:rPr>
              <w:t>记录与报告：对运维服务、故障处理结果做好维护记录，每月提交日常巡检记录单、故障处理记录（若本月无故障可不提供）以及维护确认单；项目运维期结束后，供应商应提供全年运维巡检记录单及全年运维报告。</w:t>
            </w:r>
          </w:p>
          <w:p>
            <w:pPr>
              <w:pStyle w:val="null3"/>
              <w:ind w:firstLine="400"/>
              <w:jc w:val="left"/>
            </w:pPr>
            <w:r>
              <w:rPr>
                <w:rFonts w:ascii="仿宋_GB2312" w:hAnsi="仿宋_GB2312" w:cs="仿宋_GB2312" w:eastAsia="仿宋_GB2312"/>
                <w:sz w:val="20"/>
              </w:rPr>
              <w:t>2.超融合一体机专业服务：</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1）远程支持服务：提供7*24小时远程问题处理服务，就有关设备或网络的技术咨询及问题，进行远程技术支持和处理，并提供问题解决方案。</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2）硬件支持服务：提供硬件维修与配件更换服务。</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现场服务：硬件故障和设备问题不能通过远程方式解决，工程师到达现场，现场进行问题处理，包括信息收集、问题分析、故障诊断、方案实施、紧急问题恢复等以及硬件更换服务。</w:t>
            </w:r>
          </w:p>
          <w:p>
            <w:pPr>
              <w:pStyle w:val="null3"/>
              <w:jc w:val="left"/>
            </w:pPr>
            <w:r>
              <w:rPr>
                <w:rFonts w:ascii="仿宋_GB2312" w:hAnsi="仿宋_GB2312" w:cs="仿宋_GB2312" w:eastAsia="仿宋_GB2312"/>
                <w:sz w:val="20"/>
              </w:rPr>
              <w:t>附件</w:t>
            </w:r>
            <w:r>
              <w:rPr>
                <w:rFonts w:ascii="仿宋_GB2312" w:hAnsi="仿宋_GB2312" w:cs="仿宋_GB2312" w:eastAsia="仿宋_GB2312"/>
                <w:sz w:val="20"/>
              </w:rPr>
              <w:t>1:12122热线软件维护清单</w:t>
            </w:r>
          </w:p>
          <w:p>
            <w:pPr>
              <w:pStyle w:val="null3"/>
              <w:jc w:val="center"/>
            </w:pPr>
            <w:r>
              <w:rPr>
                <w:rFonts w:ascii="仿宋_GB2312" w:hAnsi="仿宋_GB2312" w:cs="仿宋_GB2312" w:eastAsia="仿宋_GB2312"/>
                <w:sz w:val="20"/>
              </w:rPr>
              <w:t>12122热线软件维护清单</w:t>
            </w:r>
          </w:p>
          <w:tbl>
            <w:tblPr>
              <w:tblBorders>
                <w:top w:val="none" w:color="000000" w:sz="4"/>
                <w:left w:val="none" w:color="000000" w:sz="4"/>
                <w:bottom w:val="none" w:color="000000" w:sz="4"/>
                <w:right w:val="none" w:color="000000" w:sz="4"/>
                <w:insideH w:val="none"/>
                <w:insideV w:val="none"/>
              </w:tblBorders>
            </w:tblPr>
            <w:tblGrid>
              <w:gridCol w:w="164"/>
              <w:gridCol w:w="281"/>
              <w:gridCol w:w="250"/>
              <w:gridCol w:w="422"/>
              <w:gridCol w:w="227"/>
              <w:gridCol w:w="297"/>
              <w:gridCol w:w="877"/>
            </w:tblGrid>
            <w:tr>
              <w:tc>
                <w:tcPr>
                  <w:tcW w:type="dxa" w:w="16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8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系统名称</w:t>
                  </w:r>
                </w:p>
              </w:tc>
              <w:tc>
                <w:tcPr>
                  <w:tcW w:type="dxa" w:w="25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类别</w:t>
                  </w:r>
                </w:p>
              </w:tc>
              <w:tc>
                <w:tcPr>
                  <w:tcW w:type="dxa" w:w="42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名称</w:t>
                  </w:r>
                </w:p>
              </w:tc>
              <w:tc>
                <w:tcPr>
                  <w:tcW w:type="dxa" w:w="22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29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87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8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陕西交通服务热线</w:t>
                  </w:r>
                  <w:r>
                    <w:rPr>
                      <w:rFonts w:ascii="仿宋_GB2312" w:hAnsi="仿宋_GB2312" w:cs="仿宋_GB2312" w:eastAsia="仿宋_GB2312"/>
                      <w:sz w:val="20"/>
                    </w:rPr>
                    <w:t>12122系统</w:t>
                  </w:r>
                </w:p>
              </w:tc>
              <w:tc>
                <w:tcPr>
                  <w:tcW w:type="dxa" w:w="25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软件系统</w:t>
                  </w:r>
                </w:p>
              </w:tc>
              <w:tc>
                <w:tcPr>
                  <w:tcW w:type="dxa" w:w="4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数据库</w:t>
                  </w:r>
                </w:p>
              </w:tc>
              <w:tc>
                <w:tcPr>
                  <w:tcW w:type="dxa" w:w="2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8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MySQL一主一备</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81"/>
                  <w:vMerge/>
                  <w:tcBorders>
                    <w:top w:val="none" w:color="000000" w:sz="4"/>
                    <w:left w:val="none" w:color="000000" w:sz="4"/>
                    <w:bottom w:val="single" w:color="000000" w:sz="4"/>
                    <w:right w:val="single" w:color="000000" w:sz="4"/>
                  </w:tcBorders>
                </w:tcPr>
                <w:p/>
              </w:tc>
              <w:tc>
                <w:tcPr>
                  <w:tcW w:type="dxa" w:w="250"/>
                  <w:vMerge/>
                  <w:tcBorders>
                    <w:top w:val="none" w:color="000000" w:sz="4"/>
                    <w:left w:val="non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文件存储</w:t>
                  </w:r>
                </w:p>
              </w:tc>
              <w:tc>
                <w:tcPr>
                  <w:tcW w:type="dxa" w:w="2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8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Minio一主一备</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81"/>
                  <w:vMerge/>
                  <w:tcBorders>
                    <w:top w:val="none" w:color="000000" w:sz="4"/>
                    <w:left w:val="none" w:color="000000" w:sz="4"/>
                    <w:bottom w:val="single" w:color="000000" w:sz="4"/>
                    <w:right w:val="single" w:color="000000" w:sz="4"/>
                  </w:tcBorders>
                </w:tcPr>
                <w:p/>
              </w:tc>
              <w:tc>
                <w:tcPr>
                  <w:tcW w:type="dxa" w:w="250"/>
                  <w:vMerge/>
                  <w:tcBorders>
                    <w:top w:val="none" w:color="000000" w:sz="4"/>
                    <w:left w:val="non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中间件</w:t>
                  </w:r>
                </w:p>
              </w:tc>
              <w:tc>
                <w:tcPr>
                  <w:tcW w:type="dxa" w:w="2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8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Nignx：3台；Harbor：1台；Redis：2台；Elasticsearch：3台；Apollo：1台；Tomcat：4台；Eureka：1台；Kabana：1台。</w:t>
                  </w:r>
                </w:p>
                <w:p>
                  <w:pPr>
                    <w:pStyle w:val="null3"/>
                    <w:jc w:val="center"/>
                  </w:pPr>
                  <w:r>
                    <w:rPr>
                      <w:rFonts w:ascii="仿宋_GB2312" w:hAnsi="仿宋_GB2312" w:cs="仿宋_GB2312" w:eastAsia="仿宋_GB2312"/>
                      <w:sz w:val="20"/>
                    </w:rPr>
                    <w:t>（话务系统及业务系统所依赖的所有中间件）</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81"/>
                  <w:vMerge/>
                  <w:tcBorders>
                    <w:top w:val="none" w:color="000000" w:sz="4"/>
                    <w:left w:val="none" w:color="000000" w:sz="4"/>
                    <w:bottom w:val="single" w:color="000000" w:sz="4"/>
                    <w:right w:val="single" w:color="000000" w:sz="4"/>
                  </w:tcBorders>
                </w:tcPr>
                <w:p/>
              </w:tc>
              <w:tc>
                <w:tcPr>
                  <w:tcW w:type="dxa" w:w="250"/>
                  <w:vMerge/>
                  <w:tcBorders>
                    <w:top w:val="none" w:color="000000" w:sz="4"/>
                    <w:left w:val="non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12122话务系统</w:t>
                  </w:r>
                </w:p>
              </w:tc>
              <w:tc>
                <w:tcPr>
                  <w:tcW w:type="dxa" w:w="2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8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一主一备</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81"/>
                  <w:vMerge/>
                  <w:tcBorders>
                    <w:top w:val="none" w:color="000000" w:sz="4"/>
                    <w:left w:val="none" w:color="000000" w:sz="4"/>
                    <w:bottom w:val="single" w:color="000000" w:sz="4"/>
                    <w:right w:val="single" w:color="000000" w:sz="4"/>
                  </w:tcBorders>
                </w:tcPr>
                <w:p/>
              </w:tc>
              <w:tc>
                <w:tcPr>
                  <w:tcW w:type="dxa" w:w="250"/>
                  <w:vMerge/>
                  <w:tcBorders>
                    <w:top w:val="none" w:color="000000" w:sz="4"/>
                    <w:left w:val="non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12328话务系统</w:t>
                  </w:r>
                </w:p>
              </w:tc>
              <w:tc>
                <w:tcPr>
                  <w:tcW w:type="dxa" w:w="2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8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12328与12122共用话务底层能力</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81"/>
                  <w:vMerge/>
                  <w:tcBorders>
                    <w:top w:val="none" w:color="000000" w:sz="4"/>
                    <w:left w:val="none" w:color="000000" w:sz="4"/>
                    <w:bottom w:val="single" w:color="000000" w:sz="4"/>
                    <w:right w:val="single" w:color="000000" w:sz="4"/>
                  </w:tcBorders>
                </w:tcPr>
                <w:p/>
              </w:tc>
              <w:tc>
                <w:tcPr>
                  <w:tcW w:type="dxa" w:w="250"/>
                  <w:vMerge/>
                  <w:tcBorders>
                    <w:top w:val="none" w:color="000000" w:sz="4"/>
                    <w:left w:val="non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业务系统</w:t>
                  </w:r>
                </w:p>
              </w:tc>
              <w:tc>
                <w:tcPr>
                  <w:tcW w:type="dxa" w:w="2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8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0"/>
              </w:rPr>
              <w:t>附件</w:t>
            </w:r>
            <w:r>
              <w:rPr>
                <w:rFonts w:ascii="仿宋_GB2312" w:hAnsi="仿宋_GB2312" w:cs="仿宋_GB2312" w:eastAsia="仿宋_GB2312"/>
                <w:sz w:val="20"/>
              </w:rPr>
              <w:t>2:12122热线硬件设备及网络维护清单</w:t>
            </w:r>
          </w:p>
          <w:p>
            <w:pPr>
              <w:pStyle w:val="null3"/>
              <w:jc w:val="center"/>
            </w:pPr>
            <w:r>
              <w:rPr>
                <w:rFonts w:ascii="仿宋_GB2312" w:hAnsi="仿宋_GB2312" w:cs="仿宋_GB2312" w:eastAsia="仿宋_GB2312"/>
                <w:sz w:val="20"/>
              </w:rPr>
              <w:t>12122热线硬件设备及网络维护清单</w:t>
            </w:r>
          </w:p>
          <w:tbl>
            <w:tblPr>
              <w:tblBorders>
                <w:top w:val="none" w:color="000000" w:sz="4"/>
                <w:left w:val="none" w:color="000000" w:sz="4"/>
                <w:bottom w:val="none" w:color="000000" w:sz="4"/>
                <w:right w:val="none" w:color="000000" w:sz="4"/>
                <w:insideH w:val="none"/>
                <w:insideV w:val="none"/>
              </w:tblBorders>
            </w:tblPr>
            <w:tblGrid>
              <w:gridCol w:w="195"/>
              <w:gridCol w:w="315"/>
              <w:gridCol w:w="195"/>
              <w:gridCol w:w="195"/>
              <w:gridCol w:w="983"/>
              <w:gridCol w:w="225"/>
              <w:gridCol w:w="195"/>
              <w:gridCol w:w="225"/>
            </w:tblGrid>
            <w:tr>
              <w:tc>
                <w:tcPr>
                  <w:tcW w:type="dxa" w:w="19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1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系统名称</w:t>
                  </w:r>
                </w:p>
              </w:tc>
              <w:tc>
                <w:tcPr>
                  <w:tcW w:type="dxa" w:w="19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类别</w:t>
                  </w:r>
                </w:p>
              </w:tc>
              <w:tc>
                <w:tcPr>
                  <w:tcW w:type="dxa" w:w="19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名称</w:t>
                  </w:r>
                </w:p>
              </w:tc>
              <w:tc>
                <w:tcPr>
                  <w:tcW w:type="dxa" w:w="98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品牌型号</w:t>
                  </w:r>
                </w:p>
              </w:tc>
              <w:tc>
                <w:tcPr>
                  <w:tcW w:type="dxa" w:w="22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19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22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合计</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1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陕西交通服务热线</w:t>
                  </w:r>
                  <w:r>
                    <w:rPr>
                      <w:rFonts w:ascii="仿宋_GB2312" w:hAnsi="仿宋_GB2312" w:cs="仿宋_GB2312" w:eastAsia="仿宋_GB2312"/>
                      <w:sz w:val="20"/>
                    </w:rPr>
                    <w:t>12122系统</w:t>
                  </w:r>
                </w:p>
              </w:tc>
              <w:tc>
                <w:tcPr>
                  <w:tcW w:type="dxa" w:w="19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机房设备</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超融合一体机</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华为</w:t>
                  </w:r>
                  <w:r>
                    <w:rPr>
                      <w:rFonts w:ascii="仿宋_GB2312" w:hAnsi="仿宋_GB2312" w:cs="仿宋_GB2312" w:eastAsia="仿宋_GB2312"/>
                      <w:sz w:val="20"/>
                    </w:rPr>
                    <w:t>E9000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15"/>
                  <w:vMerge/>
                  <w:tcBorders>
                    <w:top w:val="none" w:color="000000" w:sz="4"/>
                    <w:left w:val="none" w:color="000000" w:sz="4"/>
                    <w:bottom w:val="none" w:color="000000" w:sz="4"/>
                    <w:right w:val="single" w:color="000000" w:sz="4"/>
                  </w:tcBorders>
                </w:tcPr>
                <w:p/>
              </w:tc>
              <w:tc>
                <w:tcPr>
                  <w:tcW w:type="dxa" w:w="195"/>
                  <w:vMerge/>
                  <w:tcBorders>
                    <w:top w:val="none" w:color="000000" w:sz="4"/>
                    <w:left w:val="none" w:color="000000" w:sz="4"/>
                    <w:bottom w:val="none" w:color="000000" w:sz="4"/>
                    <w:right w:val="single" w:color="000000" w:sz="4"/>
                  </w:tcBorders>
                </w:tc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超融合交换机</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华为</w:t>
                  </w:r>
                  <w:r>
                    <w:rPr>
                      <w:rFonts w:ascii="仿宋_GB2312" w:hAnsi="仿宋_GB2312" w:cs="仿宋_GB2312" w:eastAsia="仿宋_GB2312"/>
                      <w:sz w:val="20"/>
                    </w:rPr>
                    <w:t>CE6855-48S6Q-HI</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5"/>
                  <w:vMerge/>
                  <w:tcBorders>
                    <w:top w:val="none" w:color="000000" w:sz="4"/>
                    <w:left w:val="none" w:color="000000" w:sz="4"/>
                    <w:bottom w:val="none" w:color="000000" w:sz="4"/>
                    <w:right w:val="single" w:color="000000" w:sz="4"/>
                  </w:tcBorders>
                </w:tc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15"/>
                  <w:vMerge/>
                  <w:tcBorders>
                    <w:top w:val="none" w:color="000000" w:sz="4"/>
                    <w:left w:val="none" w:color="000000" w:sz="4"/>
                    <w:bottom w:val="none" w:color="000000" w:sz="4"/>
                    <w:right w:val="single" w:color="000000" w:sz="4"/>
                  </w:tcBorders>
                </w:tcPr>
                <w:p/>
              </w:tc>
              <w:tc>
                <w:tcPr>
                  <w:tcW w:type="dxa" w:w="195"/>
                  <w:vMerge/>
                  <w:tcBorders>
                    <w:top w:val="none" w:color="000000" w:sz="4"/>
                    <w:left w:val="none" w:color="000000" w:sz="4"/>
                    <w:bottom w:val="none" w:color="000000" w:sz="4"/>
                    <w:right w:val="single" w:color="000000" w:sz="4"/>
                  </w:tcBorders>
                </w:tc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汇聚交换机</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华为</w:t>
                  </w:r>
                  <w:r>
                    <w:rPr>
                      <w:rFonts w:ascii="仿宋_GB2312" w:hAnsi="仿宋_GB2312" w:cs="仿宋_GB2312" w:eastAsia="仿宋_GB2312"/>
                      <w:sz w:val="20"/>
                    </w:rPr>
                    <w:t>5720S-28X-SI-AC</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5"/>
                  <w:vMerge/>
                  <w:tcBorders>
                    <w:top w:val="none" w:color="000000" w:sz="4"/>
                    <w:left w:val="none" w:color="000000" w:sz="4"/>
                    <w:bottom w:val="none" w:color="000000" w:sz="4"/>
                    <w:right w:val="single" w:color="000000" w:sz="4"/>
                  </w:tcBorders>
                </w:tc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15"/>
                  <w:vMerge/>
                  <w:tcBorders>
                    <w:top w:val="none" w:color="000000" w:sz="4"/>
                    <w:left w:val="none" w:color="000000" w:sz="4"/>
                    <w:bottom w:val="none" w:color="000000" w:sz="4"/>
                    <w:right w:val="single" w:color="000000" w:sz="4"/>
                  </w:tcBorders>
                </w:tcPr>
                <w:p/>
              </w:tc>
              <w:tc>
                <w:tcPr>
                  <w:tcW w:type="dxa" w:w="195"/>
                  <w:vMerge/>
                  <w:tcBorders>
                    <w:top w:val="none" w:color="000000" w:sz="4"/>
                    <w:left w:val="none" w:color="000000" w:sz="4"/>
                    <w:bottom w:val="none" w:color="000000" w:sz="4"/>
                    <w:right w:val="single" w:color="000000" w:sz="4"/>
                  </w:tcBorders>
                </w:tc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代理服务器</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浪潮</w:t>
                  </w:r>
                  <w:r>
                    <w:rPr>
                      <w:rFonts w:ascii="仿宋_GB2312" w:hAnsi="仿宋_GB2312" w:cs="仿宋_GB2312" w:eastAsia="仿宋_GB2312"/>
                      <w:sz w:val="20"/>
                    </w:rPr>
                    <w:t>I420-C30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5"/>
                  <w:vMerge/>
                  <w:tcBorders>
                    <w:top w:val="none" w:color="000000" w:sz="4"/>
                    <w:left w:val="none" w:color="000000" w:sz="4"/>
                    <w:bottom w:val="none" w:color="000000" w:sz="4"/>
                    <w:right w:val="single" w:color="000000" w:sz="4"/>
                  </w:tcBorders>
                </w:tc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15"/>
                  <w:vMerge/>
                  <w:tcBorders>
                    <w:top w:val="none" w:color="000000" w:sz="4"/>
                    <w:left w:val="none" w:color="000000" w:sz="4"/>
                    <w:bottom w:val="none" w:color="000000" w:sz="4"/>
                    <w:right w:val="single" w:color="000000" w:sz="4"/>
                  </w:tcBorders>
                </w:tcPr>
                <w:p/>
              </w:tc>
              <w:tc>
                <w:tcPr>
                  <w:tcW w:type="dxa" w:w="195"/>
                  <w:vMerge/>
                  <w:tcBorders>
                    <w:top w:val="none" w:color="000000" w:sz="4"/>
                    <w:left w:val="none" w:color="000000" w:sz="4"/>
                    <w:bottom w:val="none" w:color="000000" w:sz="4"/>
                    <w:right w:val="single" w:color="000000" w:sz="4"/>
                  </w:tcBorders>
                </w:tc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机柜</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图腾</w:t>
                  </w:r>
                  <w:r>
                    <w:rPr>
                      <w:rFonts w:ascii="仿宋_GB2312" w:hAnsi="仿宋_GB2312" w:cs="仿宋_GB2312" w:eastAsia="仿宋_GB2312"/>
                      <w:sz w:val="20"/>
                    </w:rPr>
                    <w:t>42U</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5"/>
                  <w:vMerge/>
                  <w:tcBorders>
                    <w:top w:val="none" w:color="000000" w:sz="4"/>
                    <w:left w:val="none" w:color="000000" w:sz="4"/>
                    <w:bottom w:val="none" w:color="000000" w:sz="4"/>
                    <w:right w:val="single" w:color="000000" w:sz="4"/>
                  </w:tcBorders>
                </w:tc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15"/>
                  <w:vMerge/>
                  <w:tcBorders>
                    <w:top w:val="none" w:color="000000" w:sz="4"/>
                    <w:left w:val="none" w:color="000000" w:sz="4"/>
                    <w:bottom w:val="none" w:color="000000" w:sz="4"/>
                    <w:right w:val="single" w:color="000000" w:sz="4"/>
                  </w:tcBorders>
                </w:tcPr>
                <w:p/>
              </w:tc>
              <w:tc>
                <w:tcPr>
                  <w:tcW w:type="dxa" w:w="195"/>
                  <w:vMerge/>
                  <w:tcBorders>
                    <w:top w:val="none" w:color="000000" w:sz="4"/>
                    <w:left w:val="none" w:color="000000" w:sz="4"/>
                    <w:bottom w:val="none" w:color="000000" w:sz="4"/>
                    <w:right w:val="single" w:color="000000" w:sz="4"/>
                  </w:tcBorders>
                </w:tc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光猫</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Netlink</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w:t>
                  </w:r>
                </w:p>
              </w:tc>
              <w:tc>
                <w:tcPr>
                  <w:tcW w:type="dxa" w:w="225"/>
                  <w:vMerge/>
                  <w:tcBorders>
                    <w:top w:val="none" w:color="000000" w:sz="4"/>
                    <w:left w:val="none" w:color="000000" w:sz="4"/>
                    <w:bottom w:val="none" w:color="000000" w:sz="4"/>
                    <w:right w:val="single" w:color="000000" w:sz="4"/>
                  </w:tcBorders>
                </w:tc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15"/>
                  <w:vMerge/>
                  <w:tcBorders>
                    <w:top w:val="none" w:color="000000" w:sz="4"/>
                    <w:left w:val="none" w:color="000000" w:sz="4"/>
                    <w:bottom w:val="none" w:color="000000" w:sz="4"/>
                    <w:right w:val="single" w:color="000000" w:sz="4"/>
                  </w:tcBorders>
                </w:tcPr>
                <w:p/>
              </w:tc>
              <w:tc>
                <w:tcPr>
                  <w:tcW w:type="dxa" w:w="195"/>
                  <w:vMerge/>
                  <w:tcBorders>
                    <w:top w:val="none" w:color="000000" w:sz="4"/>
                    <w:left w:val="none" w:color="000000" w:sz="4"/>
                    <w:bottom w:val="none" w:color="000000" w:sz="4"/>
                    <w:right w:val="single" w:color="000000" w:sz="4"/>
                  </w:tcBorders>
                </w:tc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中继语音网关</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毅航</w:t>
                  </w:r>
                  <w:r>
                    <w:rPr>
                      <w:rFonts w:ascii="仿宋_GB2312" w:hAnsi="仿宋_GB2312" w:cs="仿宋_GB2312" w:eastAsia="仿宋_GB2312"/>
                      <w:sz w:val="20"/>
                    </w:rPr>
                    <w:t>/TG1000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5"/>
                  <w:vMerge/>
                  <w:tcBorders>
                    <w:top w:val="none" w:color="000000" w:sz="4"/>
                    <w:left w:val="none" w:color="000000" w:sz="4"/>
                    <w:bottom w:val="none" w:color="000000" w:sz="4"/>
                    <w:right w:val="single" w:color="000000" w:sz="4"/>
                  </w:tcBorders>
                </w:tc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15"/>
                  <w:vMerge/>
                  <w:tcBorders>
                    <w:top w:val="none" w:color="000000" w:sz="4"/>
                    <w:left w:val="none" w:color="000000" w:sz="4"/>
                    <w:bottom w:val="none" w:color="000000" w:sz="4"/>
                    <w:right w:val="single" w:color="000000" w:sz="4"/>
                  </w:tcBorders>
                </w:tcPr>
                <w:p/>
              </w:tc>
              <w:tc>
                <w:tcPr>
                  <w:tcW w:type="dxa" w:w="195"/>
                  <w:vMerge/>
                  <w:tcBorders>
                    <w:top w:val="none" w:color="000000" w:sz="4"/>
                    <w:left w:val="none" w:color="000000" w:sz="4"/>
                    <w:bottom w:val="none" w:color="000000" w:sz="4"/>
                    <w:right w:val="single" w:color="000000" w:sz="4"/>
                  </w:tcBorders>
                </w:tc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内存条</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华为</w:t>
                  </w:r>
                  <w:r>
                    <w:rPr>
                      <w:rFonts w:ascii="仿宋_GB2312" w:hAnsi="仿宋_GB2312" w:cs="仿宋_GB2312" w:eastAsia="仿宋_GB2312"/>
                      <w:sz w:val="20"/>
                    </w:rPr>
                    <w:t>E9000DDR4LRDIMM</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5"/>
                  <w:vMerge/>
                  <w:tcBorders>
                    <w:top w:val="none" w:color="000000" w:sz="4"/>
                    <w:left w:val="none" w:color="000000" w:sz="4"/>
                    <w:bottom w:val="none" w:color="000000" w:sz="4"/>
                    <w:right w:val="single" w:color="000000" w:sz="4"/>
                  </w:tcBorders>
                </w:tc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15"/>
                  <w:vMerge/>
                  <w:tcBorders>
                    <w:top w:val="none" w:color="000000" w:sz="4"/>
                    <w:left w:val="none" w:color="000000" w:sz="4"/>
                    <w:bottom w:val="none" w:color="000000" w:sz="4"/>
                    <w:right w:val="single" w:color="000000" w:sz="4"/>
                  </w:tcBorders>
                </w:tcPr>
                <w:p/>
              </w:tc>
              <w:tc>
                <w:tcPr>
                  <w:tcW w:type="dxa" w:w="195"/>
                  <w:vMerge/>
                  <w:tcBorders>
                    <w:top w:val="none" w:color="000000" w:sz="4"/>
                    <w:left w:val="none" w:color="000000" w:sz="4"/>
                    <w:bottom w:val="none" w:color="000000" w:sz="4"/>
                    <w:right w:val="single" w:color="000000" w:sz="4"/>
                  </w:tcBorders>
                </w:tc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硬盘</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2.4T硬盘</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c>
                <w:tcPr>
                  <w:tcW w:type="dxa" w:w="225"/>
                  <w:vMerge/>
                  <w:tcBorders>
                    <w:top w:val="none" w:color="000000" w:sz="4"/>
                    <w:left w:val="none" w:color="000000" w:sz="4"/>
                    <w:bottom w:val="none" w:color="000000" w:sz="4"/>
                    <w:right w:val="single" w:color="000000" w:sz="4"/>
                  </w:tcBorders>
                </w:tc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15"/>
                  <w:vMerge/>
                  <w:tcBorders>
                    <w:top w:val="none" w:color="000000" w:sz="4"/>
                    <w:left w:val="none" w:color="000000" w:sz="4"/>
                    <w:bottom w:val="none" w:color="000000" w:sz="4"/>
                    <w:right w:val="single" w:color="000000" w:sz="4"/>
                  </w:tcBorders>
                </w:tcPr>
                <w:p/>
              </w:tc>
              <w:tc>
                <w:tcPr>
                  <w:tcW w:type="dxa" w:w="1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监控设备</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大华硬盘录像机</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DH-NVR2108HS-8P-S1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15"/>
                  <w:vMerge/>
                  <w:tcBorders>
                    <w:top w:val="none" w:color="000000" w:sz="4"/>
                    <w:left w:val="none" w:color="000000" w:sz="4"/>
                    <w:bottom w:val="none" w:color="000000" w:sz="4"/>
                    <w:right w:val="single" w:color="000000" w:sz="4"/>
                  </w:tcBorders>
                </w:tcPr>
                <w:p/>
              </w:tc>
              <w:tc>
                <w:tcPr>
                  <w:tcW w:type="dxa" w:w="195"/>
                  <w:vMerge/>
                  <w:tcBorders>
                    <w:top w:val="none" w:color="000000" w:sz="4"/>
                    <w:left w:val="none" w:color="000000" w:sz="4"/>
                    <w:bottom w:val="single" w:color="000000" w:sz="4"/>
                    <w:right w:val="single" w:color="000000" w:sz="4"/>
                  </w:tcBorders>
                </w:tc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大华高清摄像头</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DH-IPC-HDBW5233R-AS</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5"/>
                  <w:vMerge/>
                  <w:tcBorders>
                    <w:top w:val="none" w:color="000000" w:sz="4"/>
                    <w:left w:val="none" w:color="000000" w:sz="4"/>
                    <w:bottom w:val="single" w:color="000000" w:sz="4"/>
                    <w:right w:val="single" w:color="000000" w:sz="4"/>
                  </w:tcBorders>
                </w:tc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15"/>
                  <w:vMerge/>
                  <w:tcBorders>
                    <w:top w:val="none" w:color="000000" w:sz="4"/>
                    <w:left w:val="none" w:color="000000" w:sz="4"/>
                    <w:bottom w:val="none" w:color="000000" w:sz="4"/>
                    <w:right w:val="single" w:color="000000" w:sz="4"/>
                  </w:tcBorders>
                </w:tcPr>
                <w:p/>
              </w:tc>
              <w:tc>
                <w:tcPr>
                  <w:tcW w:type="dxa" w:w="195"/>
                  <w:vMerge/>
                  <w:tcBorders>
                    <w:top w:val="none" w:color="000000" w:sz="4"/>
                    <w:left w:val="none" w:color="000000" w:sz="4"/>
                    <w:bottom w:val="single" w:color="000000" w:sz="4"/>
                    <w:right w:val="single" w:color="000000" w:sz="4"/>
                  </w:tcBorders>
                </w:tc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洛菲特监控显示器</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LFT220M-DH1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5"/>
                  <w:vMerge/>
                  <w:tcBorders>
                    <w:top w:val="none" w:color="000000" w:sz="4"/>
                    <w:left w:val="none" w:color="000000" w:sz="4"/>
                    <w:bottom w:val="single" w:color="000000" w:sz="4"/>
                    <w:right w:val="single" w:color="000000" w:sz="4"/>
                  </w:tcBorders>
                </w:tc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15"/>
                  <w:vMerge/>
                  <w:tcBorders>
                    <w:top w:val="none" w:color="000000" w:sz="4"/>
                    <w:left w:val="none" w:color="000000" w:sz="4"/>
                    <w:bottom w:val="none" w:color="000000" w:sz="4"/>
                    <w:right w:val="single" w:color="000000" w:sz="4"/>
                  </w:tcBorders>
                </w:tcPr>
                <w:p/>
              </w:tc>
              <w:tc>
                <w:tcPr>
                  <w:tcW w:type="dxa" w:w="1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座席设备</w:t>
                  </w:r>
                </w:p>
              </w:tc>
              <w:tc>
                <w:tcPr>
                  <w:tcW w:type="dxa" w:w="1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台式电脑</w:t>
                  </w:r>
                </w:p>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DELLOptiPlex3050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103</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315"/>
                  <w:vMerge/>
                  <w:tcBorders>
                    <w:top w:val="none" w:color="000000" w:sz="4"/>
                    <w:left w:val="none" w:color="000000" w:sz="4"/>
                    <w:bottom w:val="none" w:color="000000" w:sz="4"/>
                    <w:right w:val="single" w:color="000000" w:sz="4"/>
                  </w:tcBorders>
                </w:tcPr>
                <w:p/>
              </w:tc>
              <w:tc>
                <w:tcPr>
                  <w:tcW w:type="dxa" w:w="195"/>
                  <w:vMerge/>
                  <w:tcBorders>
                    <w:top w:val="none" w:color="000000" w:sz="4"/>
                    <w:left w:val="none" w:color="000000" w:sz="4"/>
                    <w:bottom w:val="single" w:color="000000" w:sz="4"/>
                    <w:right w:val="single" w:color="000000" w:sz="4"/>
                  </w:tcBorders>
                </w:tcPr>
                <w:p/>
              </w:tc>
              <w:tc>
                <w:tcPr>
                  <w:tcW w:type="dxa" w:w="195"/>
                  <w:vMerge/>
                  <w:tcBorders>
                    <w:top w:val="none" w:color="000000" w:sz="4"/>
                    <w:left w:val="none" w:color="000000" w:sz="4"/>
                    <w:bottom w:val="singl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LenovoAI0520C-22IWL</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5"/>
                  <w:vMerge/>
                  <w:tcBorders>
                    <w:top w:val="none" w:color="000000" w:sz="4"/>
                    <w:left w:val="none" w:color="000000" w:sz="4"/>
                    <w:bottom w:val="single" w:color="000000" w:sz="4"/>
                    <w:right w:val="single" w:color="000000" w:sz="4"/>
                  </w:tcBorders>
                </w:tc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15"/>
                  <w:vMerge/>
                  <w:tcBorders>
                    <w:top w:val="none" w:color="000000" w:sz="4"/>
                    <w:left w:val="none" w:color="000000" w:sz="4"/>
                    <w:bottom w:val="none" w:color="000000" w:sz="4"/>
                    <w:right w:val="single" w:color="000000" w:sz="4"/>
                  </w:tcBorders>
                </w:tcPr>
                <w:p/>
              </w:tc>
              <w:tc>
                <w:tcPr>
                  <w:tcW w:type="dxa" w:w="195"/>
                  <w:vMerge/>
                  <w:tcBorders>
                    <w:top w:val="none" w:color="000000" w:sz="4"/>
                    <w:left w:val="none" w:color="000000" w:sz="4"/>
                    <w:bottom w:val="single" w:color="000000" w:sz="4"/>
                    <w:right w:val="single" w:color="000000" w:sz="4"/>
                  </w:tcBorders>
                </w:tcPr>
                <w:p/>
              </w:tc>
              <w:tc>
                <w:tcPr>
                  <w:tcW w:type="dxa" w:w="195"/>
                  <w:vMerge/>
                  <w:tcBorders>
                    <w:top w:val="none" w:color="000000" w:sz="4"/>
                    <w:left w:val="none" w:color="000000" w:sz="4"/>
                    <w:bottom w:val="singl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LenovoAI0520C-24IWL</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5"/>
                  <w:vMerge/>
                  <w:tcBorders>
                    <w:top w:val="none" w:color="000000" w:sz="4"/>
                    <w:left w:val="none" w:color="000000" w:sz="4"/>
                    <w:bottom w:val="single" w:color="000000" w:sz="4"/>
                    <w:right w:val="single" w:color="000000" w:sz="4"/>
                  </w:tcBorders>
                </w:tc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315"/>
                  <w:vMerge/>
                  <w:tcBorders>
                    <w:top w:val="none" w:color="000000" w:sz="4"/>
                    <w:left w:val="none" w:color="000000" w:sz="4"/>
                    <w:bottom w:val="none" w:color="000000" w:sz="4"/>
                    <w:right w:val="single" w:color="000000" w:sz="4"/>
                  </w:tcBorders>
                </w:tcPr>
                <w:p/>
              </w:tc>
              <w:tc>
                <w:tcPr>
                  <w:tcW w:type="dxa" w:w="195"/>
                  <w:vMerge/>
                  <w:tcBorders>
                    <w:top w:val="none" w:color="000000" w:sz="4"/>
                    <w:left w:val="none" w:color="000000" w:sz="4"/>
                    <w:bottom w:val="single" w:color="000000" w:sz="4"/>
                    <w:right w:val="single" w:color="000000" w:sz="4"/>
                  </w:tcBorders>
                </w:tcPr>
                <w:p/>
              </w:tc>
              <w:tc>
                <w:tcPr>
                  <w:tcW w:type="dxa" w:w="1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IP话机</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华为</w:t>
                  </w:r>
                  <w:r>
                    <w:rPr>
                      <w:rFonts w:ascii="仿宋_GB2312" w:hAnsi="仿宋_GB2312" w:cs="仿宋_GB2312" w:eastAsia="仿宋_GB2312"/>
                      <w:sz w:val="20"/>
                    </w:rPr>
                    <w:t>eSpace7910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315"/>
                  <w:vMerge/>
                  <w:tcBorders>
                    <w:top w:val="none" w:color="000000" w:sz="4"/>
                    <w:left w:val="none" w:color="000000" w:sz="4"/>
                    <w:bottom w:val="none" w:color="000000" w:sz="4"/>
                    <w:right w:val="single" w:color="000000" w:sz="4"/>
                  </w:tcBorders>
                </w:tcPr>
                <w:p/>
              </w:tc>
              <w:tc>
                <w:tcPr>
                  <w:tcW w:type="dxa" w:w="195"/>
                  <w:vMerge/>
                  <w:tcBorders>
                    <w:top w:val="none" w:color="000000" w:sz="4"/>
                    <w:left w:val="none" w:color="000000" w:sz="4"/>
                    <w:bottom w:val="single" w:color="000000" w:sz="4"/>
                    <w:right w:val="single" w:color="000000" w:sz="4"/>
                  </w:tcBorders>
                </w:tcPr>
                <w:p/>
              </w:tc>
              <w:tc>
                <w:tcPr>
                  <w:tcW w:type="dxa" w:w="195"/>
                  <w:vMerge/>
                  <w:tcBorders>
                    <w:top w:val="none" w:color="000000" w:sz="4"/>
                    <w:left w:val="none" w:color="000000" w:sz="4"/>
                    <w:bottom w:val="singl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亿联</w:t>
                  </w:r>
                  <w:r>
                    <w:rPr>
                      <w:rFonts w:ascii="仿宋_GB2312" w:hAnsi="仿宋_GB2312" w:cs="仿宋_GB2312" w:eastAsia="仿宋_GB2312"/>
                      <w:sz w:val="20"/>
                    </w:rPr>
                    <w:t>Yealink-SIP-T21-E2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5"/>
                  <w:vMerge/>
                  <w:tcBorders>
                    <w:top w:val="none" w:color="000000" w:sz="4"/>
                    <w:left w:val="none" w:color="000000" w:sz="4"/>
                    <w:bottom w:val="single" w:color="000000" w:sz="4"/>
                    <w:right w:val="single" w:color="000000" w:sz="4"/>
                  </w:tcBorders>
                </w:tc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315"/>
                  <w:vMerge/>
                  <w:tcBorders>
                    <w:top w:val="none" w:color="000000" w:sz="4"/>
                    <w:left w:val="none" w:color="000000" w:sz="4"/>
                    <w:bottom w:val="none" w:color="000000" w:sz="4"/>
                    <w:right w:val="single" w:color="000000" w:sz="4"/>
                  </w:tcBorders>
                </w:tcPr>
                <w:p/>
              </w:tc>
              <w:tc>
                <w:tcPr>
                  <w:tcW w:type="dxa" w:w="195"/>
                  <w:vMerge/>
                  <w:tcBorders>
                    <w:top w:val="none" w:color="000000" w:sz="4"/>
                    <w:left w:val="none" w:color="000000" w:sz="4"/>
                    <w:bottom w:val="single" w:color="000000" w:sz="4"/>
                    <w:right w:val="single" w:color="000000" w:sz="4"/>
                  </w:tcBorders>
                </w:tcPr>
                <w:p/>
              </w:tc>
              <w:tc>
                <w:tcPr>
                  <w:tcW w:type="dxa" w:w="195"/>
                  <w:vMerge/>
                  <w:tcBorders>
                    <w:top w:val="none" w:color="000000" w:sz="4"/>
                    <w:left w:val="none" w:color="000000" w:sz="4"/>
                    <w:bottom w:val="singl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方位</w:t>
                  </w:r>
                  <w:r>
                    <w:rPr>
                      <w:rFonts w:ascii="仿宋_GB2312" w:hAnsi="仿宋_GB2312" w:cs="仿宋_GB2312" w:eastAsia="仿宋_GB2312"/>
                      <w:sz w:val="20"/>
                    </w:rPr>
                    <w:t>Fanvil-X3S</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5"/>
                  <w:vMerge/>
                  <w:tcBorders>
                    <w:top w:val="none" w:color="000000" w:sz="4"/>
                    <w:left w:val="none" w:color="000000" w:sz="4"/>
                    <w:bottom w:val="single" w:color="000000" w:sz="4"/>
                    <w:right w:val="single" w:color="000000" w:sz="4"/>
                  </w:tcBorders>
                </w:tc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315"/>
                  <w:vMerge/>
                  <w:tcBorders>
                    <w:top w:val="none" w:color="000000" w:sz="4"/>
                    <w:left w:val="none" w:color="000000" w:sz="4"/>
                    <w:bottom w:val="none" w:color="000000" w:sz="4"/>
                    <w:right w:val="single" w:color="000000" w:sz="4"/>
                  </w:tcBorders>
                </w:tcPr>
                <w:p/>
              </w:tc>
              <w:tc>
                <w:tcPr>
                  <w:tcW w:type="dxa" w:w="195"/>
                  <w:vMerge/>
                  <w:tcBorders>
                    <w:top w:val="none" w:color="000000" w:sz="4"/>
                    <w:left w:val="none" w:color="000000" w:sz="4"/>
                    <w:bottom w:val="single" w:color="000000" w:sz="4"/>
                    <w:right w:val="single" w:color="000000" w:sz="4"/>
                  </w:tcBorders>
                </w:tcPr>
                <w:p/>
              </w:tc>
              <w:tc>
                <w:tcPr>
                  <w:tcW w:type="dxa" w:w="1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座席耳麦</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捷波朗</w:t>
                  </w:r>
                  <w:r>
                    <w:rPr>
                      <w:rFonts w:ascii="仿宋_GB2312" w:hAnsi="仿宋_GB2312" w:cs="仿宋_GB2312" w:eastAsia="仿宋_GB2312"/>
                      <w:sz w:val="20"/>
                    </w:rPr>
                    <w:t>JabraBIZ2300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副</w:t>
                  </w:r>
                </w:p>
              </w:tc>
              <w:tc>
                <w:tcPr>
                  <w:tcW w:type="dxa" w:w="2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315"/>
                  <w:vMerge/>
                  <w:tcBorders>
                    <w:top w:val="none" w:color="000000" w:sz="4"/>
                    <w:left w:val="none" w:color="000000" w:sz="4"/>
                    <w:bottom w:val="none" w:color="000000" w:sz="4"/>
                    <w:right w:val="single" w:color="000000" w:sz="4"/>
                  </w:tcBorders>
                </w:tcPr>
                <w:p/>
              </w:tc>
              <w:tc>
                <w:tcPr>
                  <w:tcW w:type="dxa" w:w="195"/>
                  <w:vMerge/>
                  <w:tcBorders>
                    <w:top w:val="none" w:color="000000" w:sz="4"/>
                    <w:left w:val="none" w:color="000000" w:sz="4"/>
                    <w:bottom w:val="single" w:color="000000" w:sz="4"/>
                    <w:right w:val="single" w:color="000000" w:sz="4"/>
                  </w:tcBorders>
                </w:tcPr>
                <w:p/>
              </w:tc>
              <w:tc>
                <w:tcPr>
                  <w:tcW w:type="dxa" w:w="195"/>
                  <w:vMerge/>
                  <w:tcBorders>
                    <w:top w:val="none" w:color="000000" w:sz="4"/>
                    <w:left w:val="none" w:color="000000" w:sz="4"/>
                    <w:bottom w:val="singl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科特尔</w:t>
                  </w:r>
                  <w:r>
                    <w:rPr>
                      <w:rFonts w:ascii="仿宋_GB2312" w:hAnsi="仿宋_GB2312" w:cs="仿宋_GB2312" w:eastAsia="仿宋_GB2312"/>
                      <w:sz w:val="20"/>
                    </w:rPr>
                    <w:t>CT-T600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副</w:t>
                  </w:r>
                </w:p>
              </w:tc>
              <w:tc>
                <w:tcPr>
                  <w:tcW w:type="dxa" w:w="225"/>
                  <w:vMerge/>
                  <w:tcBorders>
                    <w:top w:val="none" w:color="000000" w:sz="4"/>
                    <w:left w:val="none" w:color="000000" w:sz="4"/>
                    <w:bottom w:val="single" w:color="000000" w:sz="4"/>
                    <w:right w:val="single" w:color="000000" w:sz="4"/>
                  </w:tcBorders>
                </w:tc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315"/>
                  <w:vMerge/>
                  <w:tcBorders>
                    <w:top w:val="none" w:color="000000" w:sz="4"/>
                    <w:left w:val="none" w:color="000000" w:sz="4"/>
                    <w:bottom w:val="none" w:color="000000" w:sz="4"/>
                    <w:right w:val="single" w:color="000000" w:sz="4"/>
                  </w:tcBorders>
                </w:tcPr>
                <w:p/>
              </w:tc>
              <w:tc>
                <w:tcPr>
                  <w:tcW w:type="dxa" w:w="195"/>
                  <w:vMerge/>
                  <w:tcBorders>
                    <w:top w:val="none" w:color="000000" w:sz="4"/>
                    <w:left w:val="none" w:color="000000" w:sz="4"/>
                    <w:bottom w:val="single" w:color="000000" w:sz="4"/>
                    <w:right w:val="single" w:color="000000" w:sz="4"/>
                  </w:tcBorders>
                </w:tcPr>
                <w:p/>
              </w:tc>
              <w:tc>
                <w:tcPr>
                  <w:tcW w:type="dxa" w:w="195"/>
                  <w:vMerge/>
                  <w:tcBorders>
                    <w:top w:val="none" w:color="000000" w:sz="4"/>
                    <w:left w:val="none" w:color="000000" w:sz="4"/>
                    <w:bottom w:val="singl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北恩</w:t>
                  </w:r>
                  <w:r>
                    <w:rPr>
                      <w:rFonts w:ascii="仿宋_GB2312" w:hAnsi="仿宋_GB2312" w:cs="仿宋_GB2312" w:eastAsia="仿宋_GB2312"/>
                      <w:sz w:val="20"/>
                    </w:rPr>
                    <w:t>FOR600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副</w:t>
                  </w:r>
                </w:p>
              </w:tc>
              <w:tc>
                <w:tcPr>
                  <w:tcW w:type="dxa" w:w="225"/>
                  <w:vMerge/>
                  <w:tcBorders>
                    <w:top w:val="none" w:color="000000" w:sz="4"/>
                    <w:left w:val="none" w:color="000000" w:sz="4"/>
                    <w:bottom w:val="single" w:color="000000" w:sz="4"/>
                    <w:right w:val="single" w:color="000000" w:sz="4"/>
                  </w:tcBorders>
                </w:tc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315"/>
                  <w:vMerge/>
                  <w:tcBorders>
                    <w:top w:val="none" w:color="000000" w:sz="4"/>
                    <w:left w:val="none" w:color="000000" w:sz="4"/>
                    <w:bottom w:val="none" w:color="000000" w:sz="4"/>
                    <w:right w:val="single" w:color="000000" w:sz="4"/>
                  </w:tcBorders>
                </w:tcPr>
                <w:p/>
              </w:tc>
              <w:tc>
                <w:tcPr>
                  <w:tcW w:type="dxa" w:w="19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网络节点</w:t>
                  </w:r>
                </w:p>
              </w:tc>
              <w:tc>
                <w:tcPr>
                  <w:tcW w:type="dxa" w:w="19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接入交换机</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新华三</w:t>
                  </w:r>
                  <w:r>
                    <w:rPr>
                      <w:rFonts w:ascii="仿宋_GB2312" w:hAnsi="仿宋_GB2312" w:cs="仿宋_GB2312" w:eastAsia="仿宋_GB2312"/>
                      <w:sz w:val="20"/>
                    </w:rPr>
                    <w:t>H3CS1348G</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315"/>
                  <w:vMerge/>
                  <w:tcBorders>
                    <w:top w:val="none" w:color="000000" w:sz="4"/>
                    <w:left w:val="none" w:color="000000" w:sz="4"/>
                    <w:bottom w:val="none" w:color="000000" w:sz="4"/>
                    <w:right w:val="single" w:color="000000" w:sz="4"/>
                  </w:tcBorders>
                </w:tcPr>
                <w:p/>
              </w:tc>
              <w:tc>
                <w:tcPr>
                  <w:tcW w:type="dxa" w:w="195"/>
                  <w:vMerge/>
                  <w:tcBorders>
                    <w:top w:val="none" w:color="000000" w:sz="4"/>
                    <w:left w:val="none" w:color="000000" w:sz="4"/>
                    <w:bottom w:val="none" w:color="000000" w:sz="4"/>
                    <w:right w:val="single" w:color="000000" w:sz="4"/>
                  </w:tcBorders>
                </w:tcPr>
                <w:p/>
              </w:tc>
              <w:tc>
                <w:tcPr>
                  <w:tcW w:type="dxa" w:w="195"/>
                  <w:vMerge/>
                  <w:tcBorders>
                    <w:top w:val="none" w:color="000000" w:sz="4"/>
                    <w:left w:val="none" w:color="000000" w:sz="4"/>
                    <w:bottom w:val="non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新华三</w:t>
                  </w:r>
                  <w:r>
                    <w:rPr>
                      <w:rFonts w:ascii="仿宋_GB2312" w:hAnsi="仿宋_GB2312" w:cs="仿宋_GB2312" w:eastAsia="仿宋_GB2312"/>
                      <w:sz w:val="20"/>
                    </w:rPr>
                    <w:t>H3CS1224F</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5"/>
                  <w:vMerge/>
                  <w:tcBorders>
                    <w:top w:val="none" w:color="000000" w:sz="4"/>
                    <w:left w:val="none" w:color="000000" w:sz="4"/>
                    <w:bottom w:val="none" w:color="000000" w:sz="4"/>
                    <w:right w:val="single" w:color="000000" w:sz="4"/>
                  </w:tcBorders>
                </w:tc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315"/>
                  <w:vMerge/>
                  <w:tcBorders>
                    <w:top w:val="none" w:color="000000" w:sz="4"/>
                    <w:left w:val="none" w:color="000000" w:sz="4"/>
                    <w:bottom w:val="none" w:color="000000" w:sz="4"/>
                    <w:right w:val="single" w:color="000000" w:sz="4"/>
                  </w:tcBorders>
                </w:tcPr>
                <w:p/>
              </w:tc>
              <w:tc>
                <w:tcPr>
                  <w:tcW w:type="dxa" w:w="195"/>
                  <w:vMerge/>
                  <w:tcBorders>
                    <w:top w:val="none" w:color="000000" w:sz="4"/>
                    <w:left w:val="none" w:color="000000" w:sz="4"/>
                    <w:bottom w:val="none" w:color="000000" w:sz="4"/>
                    <w:right w:val="single" w:color="000000" w:sz="4"/>
                  </w:tcBorders>
                </w:tcPr>
                <w:p/>
              </w:tc>
              <w:tc>
                <w:tcPr>
                  <w:tcW w:type="dxa" w:w="195"/>
                  <w:vMerge/>
                  <w:tcBorders>
                    <w:top w:val="none" w:color="000000" w:sz="4"/>
                    <w:left w:val="none" w:color="000000" w:sz="4"/>
                    <w:bottom w:val="non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新华三</w:t>
                  </w:r>
                  <w:r>
                    <w:rPr>
                      <w:rFonts w:ascii="仿宋_GB2312" w:hAnsi="仿宋_GB2312" w:cs="仿宋_GB2312" w:eastAsia="仿宋_GB2312"/>
                      <w:sz w:val="20"/>
                    </w:rPr>
                    <w:t>MiniS1224</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5"/>
                  <w:vMerge/>
                  <w:tcBorders>
                    <w:top w:val="none" w:color="000000" w:sz="4"/>
                    <w:left w:val="none" w:color="000000" w:sz="4"/>
                    <w:bottom w:val="none" w:color="000000" w:sz="4"/>
                    <w:right w:val="single" w:color="000000" w:sz="4"/>
                  </w:tcBorders>
                </w:tc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315"/>
                  <w:vMerge/>
                  <w:tcBorders>
                    <w:top w:val="none" w:color="000000" w:sz="4"/>
                    <w:left w:val="none" w:color="000000" w:sz="4"/>
                    <w:bottom w:val="none" w:color="000000" w:sz="4"/>
                    <w:right w:val="single" w:color="000000" w:sz="4"/>
                  </w:tcBorders>
                </w:tcPr>
                <w:p/>
              </w:tc>
              <w:tc>
                <w:tcPr>
                  <w:tcW w:type="dxa" w:w="195"/>
                  <w:vMerge/>
                  <w:tcBorders>
                    <w:top w:val="none" w:color="000000" w:sz="4"/>
                    <w:left w:val="none" w:color="000000" w:sz="4"/>
                    <w:bottom w:val="none" w:color="000000" w:sz="4"/>
                    <w:right w:val="single" w:color="000000" w:sz="4"/>
                  </w:tcBorders>
                </w:tcPr>
                <w:p/>
              </w:tc>
              <w:tc>
                <w:tcPr>
                  <w:tcW w:type="dxa" w:w="195"/>
                  <w:vMerge/>
                  <w:tcBorders>
                    <w:top w:val="none" w:color="000000" w:sz="4"/>
                    <w:left w:val="none" w:color="000000" w:sz="4"/>
                    <w:bottom w:val="non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TP-LINKTL-SG1016DT</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5"/>
                  <w:vMerge/>
                  <w:tcBorders>
                    <w:top w:val="none" w:color="000000" w:sz="4"/>
                    <w:left w:val="none" w:color="000000" w:sz="4"/>
                    <w:bottom w:val="none" w:color="000000" w:sz="4"/>
                    <w:right w:val="single" w:color="000000" w:sz="4"/>
                  </w:tcBorders>
                </w:tc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315"/>
                  <w:vMerge/>
                  <w:tcBorders>
                    <w:top w:val="none" w:color="000000" w:sz="4"/>
                    <w:left w:val="none" w:color="000000" w:sz="4"/>
                    <w:bottom w:val="none" w:color="000000" w:sz="4"/>
                    <w:right w:val="single" w:color="000000" w:sz="4"/>
                  </w:tcBorders>
                </w:tcPr>
                <w:p/>
              </w:tc>
              <w:tc>
                <w:tcPr>
                  <w:tcW w:type="dxa" w:w="195"/>
                  <w:vMerge/>
                  <w:tcBorders>
                    <w:top w:val="none" w:color="000000" w:sz="4"/>
                    <w:left w:val="none" w:color="000000" w:sz="4"/>
                    <w:bottom w:val="none" w:color="000000" w:sz="4"/>
                    <w:right w:val="single" w:color="000000" w:sz="4"/>
                  </w:tcBorders>
                </w:tcPr>
                <w:p/>
              </w:tc>
              <w:tc>
                <w:tcPr>
                  <w:tcW w:type="dxa" w:w="195"/>
                  <w:vMerge/>
                  <w:tcBorders>
                    <w:top w:val="none" w:color="000000" w:sz="4"/>
                    <w:left w:val="none" w:color="000000" w:sz="4"/>
                    <w:bottom w:val="none" w:color="000000" w:sz="4"/>
                    <w:right w:val="single" w:color="000000" w:sz="4"/>
                  </w:tcBorders>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TP-LINKTL-SG1024DT</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5"/>
                  <w:vMerge/>
                  <w:tcBorders>
                    <w:top w:val="none" w:color="000000" w:sz="4"/>
                    <w:left w:val="none" w:color="000000" w:sz="4"/>
                    <w:bottom w:val="none" w:color="000000" w:sz="4"/>
                    <w:right w:val="single" w:color="000000" w:sz="4"/>
                  </w:tcBorders>
                </w:tc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315"/>
                  <w:vMerge/>
                  <w:tcBorders>
                    <w:top w:val="none" w:color="000000" w:sz="4"/>
                    <w:left w:val="none" w:color="000000" w:sz="4"/>
                    <w:bottom w:val="none" w:color="000000" w:sz="4"/>
                    <w:right w:val="single" w:color="000000" w:sz="4"/>
                  </w:tcBorders>
                </w:tcPr>
                <w:p/>
              </w:tc>
              <w:tc>
                <w:tcPr>
                  <w:tcW w:type="dxa" w:w="195"/>
                  <w:vMerge/>
                  <w:tcBorders>
                    <w:top w:val="none" w:color="000000" w:sz="4"/>
                    <w:left w:val="none" w:color="000000" w:sz="4"/>
                    <w:bottom w:val="none" w:color="000000" w:sz="4"/>
                    <w:right w:val="single" w:color="000000" w:sz="4"/>
                  </w:tcBorders>
                </w:tc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网络节点</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163</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163</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服务过程中指定一名具有项目经理相关从业资质的人员，同时具备丰富的项目管理经验，至少1个及以上同规模项目的项目经理任职经历，同时应具有预见和应对项目风险的能力；项目组成员须具备灾难恢复工作经验，包括但不限于日志分析和事件响应等方面，以确保系统连续安全运行；为保证项目的连续性，在项目服务周期内不得随意更换服务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（一）磋商报价要求 1.本项目采购预算为78万元，由12122热线系统软件运行维护（预算：34.6万元）、12122热线系统硬件设备运行维护（预算：15.1万元）和其他运维服务（预算：28.3万元）三部分内容组成。 2.各供应商的磋商总报价不能超过采购包最高总限价为780,000.00元。各分项报价不能超过分项采购最高限价：12122热线系统软件运行维护最高限价为346,000.00元；12122热线系统硬件设备运行维护最高限价为151,000.00元；其他运维服务最高限价为283,000.00元。 （二）保密要求 运维工作期间所收集、产生的所有与本项目相关的文档、资料，包括但不限于文字、图片、表格、数字等各种形式所属权均归属省中心，供应商必须对所涉及的内容保密，供应商及服务人员应按照要求签署保密协议。 （三）网络安全要求 具备健全的网络安全服务体系，具有网络安全隐患排查、完善加固、预警监测、应对攻击等服务能力，配备具有相关技术能力的网络安全专职人员，为本项目提供漏洞检测、策略配置、加固整改、安全监测、应急处置等保障措施，确保系统安全稳定运行。供应商未发生过重大网络安全事件，按照要求签署网络安全责任协议。 （四）付款要求 服务期间服务总费用不变，采购人无须另向服务单位支付合同约定之外的其它任何费用。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服务期12个月（2026年7月1日—2027年6月30日）。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陕西省高速公路收费中心。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项目履约验收主体为采购人，验收工作流程为供应商提出验收申请之日起30日内，由采购人组织验收工作。本项目为一次性验收，采购人严格按照磋商文件、响应文件和合同约定内容进行履约验收。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并进入服务期后按月支付服务费，供应商按照合同约定每月完成服务并提交服务报告，经采购人审核后10个工作日内支付上月服务费，满足服务期限的第一个月后，首次支付供应商须向采购人出具合法有效的全额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合同剩余价款的92%，满足服务期限的第二个月后，供应商按照合同约定每月完成服务并提交服务报告，经采购人审核后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合同剩余价款的84%，满足服务期限的第三个月后，供应商按照合同约定每月完成服务并提交服务报告，经采购人审核后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合同剩余价款的76%，满足服务期限的第四个月后，供应商按照合同约定每月完成服务并提交服务报告，经采购人审核后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剩余价款的68%，供应商按照合同约定每月完成服务并提交服务报告，2026年12月申请年度最后一次支付时，供应商需提供剩余款项的有效银行保函（保函的有效期应持续至合同约定的服务期限届满之日后的至少30个自然日），采购人一次性支付剩余款项，待到项目验收通过后中心退还保函。经采购人审核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68.00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1.供应商如不能及时开具全额发票或采购人要求的保函，采购人有权延时付款且不承担违约责任，直至供应商开具全额发票或开具采购人要求的保函后再进行付款。 2.应做好巡检，形成巡检记录，因巡检不到位造成故障不能及时发现处置，每次扣除服务费1000元。 3.12122热线系统出现故障12小时内未发现，每次扣除维护服务费2000元。 4.12122热线系统故障，影响使用超过24小时，每次扣除维护服务费2000元。 5.由于供应商原因，造成甲方损失并导致严重不良影响的，每次扣除维护服务费5000元。供应商应以最短时间恢复系统正常运转，期间产生的一切费用由供应商承担。 6.12122热线系统及服务器登录密码不符合密码复杂性策略，发现一处弱口令，扣除服务费5000元。 7.节假日、重要活动等特殊时期的保障，应加强值班值守，若发现有人擅离职守，发现1次，每次扣除服务费2000元；未按要求提前进行系统安全检查，由于系统安全问题，造成系统不能正常运行，每次扣除服务费2000元。 （二）解决争议的方法 双方本着友好合作的态度,对合同履行过程中发生的纠纷应及时协商解决，协商不成的，向采购人所在地有管辖权的人民法院诉讼解决。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3.4.1以上商务要求为实质性要求，供应商必须全部响应。 3.4.2落实的政府采购政策： （1）《国务院办公厅关于建立政府强制采购节能产品制度的通知》（国办发〔2007〕51号）； （2）《财政部司法部关于政府采购支持监狱企业发展有关问题的通知》（财库〔2014〕68号）； （3）《关于促进残疾人就业政府采购政策的通知》（财库〔2017〕141号）； （4）《陕西省财政厅关于印发&lt;陕西省中小企业政府采购信用融资办法&gt;的通知》（陕财办采〔2018〕23 号）； （5）《财政部发展改革委生态环境部市场监管总局关于调整优化节能产品、环境标志产品政府采购执行机制的通知》（财库〔2019〕9号）； （6）《关于印发环境标志产品政府采购品目清单的通知》（财库〔2019〕18号）； （7）《关于印发节能产品政府采购品目清单的通知》（财库〔2019〕19号）； （8）《关于发布参与实施政府采购节能产品、环境标志产品认证机构名录的公告》—2019年第16号； （9）《陕西省财政厅关于加快推进我省中小企业政府采购信用融资工作的通知》（陕财办采〔2020〕15号）； （10）《政府采购促进中小企业发展管理办法》（财库〔2020〕46号）； （11）关于印发《商品包装政府采购需求标准（试行）》（财办库〔2020〕123号）； （12）《陕西省财政厅陕西省工业和信息化厅关于运用政府采购政策支持首台（套）及创新产品有关事项的通知》（陕财办采〔2021〕17号）； （13）《关于运用政府采购政策支持乡村产业振兴的通知》（财库〔2021〕19号）； （14）《关于进一步加大政府采购支持中小企业力度的通知》（财库〔2022〕19号）； （15）《关于进一步加强政府绿色采购有关问题的通知》（陕财办采〔2021〕29号）； （16）《关于扩大政府采购支持绿色建材促进建筑品质提升政策实施范围的通知》（财库〔2022〕35号）； （17）《国家互联网信息办公室 工业和信息化部 公安部 财政部 国家认证认可监督管理委员会关于调整网络安全专用产品安全管理有关事项的公告》（2023年第1号）； （18）《财政部办公厅 住房城乡建设部办公厅 工业和信息化部办公厅关于印发&lt;政府采购支持绿色建材促进建筑品质提升政策项目实施指南&gt;的通知》（ 财办库〔2023〕52号）； （19）《国务院办公厅关于在政府采购中实施本国产品标准及相关政策的通知》（国办发〔2025〕34号）； （20）《关于推动解决政府采购异常低价问题的通知》（财库〔2026〕2号）； （21）其他需要落实的政府采购政策。如有最新颁布的政府采购政策，按最新的文件执行。 3.4.3本项目为专门面向中小企业采购，供应商应为中小微企业、残疾人企业或监狱企业。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营业执照或其他组织</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法定代表人直接参加的，提供法定代表人身份证；授权代表参加的，提供法定代表人授权书（附法定代表人及授权代表身份证）；非法人单位参照执行。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的财务审计报告并具有在“注册会计师行业统一监管平台”赋予的验证码(包括审计报告、资产负债表、利润表、现金流量表、所有者权益变动表及其附注等，成立时间至提交响应文件截止时间不足一年的可提供成立后任意时段的资产负债表)，或其响应文件提交截止时间前三个月内银行出具的资信证明，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依法缴纳税收证明资料</w:t>
            </w:r>
          </w:p>
        </w:tc>
        <w:tc>
          <w:tcPr>
            <w:tcW w:type="dxa" w:w="3322"/>
          </w:tcPr>
          <w:p>
            <w:pPr>
              <w:pStyle w:val="null3"/>
            </w:pPr>
            <w:r>
              <w:rPr>
                <w:rFonts w:ascii="仿宋_GB2312" w:hAnsi="仿宋_GB2312" w:cs="仿宋_GB2312" w:eastAsia="仿宋_GB2312"/>
              </w:rPr>
              <w:t>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依法缴纳社会保险证明资料</w:t>
            </w:r>
          </w:p>
        </w:tc>
        <w:tc>
          <w:tcPr>
            <w:tcW w:type="dxa" w:w="3322"/>
          </w:tcPr>
          <w:p>
            <w:pPr>
              <w:pStyle w:val="null3"/>
            </w:pPr>
            <w:r>
              <w:rPr>
                <w:rFonts w:ascii="仿宋_GB2312" w:hAnsi="仿宋_GB2312" w:cs="仿宋_GB2312" w:eastAsia="仿宋_GB2312"/>
              </w:rPr>
              <w:t>提供响应文件提交截止时间前一年内至少一个月已缴纳的社会保障资金缴存单据或社保机构开具的社会保险参保缴费情况证明，依法不需要缴纳社会保障资金的单位应提供相关证明材料。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本采购包不接受联合体磋商，供应商提供非联合体磋商承诺书。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3.落实《关于推动解决政府采购异常低价问题的通知》财库〔2026〕2号相关要求。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响应文件、磋商响应函加盖供应商公章并经法定代表人或被授权委托人签字或盖章。</w:t>
            </w:r>
          </w:p>
        </w:tc>
        <w:tc>
          <w:tcPr>
            <w:tcW w:type="dxa" w:w="1661"/>
          </w:tcPr>
          <w:p>
            <w:pPr>
              <w:pStyle w:val="null3"/>
            </w:pPr>
            <w:r>
              <w:rPr>
                <w:rFonts w:ascii="仿宋_GB2312" w:hAnsi="仿宋_GB2312" w:cs="仿宋_GB2312" w:eastAsia="仿宋_GB2312"/>
              </w:rPr>
              <w:t>服务内容及服务邀请应答表 中小企业声明函 商务应答表 分项报价明细表.docx 报价表 资格证明资料.docx 响应文件封面 业绩资料.docx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磋商响应文件有效期达到磋商文件的要求。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符合技术、服务、商务要求</w:t>
            </w:r>
          </w:p>
        </w:tc>
        <w:tc>
          <w:tcPr>
            <w:tcW w:type="dxa" w:w="3322"/>
          </w:tcPr>
          <w:p>
            <w:pPr>
              <w:pStyle w:val="null3"/>
            </w:pPr>
            <w:r>
              <w:rPr>
                <w:rFonts w:ascii="仿宋_GB2312" w:hAnsi="仿宋_GB2312" w:cs="仿宋_GB2312" w:eastAsia="仿宋_GB2312"/>
              </w:rPr>
              <w:t>完全响应技术、服务、商务要求。</w:t>
            </w:r>
          </w:p>
        </w:tc>
        <w:tc>
          <w:tcPr>
            <w:tcW w:type="dxa" w:w="1661"/>
          </w:tcPr>
          <w:p>
            <w:pPr>
              <w:pStyle w:val="null3"/>
            </w:pPr>
            <w:r>
              <w:rPr>
                <w:rFonts w:ascii="仿宋_GB2312" w:hAnsi="仿宋_GB2312" w:cs="仿宋_GB2312" w:eastAsia="仿宋_GB2312"/>
              </w:rPr>
              <w:t>服务内容及服务邀请应答表 商务应答表 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符合磋商文件规定的其他实质性要求的</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服务内容及服务邀请应答表 中小企业声明函 商务应答表 分项报价明细表.docx 报价表 资格证明资料.docx 响应文件封面 业绩资料.docx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不存在其他不符合法律法规或磋商文件规定的响应无效条款的情形。</w:t>
            </w:r>
          </w:p>
        </w:tc>
        <w:tc>
          <w:tcPr>
            <w:tcW w:type="dxa" w:w="1661"/>
          </w:tcPr>
          <w:p>
            <w:pPr>
              <w:pStyle w:val="null3"/>
            </w:pPr>
            <w:r>
              <w:rPr>
                <w:rFonts w:ascii="仿宋_GB2312" w:hAnsi="仿宋_GB2312" w:cs="仿宋_GB2312" w:eastAsia="仿宋_GB2312"/>
              </w:rPr>
              <w:t>服务内容及服务邀请应答表 中小企业声明函 商务应答表 分项报价明细表.docx 报价表 资格证明资料.docx 响应文件封面 业绩资料.docx 残疾人福利性单位声明函 标的清单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项目背景及需求分析</w:t>
            </w:r>
          </w:p>
        </w:tc>
        <w:tc>
          <w:tcPr>
            <w:tcW w:type="dxa" w:w="2492"/>
          </w:tcPr>
          <w:p>
            <w:pPr>
              <w:pStyle w:val="null3"/>
            </w:pPr>
            <w:r>
              <w:rPr>
                <w:rFonts w:ascii="仿宋_GB2312" w:hAnsi="仿宋_GB2312" w:cs="仿宋_GB2312" w:eastAsia="仿宋_GB2312"/>
              </w:rPr>
              <w:t>一、评审内容 针对本项目的服务内容及要求，供应商应对项目背景理解及需求分析，内容包括： 1、对项目背景的理解； 2、对项目的需求分析。 二、评审标准 1、完整性：项目背景及需求分析必须全面，对评审内容中的各项要求有详细描述； 2、可实施性：切合本项目实际情况，项目背景及需求分析具体、合理、可行； 3、针对性：项目背景及需求能够紧扣项目实际需求，内容科学合理。 三、赋分标准（满分6分） 1、对项目背景的理解：每完全满足一个评审标准得 1分，满分 3分； 2、对项目的需求分析：每完全满足一个评审标准得 1 分，满分3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一、评审内容 针对本项目服务内容及要求，详细列明项目服务方案，方案内容包括： 1、服务目标； 2、服务计划； 3、服务内容； 4、重难点分析； 5、安全风险管理。 二、评审标准 1、完整性：方案必须全面，对评审内容中的各项要求有详细描述； 2、可实施性：切合本项目实际情况，实施步骤清晰、合理、可行； 3、针对性：方案能够紧扣项目实际需求，内容科学合理。 三、赋分标准（满分15分） 1、服务目标：每完全满足一个评审标准得 1分，满分 3分； 2、服务计划:每完全满足一个评审标准得 1 分，满分3 分； 3、服务内容：每完全满足一个评审标准得 1 分，满分3 分； 4、重难点分析：每完全满足一个评审标准得1 分，满分3 分； 5、安全风险管理：每完全满足一个评审标准得1 分，满分3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运维方案</w:t>
            </w:r>
          </w:p>
        </w:tc>
        <w:tc>
          <w:tcPr>
            <w:tcW w:type="dxa" w:w="2492"/>
          </w:tcPr>
          <w:p>
            <w:pPr>
              <w:pStyle w:val="null3"/>
            </w:pPr>
            <w:r>
              <w:rPr>
                <w:rFonts w:ascii="仿宋_GB2312" w:hAnsi="仿宋_GB2312" w:cs="仿宋_GB2312" w:eastAsia="仿宋_GB2312"/>
              </w:rPr>
              <w:t>一、评审内容 为保障热线系统运行平稳，提供运维方案，内容包括： 1、软件运维方案； 2、硬件运维方案； 3、安全运维方案。 二、评审标准 1、完整性：内容必须全面，对评审内容中的各项要求有详细描述； 2、可实施性：切合本项目实际情况，实施步骤清晰、合理、可行； 3、针对性：描述能够紧扣项目实际需求，内容科学合理。 三、赋分标准（满分9分） 1、软件运维方案：每完全满足一个评审标准得 1分，满分 3分； 2、硬件运维方案：每完全满足一个评审标准得 1 分，满分3 分； 3、安全运维方案：每完全满足一个评审标准得 1 分，满分3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一、评审内容 为保障热线系统的平稳运行提供的技术支持服务，内容包括： 1、日常运维服务； 2、故障响应服务； 3、系统安全服务； 4、技术保障服务； 5、系统培训服务； 6、维护记录与成果。 二、评审标准 1、完整性：内容必须全面，对评审内容中的各项要求有详细描述； 2、可实施性：切合本项目实际情况，实施步骤清晰、合理、可行； 3、针对性：描述能够紧扣项目实际需求，内容科学合理。 三、赋分标准（满分9分） 1、日常运维服务：每完全满足一个评审标准得0.5分，满分1.5分； 2、故障响应服务：每完全满足一个评审标准得0.5分，满分1.5分； 3、系统安全服务：每完全满足一个评审标准得0.5分，满分1.5分； 4、技术保障服务：每完全满足一个评审标准得0.5分，满分1.5分； 5、系统培训服务：每完全满足一个评审标准得0.5分，满分1.5分； 6、维护记录与成果：每完全满足一个评审标准得0.5分，满分1.5分。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一、评审内容 结合对本项目的服务内容及要求的人员配置，提供拟投入本项目人员，内容包括： 1、人员组织结构； 2、拟投入本项目的人员配置(提供简历表等,格式自拟,包括但不限于姓名、职务、年龄、工作经验、年限、学历等相关信息)； 3、项目人员岗位职责。 二、评审标准 1、完整性：人员配置必须全面，对评审内容中的各项要求有详细描述； 2、可实施性：切合本项目实际情况，人员分工明确，岗位设置合理、可行； 3、针对性：人员配置能够紧扣项目实际需求，科学合理。 三、赋分标准（满分9分） 1、人员组织结构：每完全满足一个评审标准得1分，满分 3分； 2、拟投入本项目的人员配置(提供简历表等,格式自拟,包括但不限于姓名、职务、年龄、工作经验、年限、学历等相关信息)：每完全满足一个评审标准得 1 分，满分3 分； 3、项目人员岗位职责：每完全满足一个评审标准得 1 分，满分3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一、评审内容 供应商针对本项目提供合理的应急处理方案，包括： 1、应急处理时效响应； 2、应急处理方案。 二、评审标准 1、完整性：对评审内容中的各项要求有全面、详细描述； 2、可实施性：切合项目实际情况，各项内容清晰、合理、可行； 3、针对性：各项内容能够满足项目及采购人实际需求，内容科学合理。 三、赋分标准（满分6分） 1、应急处理时效响应：每完全满足一个评审标准得1分，满分3分； 2、应急处理方案：每完全满足一个评审标准得1分，满分3分。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一、评审内容 供应商需针对服务内容及要求，提供服务保障措施，内容包括： 1、运维服务保障措施； 2、故障处理保障措施； 3、系统优化保障措施； 4、网络安全保障措施。 二、评审标准 1、完整性：内容必须全面，对评审内容中的各项要求有详细描述； 2、可实施性：切合本项目实际情况，实施步骤清晰、合理、可行； 3、针对性：描述能够紧扣项目实际需求，内容科学合理。 三、赋分标准（满分12分） 1、运维服务保障措施：每完全满足一个评审标准得1分，满分3分； 2、故障处理保障措施：每完全满足一个评审标准得1分，满分3分； 3、系统优化保障措施：每完全满足一个评审标准得 1分，满分3分； 4、网络安全保障措施：每完全满足一个评审标准得 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一、评审内容 供应商应满足本项目服务内容及技术要求的服务能力，内容包括： 1、巡检调试； 2、故障检修； 3、功能优化； 4、网络安全管理。 二、评审标准 1、完整性：对评审内容中的各项要求有全面、详细描述； 2、可实施性：切合项目实际情况，各项内容清晰、合理、可行； 3、针对性：各项描述能够满足项目的实际需求，内容科学合理。 三、赋分标准（满分6分） 1、巡检调试：每完全满足一个评审标准得0.5分，满分1.5分； 2、故障检修：每完全满足一个评审标准得0.5分，满分1.5分； 3、功能优化：每完全满足一个评审标准得0.5分，满分1.5分； 4、网络安全管理：每完全满足一个评审标准得0.5分，满分1.5分。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供应商应提供2023年1月1日起至今类似项目业绩，每提供1份业绩得2分，满分8分。 注：1、供应商提供的业绩以合同签订时间为准； 2、业绩资料需提供合同（合同关键页含客户名称、项目内容、签订日期、金额）等资料（需有甲方的签字或盖章）的复印件或扫描件，并加盖公章。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磋商基准价/最后磋商报价）×价格权重（20%）×100。（对满足价格扣除条件且在响应文件中提交了《中小企业声明函》、《残疾人福利性单位声明函》或省级以上监狱管理局、戒毒管理局（含新疆生产建设兵团）出具的属于监狱企业的证明文件的供应商，其响应报价扣除 10% 后参与评审。对于同时属于小微企业、监狱企业或残疾人福利性单位的，不重复进行响应报价扣除。）</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详见附件：业绩资料.docx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