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版本号：【KRDL】K5-250201220260528001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建筑物结构安全评估鉴定项目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【KRDL】K5-2502012</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建筑物结构安全评估鉴定项目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【KRDL】K5-2502012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建筑物结构安全评估鉴定项目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按照国家相关标准规范，对西安航空职业技术学院19处房屋开展建筑结构安全检测鉴定，并出具办理竣工验收备案所需的成果报告，并协助办理竣工验收备案相关手续。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采购包1（建筑物结构安全评估鉴定项目）：属于专门面向中小企业采购。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3、企业资质：供应商须具有行政主管部门核发的建设工程质量检测机构综合资质证书或建设工程质量检测机构专项资质证书（检测专项须包含主体结构及装饰装修、钢结构、地基基础）。</w:t>
      </w:r>
    </w:p>
    <w:p>
      <w:pPr>
        <w:pStyle w:val="null3"/>
      </w:pPr>
      <w:r>
        <w:rPr>
          <w:rFonts w:ascii="仿宋_GB2312" w:hAnsi="仿宋_GB2312" w:cs="仿宋_GB2312" w:eastAsia="仿宋_GB2312"/>
        </w:rPr>
        <w:t>4、项目负责人：项目负责人应具有建筑结构工程类专业中级及以上技术职称。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17602924160、029-81870236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857号）的有关规定标准的80%向采购代理机构一次付清代理服务费。注：转账需备注项目名称+代理服务费/投标保证金。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w:t>
      </w:r>
    </w:p>
    <w:p>
      <w:pPr>
        <w:pStyle w:val="null3"/>
      </w:pPr>
      <w:r>
        <w:rPr>
          <w:rFonts w:ascii="仿宋_GB2312" w:hAnsi="仿宋_GB2312" w:cs="仿宋_GB2312" w:eastAsia="仿宋_GB2312"/>
        </w:rPr>
        <w:t>联系电话：17602924160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按照国家相关标准规范，对西安航空职业技术学院19处房屋开展建筑结构安全检测鉴定，并出具办理竣工验收备案所需的成果报告，并协助办理竣工验收备案相关手续。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760,000.00</w:t>
      </w:r>
    </w:p>
    <w:p>
      <w:pPr>
        <w:pStyle w:val="null3"/>
      </w:pPr>
      <w:r>
        <w:rPr>
          <w:rFonts w:ascii="仿宋_GB2312" w:hAnsi="仿宋_GB2312" w:cs="仿宋_GB2312" w:eastAsia="仿宋_GB2312"/>
        </w:rPr>
        <w:t>采购包最高限价（元）: 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房屋鉴定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标的名称：房屋鉴定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服务内容</w:t>
            </w:r>
          </w:p>
          <w:tbl>
            <w:tblPr>
              <w:tblInd w:type="dxa" w:w="120"/>
              <w:tblBorders>
                <w:top w:val="none" w:color="000000" w:sz="4"/>
                <w:left w:val="none" w:color="000000" w:sz="4"/>
                <w:bottom w:val="none" w:color="000000" w:sz="4"/>
                <w:right w:val="none" w:color="000000" w:sz="4"/>
                <w:insideH w:val="none"/>
                <w:insideV w:val="none"/>
              </w:tblBorders>
            </w:tblPr>
            <w:tblGrid>
              <w:gridCol w:w="227"/>
              <w:gridCol w:w="832"/>
              <w:gridCol w:w="762"/>
              <w:gridCol w:w="733"/>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1"/>
                    </w:rPr>
                    <w:t>序号</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1"/>
                    </w:rPr>
                    <w:t>服务名称</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1"/>
                    </w:rPr>
                    <w:t>面积合计</w:t>
                  </w:r>
                </w:p>
                <w:p>
                  <w:pPr>
                    <w:pStyle w:val="null3"/>
                    <w:spacing w:lineRule="auto" w:line="360"/>
                    <w:jc w:val="center"/>
                  </w:pPr>
                  <w:r>
                    <w:rPr>
                      <w:rFonts w:ascii="仿宋_GB2312" w:hAnsi="仿宋_GB2312" w:cs="仿宋_GB2312" w:eastAsia="仿宋_GB2312"/>
                      <w:sz w:val="21"/>
                    </w:rPr>
                    <w:t>（平方米）</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1"/>
                    </w:rPr>
                    <w:t>最高限价</w:t>
                  </w:r>
                </w:p>
                <w:p>
                  <w:pPr>
                    <w:pStyle w:val="null3"/>
                    <w:spacing w:lineRule="auto" w:line="360"/>
                    <w:jc w:val="center"/>
                  </w:pPr>
                  <w:r>
                    <w:rPr>
                      <w:rFonts w:ascii="仿宋_GB2312" w:hAnsi="仿宋_GB2312" w:cs="仿宋_GB2312" w:eastAsia="仿宋_GB2312"/>
                      <w:sz w:val="21"/>
                    </w:rPr>
                    <w:t>（元</w:t>
                  </w:r>
                  <w:r>
                    <w:rPr>
                      <w:rFonts w:ascii="仿宋_GB2312" w:hAnsi="仿宋_GB2312" w:cs="仿宋_GB2312" w:eastAsia="仿宋_GB2312"/>
                      <w:sz w:val="21"/>
                    </w:rPr>
                    <w:t>/平方米</w:t>
                  </w:r>
                  <w:r>
                    <w:rPr>
                      <w:rFonts w:ascii="仿宋_GB2312" w:hAnsi="仿宋_GB2312" w:cs="仿宋_GB2312" w:eastAsia="仿宋_GB2312"/>
                      <w:sz w:val="21"/>
                    </w:rPr>
                    <w:t>）</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1"/>
                    </w:rPr>
                    <w:t>1</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1"/>
                    </w:rPr>
                    <w:t>建筑物结构安全评估鉴定</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1"/>
                    </w:rPr>
                    <w:t>约</w:t>
                  </w:r>
                  <w:r>
                    <w:rPr>
                      <w:rFonts w:ascii="仿宋_GB2312" w:hAnsi="仿宋_GB2312" w:cs="仿宋_GB2312" w:eastAsia="仿宋_GB2312"/>
                      <w:sz w:val="21"/>
                    </w:rPr>
                    <w:t>113000.00</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1"/>
                    </w:rPr>
                    <w:t>6.7</w:t>
                  </w:r>
                </w:p>
              </w:tc>
            </w:tr>
            <w:tr>
              <w:tc>
                <w:tcPr>
                  <w:tcW w:type="dxa" w:w="25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left"/>
                  </w:pPr>
                  <w:r>
                    <w:rPr>
                      <w:rFonts w:ascii="仿宋_GB2312" w:hAnsi="仿宋_GB2312" w:cs="仿宋_GB2312" w:eastAsia="仿宋_GB2312"/>
                      <w:sz w:val="21"/>
                    </w:rPr>
                    <w:t>备注</w:t>
                  </w:r>
                  <w:r>
                    <w:rPr>
                      <w:rFonts w:ascii="仿宋_GB2312" w:hAnsi="仿宋_GB2312" w:cs="仿宋_GB2312" w:eastAsia="仿宋_GB2312"/>
                      <w:sz w:val="21"/>
                    </w:rPr>
                    <w:t>;</w:t>
                  </w:r>
                  <w:r>
                    <w:rPr>
                      <w:rFonts w:ascii="仿宋_GB2312" w:hAnsi="仿宋_GB2312" w:cs="仿宋_GB2312" w:eastAsia="仿宋_GB2312"/>
                      <w:sz w:val="21"/>
                    </w:rPr>
                    <w:t>各</w:t>
                  </w:r>
                  <w:r>
                    <w:rPr>
                      <w:rFonts w:ascii="仿宋_GB2312" w:hAnsi="仿宋_GB2312" w:cs="仿宋_GB2312" w:eastAsia="仿宋_GB2312"/>
                      <w:sz w:val="21"/>
                    </w:rPr>
                    <w:t>项报价不得超过最高限价</w:t>
                  </w:r>
                  <w:r>
                    <w:rPr>
                      <w:rFonts w:ascii="仿宋_GB2312" w:hAnsi="仿宋_GB2312" w:cs="仿宋_GB2312" w:eastAsia="仿宋_GB2312"/>
                      <w:sz w:val="21"/>
                    </w:rPr>
                    <w:t>，否则</w:t>
                  </w:r>
                  <w:r>
                    <w:rPr>
                      <w:rFonts w:ascii="仿宋_GB2312" w:hAnsi="仿宋_GB2312" w:cs="仿宋_GB2312" w:eastAsia="仿宋_GB2312"/>
                      <w:sz w:val="21"/>
                    </w:rPr>
                    <w:t>其</w:t>
                  </w:r>
                  <w:r>
                    <w:rPr>
                      <w:rFonts w:ascii="仿宋_GB2312" w:hAnsi="仿宋_GB2312" w:cs="仿宋_GB2312" w:eastAsia="仿宋_GB2312"/>
                      <w:sz w:val="21"/>
                    </w:rPr>
                    <w:t>投标将被否决。</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按照国家相关规范要求对校内</w:t>
            </w: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处，面积约</w:t>
            </w:r>
            <w:r>
              <w:rPr>
                <w:rFonts w:ascii="仿宋_GB2312" w:hAnsi="仿宋_GB2312" w:cs="仿宋_GB2312" w:eastAsia="仿宋_GB2312"/>
                <w:sz w:val="21"/>
              </w:rPr>
              <w:t>11</w:t>
            </w:r>
            <w:r>
              <w:rPr>
                <w:rFonts w:ascii="仿宋_GB2312" w:hAnsi="仿宋_GB2312" w:cs="仿宋_GB2312" w:eastAsia="仿宋_GB2312"/>
                <w:sz w:val="21"/>
              </w:rPr>
              <w:t>.3</w:t>
            </w:r>
            <w:r>
              <w:rPr>
                <w:rFonts w:ascii="仿宋_GB2312" w:hAnsi="仿宋_GB2312" w:cs="仿宋_GB2312" w:eastAsia="仿宋_GB2312"/>
                <w:sz w:val="21"/>
              </w:rPr>
              <w:t>万</w:t>
            </w:r>
            <w:r>
              <w:rPr>
                <w:rFonts w:ascii="仿宋_GB2312" w:hAnsi="仿宋_GB2312" w:cs="仿宋_GB2312" w:eastAsia="仿宋_GB2312"/>
                <w:sz w:val="21"/>
              </w:rPr>
              <w:t>平米的建筑物进行房屋结构安全性及抗震性能鉴定，包括但不限于以下：</w:t>
            </w:r>
          </w:p>
          <w:p>
            <w:pPr>
              <w:pStyle w:val="null3"/>
              <w:jc w:val="left"/>
            </w:pPr>
            <w:r>
              <w:rPr>
                <w:rFonts w:ascii="仿宋_GB2312" w:hAnsi="仿宋_GB2312" w:cs="仿宋_GB2312" w:eastAsia="仿宋_GB2312"/>
                <w:sz w:val="21"/>
              </w:rPr>
              <w:t>（一）现场调查。</w:t>
            </w:r>
          </w:p>
          <w:p>
            <w:pPr>
              <w:pStyle w:val="null3"/>
              <w:jc w:val="left"/>
            </w:pPr>
            <w:r>
              <w:rPr>
                <w:rFonts w:ascii="仿宋_GB2312" w:hAnsi="仿宋_GB2312" w:cs="仿宋_GB2312" w:eastAsia="仿宋_GB2312"/>
                <w:sz w:val="21"/>
              </w:rPr>
              <w:t>(1)调查该建筑的相关资料。</w:t>
            </w:r>
          </w:p>
          <w:p>
            <w:pPr>
              <w:pStyle w:val="null3"/>
              <w:jc w:val="left"/>
            </w:pPr>
            <w:r>
              <w:rPr>
                <w:rFonts w:ascii="仿宋_GB2312" w:hAnsi="仿宋_GB2312" w:cs="仿宋_GB2312" w:eastAsia="仿宋_GB2312"/>
                <w:sz w:val="21"/>
              </w:rPr>
              <w:t>(2)建筑物的既往历史，主要包括原始施工、用途改变以及受灾等况。</w:t>
            </w:r>
          </w:p>
          <w:p>
            <w:pPr>
              <w:pStyle w:val="null3"/>
              <w:jc w:val="left"/>
            </w:pPr>
            <w:r>
              <w:rPr>
                <w:rFonts w:ascii="仿宋_GB2312" w:hAnsi="仿宋_GB2312" w:cs="仿宋_GB2312" w:eastAsia="仿宋_GB2312"/>
                <w:sz w:val="21"/>
              </w:rPr>
              <w:t>(3)现场核查，主要包括建筑物现状有无扩建维修状况等。</w:t>
            </w:r>
          </w:p>
          <w:p>
            <w:pPr>
              <w:pStyle w:val="null3"/>
              <w:jc w:val="left"/>
            </w:pPr>
            <w:r>
              <w:rPr>
                <w:rFonts w:ascii="仿宋_GB2312" w:hAnsi="仿宋_GB2312" w:cs="仿宋_GB2312" w:eastAsia="仿宋_GB2312"/>
                <w:sz w:val="21"/>
              </w:rPr>
              <w:t>(4)结构的基本情况勘查，主要包括该建筑结构构造等。</w:t>
            </w:r>
          </w:p>
          <w:p>
            <w:pPr>
              <w:pStyle w:val="null3"/>
              <w:jc w:val="left"/>
            </w:pPr>
            <w:r>
              <w:rPr>
                <w:rFonts w:ascii="仿宋_GB2312" w:hAnsi="仿宋_GB2312" w:cs="仿宋_GB2312" w:eastAsia="仿宋_GB2312"/>
                <w:sz w:val="21"/>
              </w:rPr>
              <w:t>(5)结构使用情况及荷载调查，主要包括建筑物的使用历史、荷载有无较大的变动。</w:t>
            </w:r>
          </w:p>
          <w:p>
            <w:pPr>
              <w:pStyle w:val="null3"/>
              <w:jc w:val="left"/>
            </w:pPr>
            <w:r>
              <w:rPr>
                <w:rFonts w:ascii="仿宋_GB2312" w:hAnsi="仿宋_GB2312" w:cs="仿宋_GB2312" w:eastAsia="仿宋_GB2312"/>
                <w:sz w:val="21"/>
              </w:rPr>
              <w:t>（二）现场检测。</w:t>
            </w:r>
          </w:p>
          <w:p>
            <w:pPr>
              <w:pStyle w:val="null3"/>
              <w:jc w:val="left"/>
            </w:pPr>
            <w:r>
              <w:rPr>
                <w:rFonts w:ascii="仿宋_GB2312" w:hAnsi="仿宋_GB2312" w:cs="仿宋_GB2312" w:eastAsia="仿宋_GB2312"/>
                <w:sz w:val="21"/>
              </w:rPr>
              <w:t>(1)对项目该建筑结构构件现状下的整体外观质量进行普查，对检测的结构构件等各类构件的外观缺陷、裂缝及损伤状况进行检测。</w:t>
            </w:r>
          </w:p>
          <w:p>
            <w:pPr>
              <w:pStyle w:val="null3"/>
              <w:jc w:val="left"/>
            </w:pPr>
            <w:r>
              <w:rPr>
                <w:rFonts w:ascii="仿宋_GB2312" w:hAnsi="仿宋_GB2312" w:cs="仿宋_GB2312" w:eastAsia="仿宋_GB2312"/>
                <w:sz w:val="21"/>
              </w:rPr>
              <w:t>(2)对该项目建筑结构平面进行现场调查及绘制。</w:t>
            </w:r>
          </w:p>
          <w:p>
            <w:pPr>
              <w:pStyle w:val="null3"/>
              <w:jc w:val="left"/>
            </w:pPr>
            <w:r>
              <w:rPr>
                <w:rFonts w:ascii="仿宋_GB2312" w:hAnsi="仿宋_GB2312" w:cs="仿宋_GB2312" w:eastAsia="仿宋_GB2312"/>
                <w:sz w:val="21"/>
              </w:rPr>
              <w:t>(3)对该项目建筑的结构构件的现龄期混凝土强度进行检测。</w:t>
            </w:r>
          </w:p>
          <w:p>
            <w:pPr>
              <w:pStyle w:val="null3"/>
              <w:jc w:val="left"/>
            </w:pPr>
            <w:r>
              <w:rPr>
                <w:rFonts w:ascii="仿宋_GB2312" w:hAnsi="仿宋_GB2312" w:cs="仿宋_GB2312" w:eastAsia="仿宋_GB2312"/>
                <w:sz w:val="21"/>
              </w:rPr>
              <w:t>(4)对该项目建筑物轴线尺寸进行检测。</w:t>
            </w:r>
          </w:p>
          <w:p>
            <w:pPr>
              <w:pStyle w:val="null3"/>
              <w:jc w:val="left"/>
            </w:pPr>
            <w:r>
              <w:rPr>
                <w:rFonts w:ascii="仿宋_GB2312" w:hAnsi="仿宋_GB2312" w:cs="仿宋_GB2312" w:eastAsia="仿宋_GB2312"/>
                <w:sz w:val="21"/>
              </w:rPr>
              <w:t>(5)对该项目建筑物的砌体抗压强度及砌筑砂浆抗压强度进行检测。</w:t>
            </w:r>
          </w:p>
          <w:p>
            <w:pPr>
              <w:pStyle w:val="null3"/>
              <w:jc w:val="left"/>
            </w:pPr>
            <w:r>
              <w:rPr>
                <w:rFonts w:ascii="仿宋_GB2312" w:hAnsi="仿宋_GB2312" w:cs="仿宋_GB2312" w:eastAsia="仿宋_GB2312"/>
                <w:sz w:val="21"/>
              </w:rPr>
              <w:t>(6)对该项目建筑整体的沉降情况进行检测。</w:t>
            </w:r>
          </w:p>
          <w:p>
            <w:pPr>
              <w:pStyle w:val="null3"/>
              <w:jc w:val="left"/>
            </w:pPr>
            <w:r>
              <w:rPr>
                <w:rFonts w:ascii="仿宋_GB2312" w:hAnsi="仿宋_GB2312" w:cs="仿宋_GB2312" w:eastAsia="仿宋_GB2312"/>
                <w:sz w:val="21"/>
              </w:rPr>
              <w:t>(7)对该项目建筑整体的倾斜情况进行检测。</w:t>
            </w:r>
          </w:p>
          <w:p>
            <w:pPr>
              <w:pStyle w:val="null3"/>
              <w:jc w:val="left"/>
            </w:pPr>
            <w:r>
              <w:rPr>
                <w:rFonts w:ascii="仿宋_GB2312" w:hAnsi="仿宋_GB2312" w:cs="仿宋_GB2312" w:eastAsia="仿宋_GB2312"/>
                <w:sz w:val="21"/>
              </w:rPr>
              <w:t>(8)对该项目建筑的地基基础稳定性及场地进行评价。</w:t>
            </w:r>
          </w:p>
          <w:p>
            <w:pPr>
              <w:pStyle w:val="null3"/>
              <w:jc w:val="left"/>
            </w:pPr>
            <w:r>
              <w:rPr>
                <w:rFonts w:ascii="仿宋_GB2312" w:hAnsi="仿宋_GB2312" w:cs="仿宋_GB2312" w:eastAsia="仿宋_GB2312"/>
                <w:sz w:val="21"/>
              </w:rPr>
              <w:t>(9)对该建筑的结构安全性及抗震性能鉴定。</w:t>
            </w:r>
          </w:p>
          <w:p>
            <w:pPr>
              <w:pStyle w:val="null3"/>
              <w:jc w:val="left"/>
            </w:pPr>
            <w:r>
              <w:rPr>
                <w:rFonts w:ascii="仿宋_GB2312" w:hAnsi="仿宋_GB2312" w:cs="仿宋_GB2312" w:eastAsia="仿宋_GB2312"/>
                <w:sz w:val="21"/>
              </w:rPr>
              <w:t>（三）分析评定。</w:t>
            </w:r>
          </w:p>
          <w:p>
            <w:pPr>
              <w:pStyle w:val="null3"/>
              <w:jc w:val="left"/>
            </w:pPr>
            <w:r>
              <w:rPr>
                <w:rFonts w:ascii="仿宋_GB2312" w:hAnsi="仿宋_GB2312" w:cs="仿宋_GB2312" w:eastAsia="仿宋_GB2312"/>
                <w:sz w:val="21"/>
              </w:rPr>
              <w:t>(1)分别依据现有实际荷载情况，对结构承载能力进行验算。</w:t>
            </w:r>
          </w:p>
          <w:p>
            <w:pPr>
              <w:pStyle w:val="null3"/>
              <w:jc w:val="left"/>
            </w:pPr>
            <w:r>
              <w:rPr>
                <w:rFonts w:ascii="仿宋_GB2312" w:hAnsi="仿宋_GB2312" w:cs="仿宋_GB2312" w:eastAsia="仿宋_GB2312"/>
                <w:sz w:val="21"/>
              </w:rPr>
              <w:t>(2)依据检测及验算结果，对建筑物的安全性按照国家标准及规范进行评定、针对存在的问题提出相应的处理建议。</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检测</w:t>
            </w:r>
            <w:r>
              <w:rPr>
                <w:rFonts w:ascii="仿宋_GB2312" w:hAnsi="仿宋_GB2312" w:cs="仿宋_GB2312" w:eastAsia="仿宋_GB2312"/>
                <w:sz w:val="21"/>
              </w:rPr>
              <w:t>单位对</w:t>
            </w:r>
            <w:r>
              <w:rPr>
                <w:rFonts w:ascii="仿宋_GB2312" w:hAnsi="仿宋_GB2312" w:cs="仿宋_GB2312" w:eastAsia="仿宋_GB2312"/>
                <w:sz w:val="21"/>
              </w:rPr>
              <w:t>现场检测</w:t>
            </w:r>
            <w:r>
              <w:rPr>
                <w:rFonts w:ascii="仿宋_GB2312" w:hAnsi="仿宋_GB2312" w:cs="仿宋_GB2312" w:eastAsia="仿宋_GB2312"/>
                <w:sz w:val="21"/>
              </w:rPr>
              <w:t>所需设备、材料、脚手架自行负责，因检查所破坏的抹灰层、涂料等</w:t>
            </w:r>
            <w:r>
              <w:rPr>
                <w:rFonts w:ascii="仿宋_GB2312" w:hAnsi="仿宋_GB2312" w:cs="仿宋_GB2312" w:eastAsia="仿宋_GB2312"/>
                <w:sz w:val="21"/>
              </w:rPr>
              <w:t>须</w:t>
            </w:r>
            <w:r>
              <w:rPr>
                <w:rFonts w:ascii="仿宋_GB2312" w:hAnsi="仿宋_GB2312" w:cs="仿宋_GB2312" w:eastAsia="仿宋_GB2312"/>
                <w:sz w:val="21"/>
              </w:rPr>
              <w:t>自行恢复原样。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）协助办理竣工验收备案手续。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根据原始资料收集情况，分批次开展检测工作，出具成果报告，并协助办理竣工验收备案手续。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采购人指定地点，即西安航空职业技术学院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每批次所有的服务内容完成后，由采购人根据项目竞争性磋商文件、响应文件、项目合同进行验收，检查合同内容完成情况。</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进度款，每批次服务内容完成并出具电子及纸质成果，并取得竣工验收备案手续后，按单价分批次据实结算，达到付款条件起15个工作日内，支付合同总金额的100.0%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1.商务要求3.3.5支付约定为系统固定推述内容，具体付款方式以下列内容为准：每批次服务内容完成并出具电子及纸质成果，并取得竣工验收备案手续后，按单价分批次据实结算。 2.本项目签订固定单价合同，本次报价评审以各投标人的投标总价为依据，单价作为项目最终结算的依据，中标后的固定单价在合同执行周期内不予调整。 3.供应商所填报的磋商报价须按照采购人要求结合项目实际情况完成与竣工验收备案有关的相应全部费用，包括但不限于：人工费、检测费、数据处理与成果编制费、保险、税金、利润、专用工具使用费、当地行政主管部门非政策性收费等与之相关的一切直接费、间接费。要求的其他相关费用以本磋商文件的内容和要求作为磋商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供应商应提交的相关资格证明文件docx.docx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供应商须具有行政主管部门核发的建设工程质量检测机构综合资质证书或建设工程质量检测机构专项资质证书（检测专项须包含主体结构及装饰装修、钢结构、地基基础）。</w:t>
            </w:r>
          </w:p>
        </w:tc>
        <w:tc>
          <w:tcPr>
            <w:tcW w:type="dxa" w:w="1661"/>
          </w:tcPr>
          <w:p>
            <w:pPr>
              <w:pStyle w:val="null3"/>
            </w:pPr>
            <w:r>
              <w:rPr>
                <w:rFonts w:ascii="仿宋_GB2312" w:hAnsi="仿宋_GB2312" w:cs="仿宋_GB2312" w:eastAsia="仿宋_GB2312"/>
              </w:rPr>
              <w:t>供应商应提交的相关资格证明文件docx.docx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项目负责人应具有建筑结构工程类专业中级及以上技术职称。</w:t>
            </w:r>
          </w:p>
        </w:tc>
        <w:tc>
          <w:tcPr>
            <w:tcW w:type="dxa" w:w="1661"/>
          </w:tcPr>
          <w:p>
            <w:pPr>
              <w:pStyle w:val="null3"/>
            </w:pPr>
            <w:r>
              <w:rPr>
                <w:rFonts w:ascii="仿宋_GB2312" w:hAnsi="仿宋_GB2312" w:cs="仿宋_GB2312" w:eastAsia="仿宋_GB2312"/>
              </w:rPr>
              <w:t>供应商应提交的相关资格证明文件docx.docx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w:t>
            </w:r>
          </w:p>
        </w:tc>
        <w:tc>
          <w:tcPr>
            <w:tcW w:type="dxa" w:w="3322"/>
          </w:tcPr>
          <w:p>
            <w:pPr>
              <w:pStyle w:val="null3"/>
            </w:pPr>
            <w:r>
              <w:rPr>
                <w:rFonts w:ascii="仿宋_GB2312" w:hAnsi="仿宋_GB2312" w:cs="仿宋_GB2312" w:eastAsia="仿宋_GB2312"/>
              </w:rPr>
              <w:t>响应文件按照竞争性磋商文件要求签署、盖章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供应商应提交的相关资格证明文件docx.docx 中小企业声明函 残疾人福利性单位声明函 商务应答表 标的清单 报价表 响应函 项目服务实施方案.docx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供应商应提交的相关资格证明文件docx.docx 中小企业声明函 残疾人福利性单位声明函 商务应答表 标的清单 报价表 响应函 项目服务实施方案.docx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投标文件未含有采购人不能接受的附加条件或其他情形。</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供应商应提交的相关资格证明文件docx.docx 中小企业声明函 残疾人福利性单位声明函 商务应答表 标的清单 报价表 响应函 项目服务实施方案.docx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供应商应提交的相关资格证明文件docx.docx 中小企业声明函 残疾人福利性单位声明函 商务应答表 标的清单 报价表 响应函 项目服务实施方案.docx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供应商应提交的相关资格证明文件docx.docx 中小企业声明函 残疾人福利性单位声明函 商务应答表 标的清单 报价表 响应函 项目服务实施方案.docx 监狱企业的证明文件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供应商应提交的相关资格证明文件docx.docx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供应商应提供自2023年5月1日以来类似项目业绩，每提供一项完整的业绩证明材料得2分，最高得10分。(注：以合同签订时间为准，供应商应在响应文件中提供业绩合同复印件或扫描件)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拟投入团队配置1</w:t>
            </w:r>
          </w:p>
        </w:tc>
        <w:tc>
          <w:tcPr>
            <w:tcW w:type="dxa" w:w="2492"/>
          </w:tcPr>
          <w:p>
            <w:pPr>
              <w:pStyle w:val="null3"/>
            </w:pPr>
            <w:r>
              <w:rPr>
                <w:rFonts w:ascii="仿宋_GB2312" w:hAnsi="仿宋_GB2312" w:cs="仿宋_GB2312" w:eastAsia="仿宋_GB2312"/>
              </w:rPr>
              <w:t>1.拟派项目负责人学历（2分） 项目负责人具有本科及以上学历得2分；专科得1分；其他情况不得分。 注：需提供相关证明材料（身份证、学历证书，（提供多个学历证书的，以最高学历为准，未提供的不得分）。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拟投入团队配置2</w:t>
            </w:r>
          </w:p>
        </w:tc>
        <w:tc>
          <w:tcPr>
            <w:tcW w:type="dxa" w:w="2492"/>
          </w:tcPr>
          <w:p>
            <w:pPr>
              <w:pStyle w:val="null3"/>
            </w:pPr>
            <w:r>
              <w:rPr>
                <w:rFonts w:ascii="仿宋_GB2312" w:hAnsi="仿宋_GB2312" w:cs="仿宋_GB2312" w:eastAsia="仿宋_GB2312"/>
              </w:rPr>
              <w:t>2.拟派项目负责人业绩（5分） 供应商提供拟派项目负责人自2023年5月1日以来至今的类似业绩证明材料的（在该项目中担任项目负责人一职）每提供1项完整的业绩证明材料得2.5分，最多得5分。 评审依据：以合同签订时间所体现的时间为准，合同中应体现的项目负责人姓名。（拟派项目负责人业绩与企业业绩可重复计分）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拟投入团队配置3</w:t>
            </w:r>
          </w:p>
        </w:tc>
        <w:tc>
          <w:tcPr>
            <w:tcW w:type="dxa" w:w="2492"/>
          </w:tcPr>
          <w:p>
            <w:pPr>
              <w:pStyle w:val="null3"/>
            </w:pPr>
            <w:r>
              <w:rPr>
                <w:rFonts w:ascii="仿宋_GB2312" w:hAnsi="仿宋_GB2312" w:cs="仿宋_GB2312" w:eastAsia="仿宋_GB2312"/>
              </w:rPr>
              <w:t>3.拟配备项目团队（不含项目负责人，本项最高4分）：每有一人具有注册结构工程师得2分，最高得4分。 注：需提供相关证明材料（身份证、注册证书，提供多个证书的，以最高级别证书为准，未提供不得分）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拟投入团队配置4</w:t>
            </w:r>
          </w:p>
        </w:tc>
        <w:tc>
          <w:tcPr>
            <w:tcW w:type="dxa" w:w="2492"/>
          </w:tcPr>
          <w:p>
            <w:pPr>
              <w:pStyle w:val="null3"/>
            </w:pPr>
            <w:r>
              <w:rPr>
                <w:rFonts w:ascii="仿宋_GB2312" w:hAnsi="仿宋_GB2312" w:cs="仿宋_GB2312" w:eastAsia="仿宋_GB2312"/>
              </w:rPr>
              <w:t>4.拟配备项目团队具有中级和高级职称的人员数量（不含项目负责人，本项最高4分）：中级职称，每人得0.5分；高级职称，每人得1分。注：以上人员不重复计算，需提供相关证明材料（身份证、职称证书，提供多个职称证书的，以最高级别证书为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服务要求的响应</w:t>
            </w:r>
          </w:p>
        </w:tc>
        <w:tc>
          <w:tcPr>
            <w:tcW w:type="dxa" w:w="2492"/>
          </w:tcPr>
          <w:p>
            <w:pPr>
              <w:pStyle w:val="null3"/>
            </w:pPr>
            <w:r>
              <w:rPr>
                <w:rFonts w:ascii="仿宋_GB2312" w:hAnsi="仿宋_GB2312" w:cs="仿宋_GB2312" w:eastAsia="仿宋_GB2312"/>
              </w:rPr>
              <w:t>根据供应商针对服务要求响应情况进行评审： 1.完全响应并满足服务要求的得9分； 2.服务要求有一项未响应或不满足服务内容及要求的扣0.5分，扣完为止。 备注：相应的各项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供应商提供的整体服务的思路及要点需包含①核心需求把握度及重难点深度分析；②需求适配针对性，共2项内容，每项满分3分，总分6分。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供应商提供的测绘服务方案需包含①现场调查实施方案；②现场检测专项实施方案；③房屋安全鉴定方案；④质量安全评估方案，共4项内容，每项满分3分，总分12分。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供应商提供的整体服务质量保障措施方案需包含①核心环节质量管控措施及整改机制；②全过程质量管控；③成果质量控制，共3项内容，每项满分3分，总分9分。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供应商提供的项目配套服务设备需包含①项目配套服务设备配置情况表；②项目配套服务设备的性能及运行状态；③项目配套服务设备的运维及备用方案，共3项内容，每项满分3分，总分9分。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整体服务开展的流程及规范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供应商提供的服务开展的流程及规范方案需包含①服务流程及实施；②各环节衔接保障措施及内外部沟通机制，共2项内容，每项满分3分，总分6分。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服务应急保障措施</w:t>
            </w:r>
          </w:p>
        </w:tc>
        <w:tc>
          <w:tcPr>
            <w:tcW w:type="dxa" w:w="2492"/>
          </w:tcPr>
          <w:p>
            <w:pPr>
              <w:pStyle w:val="null3"/>
            </w:pPr>
            <w:r>
              <w:rPr>
                <w:rFonts w:ascii="仿宋_GB2312" w:hAnsi="仿宋_GB2312" w:cs="仿宋_GB2312" w:eastAsia="仿宋_GB2312"/>
              </w:rPr>
              <w:t>供应商提供的服务应急保障措施需包含应急服务方案及补救措施，共1项内容，每项满分3分，总分3分。 其中，每项以具体内容与本项目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服务保密措施</w:t>
            </w:r>
          </w:p>
        </w:tc>
        <w:tc>
          <w:tcPr>
            <w:tcW w:type="dxa" w:w="2492"/>
          </w:tcPr>
          <w:p>
            <w:pPr>
              <w:pStyle w:val="null3"/>
            </w:pPr>
            <w:r>
              <w:rPr>
                <w:rFonts w:ascii="仿宋_GB2312" w:hAnsi="仿宋_GB2312" w:cs="仿宋_GB2312" w:eastAsia="仿宋_GB2312"/>
              </w:rPr>
              <w:t>投标人提供的服务保密措施需包含①保密管理制度；②具体保密措施，共2项内容，每项满分3分，总分6分。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详见附件：供应商应提交的相关资格证明文件docx.docx</w:t>
      </w:r>
    </w:p>
    <w:p>
      <w:pPr>
        <w:pStyle w:val="null3"/>
        <w:ind w:firstLine="960"/>
      </w:pPr>
      <w:r>
        <w:rPr>
          <w:rFonts w:ascii="仿宋_GB2312" w:hAnsi="仿宋_GB2312" w:cs="仿宋_GB2312" w:eastAsia="仿宋_GB2312"/>
        </w:rPr>
        <w:t>详见附件：项目服务实施方案.docx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