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B9A48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0"/>
        <w:jc w:val="center"/>
        <w:rPr>
          <w:rFonts w:hint="eastAsia" w:ascii="宋体" w:hAnsi="宋体" w:eastAsia="宋体" w:cs="宋体"/>
          <w:b/>
          <w:bCs/>
          <w:i w:val="0"/>
          <w:iCs w:val="0"/>
          <w:caps w:val="0"/>
          <w:color w:val="333333"/>
          <w:spacing w:val="0"/>
          <w:sz w:val="39"/>
          <w:szCs w:val="39"/>
        </w:rPr>
      </w:pPr>
      <w:r>
        <w:rPr>
          <w:rFonts w:hint="eastAsia" w:ascii="宋体" w:hAnsi="宋体" w:eastAsia="宋体" w:cs="宋体"/>
          <w:b/>
          <w:bCs/>
          <w:i w:val="0"/>
          <w:iCs w:val="0"/>
          <w:caps w:val="0"/>
          <w:color w:val="333333"/>
          <w:spacing w:val="0"/>
          <w:sz w:val="39"/>
          <w:szCs w:val="39"/>
          <w:bdr w:val="none" w:color="auto" w:sz="0" w:space="0"/>
          <w:shd w:val="clear" w:fill="FFFFFF"/>
        </w:rPr>
        <w:t>谈判项目技术、服务、商务及其他要求</w:t>
      </w:r>
    </w:p>
    <w:p w14:paraId="514C8E4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333333"/>
          <w:spacing w:val="0"/>
          <w:sz w:val="18"/>
          <w:szCs w:val="18"/>
        </w:rPr>
      </w:pPr>
      <w:r>
        <w:rPr>
          <w:rFonts w:hint="eastAsia" w:ascii="宋体" w:hAnsi="宋体" w:eastAsia="宋体" w:cs="宋体"/>
          <w:i w:val="0"/>
          <w:iCs w:val="0"/>
          <w:caps w:val="0"/>
          <w:color w:val="333333"/>
          <w:spacing w:val="0"/>
          <w:sz w:val="18"/>
          <w:szCs w:val="18"/>
          <w:bdr w:val="none" w:color="auto" w:sz="0" w:space="0"/>
          <w:shd w:val="clear" w:fill="FFFFFF"/>
        </w:rPr>
        <w:t>（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7F13853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3.1采购项目概况</w:t>
      </w:r>
    </w:p>
    <w:p w14:paraId="576C5BB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含双人课桌椅、学生书包柜、紫外线灯、办公桌椅、教师整理柜、讲桌、空调等教学设施设备一批及配套室内改造，用于教学品质改善与能力提升，要求所有货物（产品）质量标准符合国家、省、市（行业）强制性标准及采购人要求的合格标准、安装调试到位、验收合格达到交钥匙条件。</w:t>
      </w:r>
    </w:p>
    <w:p w14:paraId="1EAEC66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3.2采购内容</w:t>
      </w:r>
    </w:p>
    <w:p w14:paraId="2A290C9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3D4A889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采购包预算金额（元）: 234,000.00</w:t>
      </w:r>
    </w:p>
    <w:p w14:paraId="1E53E6E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采购包最高限价（元）: 234,000.00</w:t>
      </w:r>
    </w:p>
    <w:p w14:paraId="217F361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供应商报价不允许超过标的金额</w:t>
      </w:r>
    </w:p>
    <w:p w14:paraId="577DC4C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（招单价的）供应商报价不允许超过标的单价</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97"/>
        <w:gridCol w:w="3038"/>
        <w:gridCol w:w="481"/>
        <w:gridCol w:w="963"/>
        <w:gridCol w:w="481"/>
        <w:gridCol w:w="481"/>
        <w:gridCol w:w="481"/>
        <w:gridCol w:w="481"/>
        <w:gridCol w:w="481"/>
        <w:gridCol w:w="481"/>
        <w:gridCol w:w="481"/>
      </w:tblGrid>
      <w:tr w14:paraId="5BB7280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75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593090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150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D145457">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标的名称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149005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数量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3B18296">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标的金额 （元）</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62CF8F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计量单位</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DCCE6DB">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所属行业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2F84BBE">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是否核心产品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1EECAE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是否允许进口产品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D70297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是否属于节能产品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86B4BC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是否属于环境标志产品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773D0A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是否实施本国产品政策</w:t>
            </w:r>
          </w:p>
        </w:tc>
      </w:tr>
      <w:tr w14:paraId="2C2FF83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7C81F5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D4A3950">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学生课桌椅、书包柜、紫外线灯</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FECAF14">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A2D9822">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123,000.00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F31B660">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EE70E40">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2BC075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AE39D1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A89FF70">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1DBE55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是</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A1A459F">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是</w:t>
            </w:r>
          </w:p>
        </w:tc>
      </w:tr>
      <w:tr w14:paraId="3A5A955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E144CC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F22870F">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办公桌椅、整理柜、讲桌</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6C032C8">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428C81B">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83,000.00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C7FB80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6AD3907">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056913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E04698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37ADF2B">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2BCD38F">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是</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8E8332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是</w:t>
            </w:r>
          </w:p>
        </w:tc>
      </w:tr>
      <w:tr w14:paraId="0C937C4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F23B320">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3</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AC3CFC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空调</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C02F79B">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C48617A">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8,000.00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A145206">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A045A5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B2B1D3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DB3405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A9C46F1">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是</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3028EC1">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是</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C86CB3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是</w:t>
            </w:r>
          </w:p>
        </w:tc>
      </w:tr>
      <w:tr w14:paraId="3B932F4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455FE7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45AD84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房屋修缮</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4B5269E">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3C481AA">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20,000.00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C0622B6">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B622F9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建筑业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2850FF1">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0381EA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DF200E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149E2A1">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B0BB85B">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r>
    </w:tbl>
    <w:p w14:paraId="2D52F37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3.3技术要求</w:t>
      </w:r>
    </w:p>
    <w:p w14:paraId="2E2A728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092746C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标的名称：学生课桌椅、书包柜、紫外线灯</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20"/>
        <w:gridCol w:w="1221"/>
        <w:gridCol w:w="6105"/>
      </w:tblGrid>
      <w:tr w14:paraId="105B297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C1A8AE3">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4CBCCC3">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参数性质</w:t>
            </w:r>
          </w:p>
        </w:tc>
        <w:tc>
          <w:tcPr>
            <w:tcW w:w="2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8E5AE5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技术参数与性能指标</w:t>
            </w:r>
          </w:p>
        </w:tc>
      </w:tr>
      <w:tr w14:paraId="6BBE5BB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E04177B">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017383D">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1D4A54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9"/>
                <w:rFonts w:ascii="仿宋" w:hAnsi="仿宋" w:eastAsia="仿宋" w:cs="仿宋"/>
                <w:color w:val="000000"/>
                <w:sz w:val="26"/>
                <w:szCs w:val="26"/>
                <w:bdr w:val="none" w:color="auto" w:sz="0" w:space="0"/>
              </w:rPr>
              <w:t>1.</w:t>
            </w:r>
            <w:r>
              <w:rPr>
                <w:rStyle w:val="9"/>
                <w:rFonts w:hint="eastAsia" w:ascii="仿宋" w:hAnsi="仿宋" w:eastAsia="仿宋" w:cs="仿宋"/>
                <w:color w:val="000000"/>
                <w:sz w:val="26"/>
                <w:szCs w:val="26"/>
                <w:bdr w:val="none" w:color="auto" w:sz="0" w:space="0"/>
              </w:rPr>
              <w:t>采购需求及要求</w:t>
            </w:r>
          </w:p>
          <w:p w14:paraId="488B0D0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105"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1.1采购需求清单：详见附件：学生课桌椅、书包柜、紫外线灯、办公桌椅、整理柜、讲桌、空调及部室改造采购项目采购需求一览表。</w:t>
            </w:r>
          </w:p>
          <w:p w14:paraId="2570165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1.2质量标准：(1)所有货物(产品)、服务符合国家、省、市(行业)强制性标准及采购人要求的合格标准；</w:t>
            </w:r>
          </w:p>
          <w:p w14:paraId="7BA5E74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货物(产品)制造商、经销代理商应严格遵守《中华人民共和国产品质量法》，确保提供的产品符合质量标准，达到合格产品的要求。可能危及人体健康和人身、财产安全的工业产品，必须符合保障人体健康和人身、财产安全的国家标准、行业标准；未制定国家标准、行业标准的，必须符合保障人体健康和人身、财产安全的要求。</w:t>
            </w:r>
          </w:p>
          <w:p w14:paraId="5C951FF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105"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(3)货物(产品)、服务执行的标准、规范：必须执行国家、行业强制性标准；没有国家、行业强制性标准的按①国家标准、规范→②行业标准、规范→③地方标准、规范→④团体标准、规范→⑤企业标准、规范类推顺序执行；凡涉及的相关规范，国家有最新标准的以最新标准为准，所有标准哪个标准高执行哪个标准。</w:t>
            </w:r>
          </w:p>
          <w:p w14:paraId="2FDA0F5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1.3产品“三包”要求：货物(产品)属于国家规定的“三包产品”，产品制造商、经销代理商应遵守“三包”的规定，在产品发生质量问题时，及时对所提供产品实行“包退、包换、保修”服务。</w:t>
            </w:r>
          </w:p>
          <w:p w14:paraId="7FEF173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1.4安全要求：认真贯彻执行国家及省、市有关安全文明生产的法律法规规章和强制性标准、安全操作规程等，所有设备(产品)应符合国家相关安全标准，所有货物(产品)能够承受频繁使用和可能的不当操作，结构稳定，不易损坏，无锐利边角、无毒无害、不易造成意外伤害，与实际使用场地相匹配；建立健全安装现场安全文明生产保证体系，落实各项具体措施，切实履行安全文明生产责任和义务，保护职工身体健康和生命安全，以及社会公众安全，保持安装现场整齐有序。</w:t>
            </w:r>
          </w:p>
          <w:p w14:paraId="3205E3A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1.5为保证货物(软件和硬件)质量功能的严谨性，中标(成交)后采购人有权要求成交供应商对其所提供的设备(包含软件和硬件)的功能进行逐一演示，如有功能与实际不相符，一律按虚假应标处理，由成交供应商承担因此产生的一切后果和责任。</w:t>
            </w:r>
          </w:p>
          <w:p w14:paraId="03B1538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1.6供应商应保证投标所提供第三方资料内容真实、完整、准确；如有相关第三方书面声明、相关检测报告等资料虚假，监管部门有权根据调查情形认定其是否属于提供虚假材料谋取中标(成交)，并严肃处理。</w:t>
            </w:r>
          </w:p>
          <w:p w14:paraId="32AD170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1.7售后服务要求：(1)成交供应商须指派专人负责与采购人联系售后服务事宜。售后服务条款(包括具体的服务内容、故障响应时间、响应方式、维修措施及时限、维护响应计划等方面)。</w:t>
            </w:r>
          </w:p>
          <w:p w14:paraId="5C6D6C6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(2)成交供应商负责货物(含软件)的现场安装、调试、测试和启动等。</w:t>
            </w:r>
          </w:p>
          <w:p w14:paraId="4EABDD0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(3)成交供应商负责货物(含软件)的安装、启动、运行及维护等对使用人员进行免费培训：培训主要内容为货物(含软件)的基本结构、性能、主要部件的构造及原理，日常使用操作、维护保养与管理，常见故障的排除、紧急情况的处理等，如使用方未使用过同类型货物(含软件)，成交供应商还需就货物(含软件)的功能对使用方人员进行相应的技术培训，培训地点为货物(含软件)安装现场或由采购人安排。</w:t>
            </w:r>
          </w:p>
          <w:p w14:paraId="4D168F6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(4)质保期自采购人在质量验收单(终验)上签字之日起计算，质保费用计入总价。在最终验收后的质量保证期内，成交供应商应对货物(含软件)的设计、工艺或材料、功能等所有的缺陷而产生的故障负责。</w:t>
            </w:r>
          </w:p>
          <w:p w14:paraId="3F0CC78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(5)成交供应商负责对其提供的货物(含软件)整体进行维修和系统维护，质保期内应无偿负责现场技术巡检、维修和替换等工作；若遇到采购人重大活动需无条件提供现场技术支持服务且不再收取任何费用，但不可抗力(如火灾、雷击等)造成的故障除外；超出质保期只收取维修所需原设备、材料成本费用；采购人使用产品过程中因产品质量、产品缺陷及安装质量等造成人身伤亡、财产损失的，由成交供应商负责解决并承担全部责任。</w:t>
            </w:r>
          </w:p>
          <w:p w14:paraId="12488B4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(6)成交供应商负责对其所提供的设备、材料等备品配件供应，提供长期维修，并提供技术咨询等服务，所有维修记录交由采购人的现场技术人员一份，并详细说明问题所在、解决办法及注意事项。对于存在质量问题或者短少的产品，成交供应商应在接到采购人的通知2个日历日内负责修复，调换、重新制作或补齐。</w:t>
            </w:r>
          </w:p>
          <w:p w14:paraId="28D6B42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(7)所有货物(含软件)服务方式均为成交供应商上门服务，即由成交供应商派人到货物(含软件)使用现场维修，由此产生的一切费用均由成交供应商承担，对系统进行定期的检修、保养工作，并与用户进行沟通，定期开展技术交流活动，预防故障发生，保证系统的正常运行。</w:t>
            </w:r>
          </w:p>
          <w:p w14:paraId="6B6AB5A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(8)在质保期内，对软件系统出现的质量问题，免费提供平台维护和技术保障、系统更新服务。4小时内对所提出的维护要求做出实质性反应，并提供应急响应策略。平台运行过程中如果出现技术故障(如硬件故障、软件故障、配置丢失等)，在此期间按紧急预案处置，确保软件系统最大限度地不中断运行。</w:t>
            </w:r>
          </w:p>
          <w:p w14:paraId="3E0A382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(9)质保期结束后的其他维修、维护等由双方协商再定。</w:t>
            </w:r>
          </w:p>
          <w:p w14:paraId="0AD5E40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2.其他要求或说明</w:t>
            </w:r>
          </w:p>
          <w:p w14:paraId="01F4ED9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left"/>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2.1供应商的报价是供应商响应采购项目要求的全部工作内容的价格体现，包括供应商完成本项目所需的直接费、间接费、利润、税金及其他相关的一切费用，包括但不限于：产品费、附件费、工具费、验收费、运输费、保险费、安装费、调试费、功能使用费、技术服务费(含售后)、招标代理费、税金、利润及不可预见费等全部费用；响应总报价中不得包含采购文件要求以外的内容，否则，在评审时不予核减。在提供项目实施过程中出现的任何遗漏，均由成交供应商免费提供，采购人将不再支付任何费用。</w:t>
            </w:r>
          </w:p>
          <w:p w14:paraId="4545A64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2.2人员配置要求：供应商根据采购项目特性及要求，自行配置履行合同所必需的专业服务团队，自行组织实施与管理，相关人员经过严格培训，有相关工作经验，能够胜任项目工作，保证项目顺利实施。</w:t>
            </w:r>
          </w:p>
          <w:p w14:paraId="22D19FF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2.3设施设备要求：供应商根据采购项目特性及要求，自行配置投入履行合同所必需的各类设施设备(不限于专业设备、辅助设备、工具、软件等)，保证项目顺利实施。</w:t>
            </w:r>
          </w:p>
          <w:p w14:paraId="58F6239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2.4如所投主要标的物(产品)属于强制性产品认证目录范围内的16大类96种产品，响应文件中应附产品的3C认证证书或国家市场监督管理总局全国认证认可信息公共服务平台的查询截图。证书或截图载明的产品信息必须包含所投主要标的物(产品)，信息不一致或未包含所投产品信息或认证过期的，按未提供强制性产品认证处理。</w:t>
            </w:r>
          </w:p>
        </w:tc>
      </w:tr>
    </w:tbl>
    <w:p w14:paraId="0E3E60B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标的名称：办公桌椅、整理柜、讲桌</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20"/>
        <w:gridCol w:w="1221"/>
        <w:gridCol w:w="6105"/>
      </w:tblGrid>
      <w:tr w14:paraId="5160DFC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800AFB3">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A4F9F51">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参数性质</w:t>
            </w:r>
          </w:p>
        </w:tc>
        <w:tc>
          <w:tcPr>
            <w:tcW w:w="2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11397E1">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技术参数与性能指标</w:t>
            </w:r>
          </w:p>
        </w:tc>
      </w:tr>
      <w:tr w14:paraId="4BE8913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F91C041">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BB6BB6F">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EABFCF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9"/>
                <w:rFonts w:hint="eastAsia" w:ascii="仿宋" w:hAnsi="仿宋" w:eastAsia="仿宋" w:cs="仿宋"/>
                <w:color w:val="000000"/>
                <w:sz w:val="26"/>
                <w:szCs w:val="26"/>
                <w:bdr w:val="none" w:color="auto" w:sz="0" w:space="0"/>
              </w:rPr>
              <w:t>1.采购需求及要求</w:t>
            </w:r>
          </w:p>
          <w:p w14:paraId="017E3A6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105"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1.1采购需求清单：详见附件：学生课桌椅、书包柜、紫外线灯、办公桌椅、整理柜、讲桌、空调及部室改造采购项目采购需求一览表。</w:t>
            </w:r>
          </w:p>
          <w:p w14:paraId="6E9D8A4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1.2质量标准：(1)所有货物(产品)、服务符合国家、省、市(行业)强制性标准及采购人要求的合格标准；</w:t>
            </w:r>
          </w:p>
          <w:p w14:paraId="7D1F9BD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货物(产品)制造商、经销代理商应严格遵守《中华人民共和国产品质量法》，确保提供的产品符合质量标准，达到合格产品的要求。可能危及人体健康和人身、财产安全的工业产品，必须符合保障人体健康和人身、财产安全的国家标准、行业标准；未制定国家标准、行业标准的，必须符合保障人体健康和人身、财产安全的要求。</w:t>
            </w:r>
          </w:p>
          <w:p w14:paraId="71D358E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105"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(3)货物(产品)、服务执行的标准、规范：必须执行国家、行业强制性标准；没有国家、行业强制性标准的按①国家标准、规范→②行业标准、规范→③地方标准、规范→④团体标准、规范→⑤企业标准、规范类推顺序执行；凡涉及的相关规范，国家有最新标准的以最新标准为准，所有标准哪个标准高执行哪个标准。</w:t>
            </w:r>
          </w:p>
          <w:p w14:paraId="3EE0F28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1.3产品“三包”要求：货物(产品)属于国家规定的“三包产品”，产品制造商、经销代理商应遵守“三包”的规定，在产品发生质量问题时，及时对所提供产品实行“包退、包换、保修”服务。</w:t>
            </w:r>
          </w:p>
          <w:p w14:paraId="7F02153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1.4安全要求：认真贯彻执行国家及省、市有关安全文明生产的法律法规规章和强制性标准、安全操作规程等，所有设备(产品)应符合国家相关安全标准，所有货物(产品)能够承受频繁使用和可能的不当操作，结构稳定，不易损坏，无锐利边角、无毒无害、不易造成意外伤害，与实际使用场地相匹配；建立健全安装现场安全文明生产保证体系，落实各项具体措施，切实履行安全文明生产责任和义务，保护职工身体健康和生命安全，以及社会公众安全，保持安装现场整齐有序。</w:t>
            </w:r>
          </w:p>
          <w:p w14:paraId="3BE8D7E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1.5为保证货物(软件和硬件)质量功能的严谨性，中标(成交)后采购人有权要求成交供应商对其所提供的设备(包含软件和硬件)的功能进行逐一演示，如有功能与实际不相符，一律按虚假应标处理，由成交供应商承担因此产生的一切后果和责任。</w:t>
            </w:r>
          </w:p>
          <w:p w14:paraId="6612A1A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1.6供应商应保证投标所提供第三方资料内容真实、完整、准确；如有相关第三方书面声明、相关检测报告等资料虚假，监管部门有权根据调查情形认定其是否属于提供虚假材料谋取中标(成交)，并严肃处理。</w:t>
            </w:r>
          </w:p>
          <w:p w14:paraId="50FF963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1.7售后服务要求：(1)成交供应商须指派专人负责与采购人联系售后服务事宜。售后服务条款(包括具体的服务内容、故障响应时间、响应方式、维修措施及时限、维护响应计划等方面)。</w:t>
            </w:r>
          </w:p>
          <w:p w14:paraId="0F6500C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(2)成交供应商负责货物(含软件)的现场安装、调试、测试和启动等。</w:t>
            </w:r>
          </w:p>
          <w:p w14:paraId="78DA41C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(3)成交供应商负责货物(含软件)的安装、启动、运行及维护等对使用人员进行免费培训：培训主要内容为货物(含软件)的基本结构、性能、主要部件的构造及原理，日常使用操作、维护保养与管理，常见故障的排除、紧急情况的处理等，如使用方未使用过同类型货物(含软件)，成交供应商还需就货物(含软件)的功能对使用方人员进行相应的技术培训，培训地点为货物(含软件)安装现场或由采购人安排。</w:t>
            </w:r>
          </w:p>
          <w:p w14:paraId="5C218D8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(4)质保期自采购人在质量验收单(终验)上签字之日起计算，质保费用计入总价。在最终验收后的质量保证期内，成交供应商应对货物(含软件)的设计、工艺或材料、功能等所有的缺陷而产生的故障负责。</w:t>
            </w:r>
          </w:p>
          <w:p w14:paraId="187FC2B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(5)成交供应商负责对其提供的货物(含软件)整体进行维修和系统维护，质保期内应无偿负责现场技术巡检、维修和替换等工作；若遇到采购人重大活动需无条件提供现场技术支持服务且不再收取任何费用，但不可抗力(如火灾、雷击等)造成的故障除外；超出质保期只收取维修所需原设备、材料成本费用；采购人使用产品过程中因产品质量、产品缺陷及安装质量等造成人身伤亡、财产损失的，由成交供应商负责解决并承担全部责任。</w:t>
            </w:r>
          </w:p>
          <w:p w14:paraId="5E49BDE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(6)成交供应商负责对其所提供的设备、材料等备品配件供应，提供长期维修，并提供技术咨询等服务，所有维修记录交由采购人的现场技术人员一份，并详细说明问题所在、解决办法及注意事项。对于存在质量问题或者短少的产品，成交供应商应在接到采购人的通知2个日历日内负责修复，调换、重新制作或补齐。</w:t>
            </w:r>
          </w:p>
          <w:p w14:paraId="5BCB806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(7)所有货物(含软件)服务方式均为成交供应商上门服务，即由成交供应商派人到货物(含软件)使用现场维修，由此产生的一切费用均由成交供应商承担，对系统进行定期的检修、保养工作，并与用户进行沟通，定期开展技术交流活动，预防故障发生，保证系统的正常运行。</w:t>
            </w:r>
          </w:p>
          <w:p w14:paraId="7ACE186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(8)在质保期内，对软件系统出现的质量问题，免费提供平台维护和技术保障、系统更新服务。4小时内对所提出的维护要求做出实质性反应，并提供应急响应策略。平台运行过程中如果出现技术故障(如硬件故障、软件故障、配置丢失等)，在此期间按紧急预案处置，确保软件系统最大限度地不中断运行。</w:t>
            </w:r>
          </w:p>
          <w:p w14:paraId="7DFA3AE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(9)质保期结束后的其他维修、维护等由双方协商再定。</w:t>
            </w:r>
          </w:p>
          <w:p w14:paraId="785550B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2.其他要求或说明</w:t>
            </w:r>
          </w:p>
          <w:p w14:paraId="622C24A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left"/>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2.1供应商的报价是供应商响应采购项目要求的全部工作内容的价格体现，包括供应商完成本项目所需的直接费、间接费、利润、税金及其他相关的一切费用，包括但不限于：产品费、附件费、工具费、验收费、运输费、保险费、安装费、调试费、功能使用费、技术服务费(含售后)、招标代理费、税金、利润及不可预见费等全部费用；响应总报价中不得包含采购文件要求以外的内容，否则，在评审时不予核减。在提供项目实施过程中出现的任何遗漏，均由成交供应商免费提供，采购人将不再支付任何费用。</w:t>
            </w:r>
          </w:p>
          <w:p w14:paraId="199C738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2.2人员配置要求：供应商根据采购项目特性及要求，自行配置履行合同所必需的专业服务团队，自行组织实施与管理，相关人员经过严格培训，有相关工作经验，能够胜任项目工作，保证项目顺利实施。</w:t>
            </w:r>
          </w:p>
          <w:p w14:paraId="228110C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2.3设施设备要求：供应商根据采购项目特性及要求，自行配置投入履行合同所必需的各类设施设备(不限于专业设备、辅助设备、工具、软件等)，保证项目顺利实施。</w:t>
            </w:r>
          </w:p>
        </w:tc>
      </w:tr>
    </w:tbl>
    <w:p w14:paraId="23DF206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标的名称：空调</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20"/>
        <w:gridCol w:w="1221"/>
        <w:gridCol w:w="6105"/>
      </w:tblGrid>
      <w:tr w14:paraId="30333AE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B6D0B9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1C9F1BB">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参数性质</w:t>
            </w:r>
          </w:p>
        </w:tc>
        <w:tc>
          <w:tcPr>
            <w:tcW w:w="2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124D7D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技术参数与性能指标</w:t>
            </w:r>
          </w:p>
        </w:tc>
      </w:tr>
      <w:tr w14:paraId="69249D1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BCF1C9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EBDD952">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975E9A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9"/>
                <w:rFonts w:hint="eastAsia" w:ascii="仿宋" w:hAnsi="仿宋" w:eastAsia="仿宋" w:cs="仿宋"/>
                <w:color w:val="000000"/>
                <w:sz w:val="26"/>
                <w:szCs w:val="26"/>
                <w:bdr w:val="none" w:color="auto" w:sz="0" w:space="0"/>
              </w:rPr>
              <w:t>1.采购需求及要求</w:t>
            </w:r>
          </w:p>
          <w:p w14:paraId="70C01F1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105"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1.1采购需求清单：详见附件：学生课桌椅、书包柜、紫外线灯、办公桌椅、整理柜、讲桌、空调及部室改造采购项目采购需求一览表。</w:t>
            </w:r>
          </w:p>
          <w:p w14:paraId="6BEC9A7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1.2质量标准：(1)所有货物(产品)、服务符合国家、省、市(行业)强制性标准及采购人要求的合格标准；</w:t>
            </w:r>
          </w:p>
          <w:p w14:paraId="59D1D84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货物(产品)制造商、经销代理商应严格遵守《中华人民共和国产品质量法》，确保提供的产品符合质量标准，达到合格产品的要求。可能危及人体健康和人身、财产安全的工业产品，必须符合保障人体健康和人身、财产安全的国家标准、行业标准；未制定国家标准、行业标准的，必须符合保障人体健康和人身、财产安全的要求。</w:t>
            </w:r>
          </w:p>
          <w:p w14:paraId="31FA152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105"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(3)货物(产品)、服务执行的标准、规范：必须执行国家、行业强制性标准；没有国家、行业强制性标准的按①国家标准、规范→②行业标准、规范→③地方标准、规范→④团体标准、规范→⑤企业标准、规范类推顺序执行；凡涉及的相关规范，国家有最新标准的以最新标准为准，所有标准哪个标准高执行哪个标准。</w:t>
            </w:r>
          </w:p>
          <w:p w14:paraId="5B7DA73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1.3产品“三包”要求：货物(产品)属于国家规定的“三包产品”，产品制造商、经销代理商应遵守“三包”的规定，在产品发生质量问题时，及时对所提供产品实行“包退、包换、保修”服务。</w:t>
            </w:r>
          </w:p>
          <w:p w14:paraId="1EFEB5B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1.4安全要求：认真贯彻执行国家及省、市有关安全文明生产的法律法规规章和强制性标准、安全操作规程等，所有设备(产品)应符合国家相关安全标准，所有货物(产品)能够承受频繁使用和可能的不当操作，结构稳定，不易损坏，无锐利边角、无毒无害、不易造成意外伤害，与实际使用场地相匹配；建立健全安装现场安全文明生产保证体系，落实各项具体措施，切实履行安全文明生产责任和义务，保护职工身体健康和生命安全，以及社会公众安全，保持安装现场整齐有序。</w:t>
            </w:r>
          </w:p>
          <w:p w14:paraId="60BE0FF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1.5为保证货物(软件和硬件)质量功能的严谨性，中标(成交)后采购人有权要求成交供应商对其所提供的设备(包含软件和硬件)的功能进行逐一演示，如有功能与实际不相符，一律按虚假应标处理，由成交供应商承担因此产生的一切后果和责任。</w:t>
            </w:r>
          </w:p>
          <w:p w14:paraId="2893A70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1.6供应商应保证投标所提供第三方资料内容真实、完整、准确；如有相关第三方书面声明、相关检测报告等资料虚假，监管部门有权根据调查情形认定其是否属于提供虚假材料谋取中标(成交)，并严肃处理。</w:t>
            </w:r>
          </w:p>
          <w:p w14:paraId="1ADDF51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1.7售后服务要求：(1)成交供应商须指派专人负责与采购人联系售后服务事宜。售后服务条款(包括具体的服务内容、故障响应时间、响应方式、维修措施及时限、维护响应计划等方面)。</w:t>
            </w:r>
          </w:p>
          <w:p w14:paraId="2E22181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(2)成交供应商负责货物(含软件)的现场安装、调试、测试和启动等。</w:t>
            </w:r>
          </w:p>
          <w:p w14:paraId="7A470D9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(3)成交供应商负责货物(含软件)的安装、启动、运行及维护等对使用人员进行免费培训：培训主要内容为货物(含软件)的基本结构、性能、主要部件的构造及原理，日常使用操作、维护保养与管理，常见故障的排除、紧急情况的处理等，如使用方未使用过同类型货物(含软件)，成交供应商还需就货物(含软件)的功能对使用方人员进行相应的技术培训，培训地点为货物(含软件)安装现场或由采购人安排。</w:t>
            </w:r>
          </w:p>
          <w:p w14:paraId="3E73743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(4)质保期自采购人在质量验收单(终验)上签字之日起计算，质保费用计入总价。在最终验收后的质量保证期内，成交供应商应对货物(含软件)的设计、工艺或材料、功能等所有的缺陷而产生的故障负责。</w:t>
            </w:r>
          </w:p>
          <w:p w14:paraId="780D6D2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(5)成交供应商负责对其提供的货物(含软件)整体进行维修和系统维护，质保期内应无偿负责现场技术巡检、维修和替换等工作；若遇到采购人重大活动需无条件提供现场技术支持服务且不再收取任何费用，但不可抗力(如火灾、雷击等)造成的故障除外；超出质保期只收取维修所需原设备、材料成本费用；采购人使用产品过程中因产品质量、产品缺陷及安装质量等造成人身伤亡、财产损失的，由成交供应商负责解决并承担全部责任。</w:t>
            </w:r>
          </w:p>
          <w:p w14:paraId="66F460F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(6)成交供应商负责对其所提供的设备、材料等备品配件供应，提供长期维修，并提供技术咨询等服务，所有维修记录交由采购人的现场技术人员一份，并详细说明问题所在、解决办法及注意事项。对于存在质量问题或者短少的产品，成交供应商应在接到采购人的通知2个日历日内负责修复，调换、重新制作或补齐。</w:t>
            </w:r>
          </w:p>
          <w:p w14:paraId="340F84D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(7)所有货物(含软件)服务方式均为成交供应商上门服务，即由成交供应商派人到货物(含软件)使用现场维修，由此产生的一切费用均由成交供应商承担，对系统进行定期的检修、保养工作，并与用户进行沟通，定期开展技术交流活动，预防故障发生，保证系统的正常运行。</w:t>
            </w:r>
          </w:p>
          <w:p w14:paraId="6468214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(8)在质保期内，对软件系统出现的质量问题，免费提供平台维护和技术保障、系统更新服务。4小时内对所提出的维护要求做出实质性反应，并提供应急响应策略。平台运行过程中如果出现技术故障(如硬件故障、软件故障、配置丢失等)，在此期间按紧急预案处置，确保软件系统最大限度地不中断运行。</w:t>
            </w:r>
          </w:p>
          <w:p w14:paraId="12D5F70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(9)质保期结束后的其他维修、维护等由双方协商再定。</w:t>
            </w:r>
          </w:p>
          <w:p w14:paraId="3AAC8F7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2.其他要求或说明</w:t>
            </w:r>
          </w:p>
          <w:p w14:paraId="3EB1CDA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left"/>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2.1供应商的报价是供应商响应采购项目要求的全部工作内容的价格体现，包括供应商完成本项目所需的直接费、间接费、利润、税金及其他相关的一切费用，包括但不限于：产品费、附件费、工具费、验收费、运输费、保险费、安装费、调试费、功能使用费、技术服务费(含售后)、招标代理费、税金、利润及不可预见费等全部费用；响应总报价中不得包含采购文件要求以外的内容，否则，在评审时不予核减。在提供项目实施过程中出现的任何遗漏，均由成交供应商免费提供，采购人将不再支付任何费用。</w:t>
            </w:r>
          </w:p>
          <w:p w14:paraId="7314AFF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2.2人员配置要求：供应商根据采购项目特性及要求，自行配置履行合同所必需的专业服务团队，自行组织实施与管理，相关人员经过严格培训，有相关工作经验，能够胜任项目工作，保证项目顺利实施。</w:t>
            </w:r>
          </w:p>
          <w:p w14:paraId="4200427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2.3设施设备要求：供应商根据采购项目特性及要求，自行配置投入履行合同所必需的各类设施设备(不限于专业设备、辅助设备、工具、软件等)，保证项目顺利实施。</w:t>
            </w:r>
          </w:p>
          <w:p w14:paraId="2D6887E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2.4如所投主要标的物(产品)属于强制性产品认证目录范围内的16大类96种产品，响应文件中应附产品的3C认证证书或国家市场监督管理总局全国认证认可信息公共服务平台的查询截图。证书或截图载明的产品信息必须包含所投主要标的物(产品)，信息不一致或未包含所投产品信息或认证过期的，按未提供强制性产品认证处理。</w:t>
            </w:r>
          </w:p>
        </w:tc>
      </w:tr>
    </w:tbl>
    <w:p w14:paraId="10C0F04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标的名称：房屋修缮</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20"/>
        <w:gridCol w:w="1221"/>
        <w:gridCol w:w="6105"/>
      </w:tblGrid>
      <w:tr w14:paraId="25A9722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AAD7206">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7CBB7C0">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参数性质</w:t>
            </w:r>
          </w:p>
        </w:tc>
        <w:tc>
          <w:tcPr>
            <w:tcW w:w="2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5D4AF5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技术参数与性能指标</w:t>
            </w:r>
          </w:p>
        </w:tc>
      </w:tr>
      <w:tr w14:paraId="622DF2D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88D971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B815DBA">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713E63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宋体" w:hAnsi="宋体" w:eastAsia="宋体" w:cs="宋体"/>
                <w:color w:val="000000"/>
                <w:sz w:val="25"/>
                <w:szCs w:val="25"/>
                <w:bdr w:val="none" w:color="auto" w:sz="0" w:space="0"/>
              </w:rPr>
              <w:t>1.</w:t>
            </w:r>
            <w:r>
              <w:rPr>
                <w:rFonts w:hint="eastAsia" w:ascii="仿宋" w:hAnsi="仿宋" w:eastAsia="仿宋" w:cs="仿宋"/>
                <w:color w:val="000000"/>
                <w:sz w:val="25"/>
                <w:szCs w:val="25"/>
                <w:bdr w:val="none" w:color="auto" w:sz="0" w:space="0"/>
              </w:rPr>
              <w:t>采购需求及要求</w:t>
            </w:r>
          </w:p>
          <w:p w14:paraId="0942B98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105" w:firstLine="260"/>
              <w:jc w:val="both"/>
              <w:rPr>
                <w:rFonts w:hint="eastAsia" w:ascii="宋体" w:hAnsi="宋体" w:eastAsia="宋体" w:cs="宋体"/>
                <w:sz w:val="18"/>
                <w:szCs w:val="18"/>
              </w:rPr>
            </w:pPr>
            <w:r>
              <w:rPr>
                <w:rFonts w:hint="eastAsia" w:ascii="仿宋" w:hAnsi="仿宋" w:eastAsia="仿宋" w:cs="仿宋"/>
                <w:color w:val="000000"/>
                <w:sz w:val="25"/>
                <w:szCs w:val="25"/>
                <w:bdr w:val="none" w:color="auto" w:sz="0" w:space="0"/>
              </w:rPr>
              <w:t>1.1采购需求清单：详见附件：学生课桌椅、书包柜、紫外线灯、办公桌椅、整理柜、讲桌、空调及部室改造采购项目采购需求一览表。</w:t>
            </w:r>
          </w:p>
          <w:p w14:paraId="4A93487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5"/>
                <w:szCs w:val="25"/>
                <w:bdr w:val="none" w:color="auto" w:sz="0" w:space="0"/>
              </w:rPr>
              <w:t>1.2质量标准：(1)所有改造质量符合国家、省、市(行业)强制性标准及采购人要求的合格标准；</w:t>
            </w:r>
          </w:p>
          <w:p w14:paraId="6AF71C9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5"/>
                <w:szCs w:val="25"/>
                <w:bdr w:val="none" w:color="auto" w:sz="0" w:space="0"/>
              </w:rPr>
              <w:t>(2)执行的标准、规范：必须执行国家、行业强制性标准；没有国家、行业强制性标准的按①国家标准、规范→②行业标准、规范→③地方标准、规范→④团体标准、规范→⑤企业标准、规范类推顺序执行；凡涉及的相关规范，国家有最新标准的以最新标准为准，所有标准哪个标准高执行哪个标准。</w:t>
            </w:r>
          </w:p>
          <w:p w14:paraId="61E3AB5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5"/>
                <w:szCs w:val="25"/>
                <w:bdr w:val="none" w:color="auto" w:sz="0" w:space="0"/>
              </w:rPr>
              <w:t>1.3安全要求：认真贯彻执行国家及省、市有关安全文明生产的法律法规规章和强制性标准、安全操作规程等，建立健全安装现场安全文明生产保证体系，落实各项具体措施，切实履行安全文明生产责任和义务，保护职工身体健康和生命安全，以及社会公众安全，保持安装现场整齐有序。</w:t>
            </w:r>
          </w:p>
          <w:p w14:paraId="321C089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5"/>
                <w:szCs w:val="25"/>
                <w:bdr w:val="none" w:color="auto" w:sz="0" w:space="0"/>
              </w:rPr>
              <w:t>1.7售后服务要求：(1)成交供应商须指派专人负责与采购人联系售后服务事宜。售后服务条款(包括具体的服务内容、故障响应时间、响应方式、维修措施及时限、维护响应计划等方面)。</w:t>
            </w:r>
          </w:p>
          <w:p w14:paraId="38595AF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5"/>
                <w:szCs w:val="25"/>
                <w:bdr w:val="none" w:color="auto" w:sz="0" w:space="0"/>
              </w:rPr>
              <w:t>(2)严格按照国家和陕西省有关规定改造、规范改造，确保室内改造合格，如有更改事项须征得采购人书面同意后方可实施。</w:t>
            </w:r>
          </w:p>
          <w:p w14:paraId="68F3466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5"/>
                <w:szCs w:val="25"/>
                <w:bdr w:val="none" w:color="auto" w:sz="0" w:space="0"/>
              </w:rPr>
              <w:t>(3)改造实施必须完全符合规定的技术、方案、质量、规格、材质等要求；根据实际需要，成交供应商应在改造实施期间进行巡查，若出现质量问题，应及时对出现的问题进行维修，因成交供应商原因导致改造质量达不到约定的质量标准，由成交供应商自行承担相关责任。</w:t>
            </w:r>
          </w:p>
          <w:p w14:paraId="37EA2BE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5"/>
                <w:szCs w:val="25"/>
                <w:bdr w:val="none" w:color="auto" w:sz="0" w:space="0"/>
              </w:rPr>
              <w:t>(4)合理安排作业时间，降低噪声污染、粉尘污染，确保改造现场周围的正常工作与休息，改造中避免给他人带来干扰。</w:t>
            </w:r>
          </w:p>
          <w:p w14:paraId="2890BE7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5"/>
                <w:szCs w:val="25"/>
                <w:bdr w:val="none" w:color="auto" w:sz="0" w:space="0"/>
              </w:rPr>
              <w:t>(5)质保期内出现的质量问题由成交供应商负责，保修内容为改造范围内全部质量问题(含伴随服务)，4小时内对所提出的维护要求做出实质性反应，并提供应急响应策略；质保期过后如出现质量问题，亦应积极协助解决成交供应商的后续服务要完善、可靠、及时，并派遣相关技术人员配合采购人进行检查、维修。</w:t>
            </w:r>
          </w:p>
          <w:p w14:paraId="3619B93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5"/>
                <w:szCs w:val="25"/>
                <w:bdr w:val="none" w:color="auto" w:sz="0" w:space="0"/>
              </w:rPr>
              <w:t>(6)质保期结束后的其他维修、维护等由双方协商再定。</w:t>
            </w:r>
          </w:p>
          <w:p w14:paraId="37625C6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5"/>
                <w:szCs w:val="25"/>
                <w:bdr w:val="none" w:color="auto" w:sz="0" w:space="0"/>
              </w:rPr>
              <w:t>2.其他要求或说明</w:t>
            </w:r>
          </w:p>
          <w:p w14:paraId="18CD73C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5"/>
                <w:szCs w:val="25"/>
                <w:bdr w:val="none" w:color="auto" w:sz="0" w:space="0"/>
              </w:rPr>
              <w:t>2.1供应商的报价是供应商响应采购项目要求的全部工作内容的价格体现，包括供应商完成本项目所需的直接费、间接费、利润、税金及其他相关的一切费用，包括但不限于：产品费、附件费、工具费、验收费、运输费、保险费、安装费、调试费、改造费、功能使用费、技术服务费(含售后)、招标代理费、税金、利润及不可预见费等全部费用；响应总报价中不得包含采购文件要求以外的内容，否则，在评审时不予核减。在提供项目实施过程中出现的任何遗漏，均由成交供应商免费提供，采购人将不再支付任何费用。</w:t>
            </w:r>
          </w:p>
          <w:p w14:paraId="7582BF8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5"/>
                <w:szCs w:val="25"/>
                <w:bdr w:val="none" w:color="auto" w:sz="0" w:space="0"/>
              </w:rPr>
              <w:t>2.2人员配置要求：供应商根据采购项目特性及要求，自行配置履行合同所必需的专业服务团队，自行组织实施与管理，相关人员经过严格培训，有相关工作经验，能够胜任项目工作，保证项目顺利实施。</w:t>
            </w:r>
          </w:p>
          <w:p w14:paraId="5145484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5"/>
                <w:szCs w:val="25"/>
                <w:bdr w:val="none" w:color="auto" w:sz="0" w:space="0"/>
              </w:rPr>
              <w:t>2.3设施设备要求：供应商根据采购项目特性及要求，自行配置投入履行合同所必需的各类设施设备(不限于专业设备、辅助设备、工具、软件等)，保证项目顺利实施。</w:t>
            </w:r>
          </w:p>
        </w:tc>
      </w:tr>
    </w:tbl>
    <w:p w14:paraId="5CDC438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3.4商务要求</w:t>
      </w:r>
    </w:p>
    <w:p w14:paraId="0615078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3.4.1交货时间</w:t>
      </w:r>
    </w:p>
    <w:p w14:paraId="4730BEC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3110F98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交货时间为自合同签订生效之日起30日内完成部室改造、供货、安装、调试、验收；合同履行期限为自合同签订之日起至质保期结束。</w:t>
      </w:r>
    </w:p>
    <w:p w14:paraId="0380C56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3.4.2交货地点和方式</w:t>
      </w:r>
    </w:p>
    <w:p w14:paraId="65FE871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42558C8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西安市雁塔区第七小学(具体按采购人指定地点)</w:t>
      </w:r>
    </w:p>
    <w:p w14:paraId="26B179B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3.4.3支付方式</w:t>
      </w:r>
    </w:p>
    <w:p w14:paraId="6D813F4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7EB447C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一次付清</w:t>
      </w:r>
    </w:p>
    <w:p w14:paraId="3226FF8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3.4.4支付约定</w:t>
      </w:r>
    </w:p>
    <w:p w14:paraId="523F90F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730D283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120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1、 其他，所有货物交货完成，验收合格 (付款前成交供应商应出具等值发票交至采购人，采购人以银行转账方式支付；其他具体按拟签订采购合同相关条款执行)后，达到付款条件起10个工作日内，支付合同总金额的100.0%</w:t>
      </w:r>
    </w:p>
    <w:p w14:paraId="379C128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3.4.5验收标准和方法</w:t>
      </w:r>
    </w:p>
    <w:p w14:paraId="4DC770D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092306A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现行的国家标准或国家行政部门颁布的法律法规、规章制度等，是项目验收的重要依据。采购人根据有关规范、规定及项目要求对成交供应商所供货物（产品）或服务进行检查或验收，成交供应商须无条件的接受采购人检查或验收。 (二)成交供应商完成全部设备供货、安装调试工作后，向采购人提交书面履约验收申请及全套验收资料。采购人审核资料无误后，组织开展正式验收工作。核查供应商提交资料的完整性、真实性、有效性，资料不全不予开展现场验收。主要包含：履约验收申请书、采购(招标)文件、响应(投标)文件、成交(中标)通知书、采购合同、设备送货清单、产品合格证、出厂检测报告、设备使用说明书、原厂质保承诺书、安装调试记录、培训记录（如有)及采购文件要求的其他佐证材料。（1）对照设备清单，逐一核对所有设备名称、品牌、规格型号、数量、序列号，确保无缺漏、无替换、无短缺；设备外观完好，无破损、变形、划痕、锈蚀，包装及配件齐全；（2）对照采购文件及合同约定技术参数，重点核查星号实质性条款，对设备逐一进行通电测试、功能调试。所有设备运行稳定、功能齐全，各项技术指标达标，可正常满足日常使用需求，无功能缺陷、参数不达标等问题；（3）设备按规范完成安装、布局、调试，设备摆放规范、安装牢固，线路排布整齐、安全合规，整体运行状态良好，可直接投入使用。 (三)若验收不通过或质量不合格，成交供应商应在一定期限进行整改完善，以采购人要求的标准提供合格的货物（产品）或服务；若成交供应商在接受检查整改后，仍不能提供符合采购要求的合格货物（产品）或服务，采购人有权按违约予以撤项并要求承包人承担相应的法律责任和经济损失。 (四)有关验收的其他事宜按拟签订采购合同文本中相关条款执行。</w:t>
      </w:r>
    </w:p>
    <w:p w14:paraId="1C9B8B8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3.4.6包装方式及运输</w:t>
      </w:r>
    </w:p>
    <w:p w14:paraId="5D052A8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29F87F9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涉及的商品包装和快递包装，均应符合《商品包装政府采购需求标准（试行）》《快递包装政府采购需求标准（试行）》的要求，包装应适应于远距离运输、防潮、防震、防锈和防野蛮装卸，以确保货物安全无损运抵指定地点。</w:t>
      </w:r>
    </w:p>
    <w:p w14:paraId="6FA295A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3.4.7质量保修范围和保修期</w:t>
      </w:r>
    </w:p>
    <w:p w14:paraId="21682D6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799703C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(一)本项目整体质保期≥12个月，供应商承诺超过采购文件要求的，按其承诺的质保期进行质保，质保期起始时间为终验合格之日。 (二)成交供应商应保证在要求时间内完成全部供货、安装、调试、验收和培训工作(或其他伴随服务)等工作，并按其承诺的质量保修范围和内容(售后服务等)进行免费质保，且符合国家标准、行业规范和合同等相关文件的要求。</w:t>
      </w:r>
    </w:p>
    <w:p w14:paraId="6986918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3.4.8违约责任及解决争议的方法</w:t>
      </w:r>
    </w:p>
    <w:p w14:paraId="6FC4E12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2237A3A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具体按拟签订采购合同相关条款执行。</w:t>
      </w:r>
    </w:p>
    <w:p w14:paraId="10BDCB1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3.5其他要求</w:t>
      </w:r>
    </w:p>
    <w:p w14:paraId="29F477E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4A75BCF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i w:val="0"/>
          <w:iCs w:val="0"/>
          <w:caps w:val="0"/>
          <w:color w:val="0A82E5"/>
          <w:spacing w:val="0"/>
          <w:sz w:val="18"/>
          <w:szCs w:val="18"/>
          <w:bdr w:val="none" w:color="auto" w:sz="0" w:space="0"/>
          <w:shd w:val="clear" w:fill="FFFFFF"/>
        </w:rPr>
      </w:pPr>
      <w:r>
        <w:rPr>
          <w:rFonts w:hint="eastAsia" w:ascii="宋体" w:hAnsi="宋体" w:eastAsia="宋体" w:cs="宋体"/>
          <w:i w:val="0"/>
          <w:iCs w:val="0"/>
          <w:caps w:val="0"/>
          <w:color w:val="0A82E5"/>
          <w:spacing w:val="0"/>
          <w:sz w:val="18"/>
          <w:szCs w:val="18"/>
          <w:bdr w:val="none" w:color="auto" w:sz="0" w:space="0"/>
          <w:shd w:val="clear" w:fill="FFFFFF"/>
        </w:rPr>
        <w:t>(一)谈判有效期 1.出现特殊情况需要延长谈判有效期的，采购代理机构或采购人可于谈判有效期满之前，以书面形式通知所有供应商延长谈判有效期。供应商应予书面答复，同意延长的，但不得要求或被允许修改其响应文件；供应商拒绝延长的，其响应文件失效。 2.在谈判有效期内，供应商撤销响应文件的，应承担响应文件和法律规定的责任。 3.成交供应商的谈判有效期自动延长至合同终止为止。 (二)分公司独立参与谈判时，不能使用总公司的资质或业绩；总公司授权分公司或分支机构参与谈判，可以使用总公司的资质或业绩。总公司单独参与谈判时，可以使用分公司的业绩，在相关资质证书的管理要求和适用范围内可以使用分公司资质。 (三)供应商的电子响应文件中的所有文字资料、图纸、数据、方案、证书、检测报告等响应内容应清晰可辨，表达意思统一，便于查找，供应商自行承担资料模糊不清、无法辨认的不利后果。 (四)文件中签名是指：手写签名或加盖签名章（含电子章、印章、签名章），盖章是指加盖单位章（含电子章）。 (五)恶意质疑、投诉的法律后果 1.对捏造事实、提供虚假材料进行质疑、投诉的行为将予以严肃处理： 《政府采购质疑和投诉办法》（财政部令第94号）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 2.对捏造事实诬告陷害他人、诽谤他人的法律适用： （1）《中华人民共和国刑法》第243条【诬告陷害罪】捏造事实诬告陷害他人，意图使他人受到刑事追究，情节严重的，处三年以下有期徒刑、拘役或者管制；造成严重后果的，处三年以上十年以下有期徒刑。 （2）《中华人民共和国刑法》第246条【侮辱罪、诽谤罪】以暴力或者其他方法公然侮辱他人或者捏造事实诽谤他人，情节严重的，处三年以下有期徒刑、拘役、管制或者剥夺政治权利。 (六)参与本项目的供应商应通过陕西省政府采购综合管理平台的项目电子化交易系统在线实施报名、获取采购文件、响应、报价等操作，供应商无需现场提供纸质响应文件。但在中标（成交）后，中标（成交）供应商在领取中标（成交）通知书时需提供纸质响应文件两套用于备案，纸质响应文件应通过专用制作软件直接打印(自定单双面、黑白/彩色)，确保与项目电子化交易系统中的电子响应文件保持一致，不允许修改和补充。中标（成交）通知书领取地址：西安市雁塔区雁翔路111号赛格·中京坊6幢1（公寓A1）单元2层招标一部。</w:t>
      </w:r>
    </w:p>
    <w:p w14:paraId="027AEBFF">
      <w:pPr>
        <w:rPr>
          <w:rFonts w:hint="eastAsia" w:ascii="宋体" w:hAnsi="宋体" w:eastAsia="宋体" w:cs="宋体"/>
          <w:i w:val="0"/>
          <w:iCs w:val="0"/>
          <w:caps w:val="0"/>
          <w:color w:val="0A82E5"/>
          <w:spacing w:val="0"/>
          <w:sz w:val="18"/>
          <w:szCs w:val="18"/>
          <w:bdr w:val="none" w:color="auto" w:sz="0" w:space="0"/>
          <w:shd w:val="clear" w:fill="FFFFFF"/>
        </w:rPr>
      </w:pPr>
      <w:r>
        <w:rPr>
          <w:rFonts w:hint="eastAsia" w:ascii="宋体" w:hAnsi="宋体" w:eastAsia="宋体" w:cs="宋体"/>
          <w:i w:val="0"/>
          <w:iCs w:val="0"/>
          <w:caps w:val="0"/>
          <w:color w:val="0A82E5"/>
          <w:spacing w:val="0"/>
          <w:sz w:val="18"/>
          <w:szCs w:val="18"/>
          <w:bdr w:val="none" w:color="auto" w:sz="0" w:space="0"/>
          <w:shd w:val="clear" w:fill="FFFFFF"/>
        </w:rPr>
        <w:br w:type="page"/>
      </w:r>
    </w:p>
    <w:p w14:paraId="2BDB11C0">
      <w:pPr>
        <w:pStyle w:val="10"/>
        <w:keepNext w:val="0"/>
        <w:keepLines w:val="0"/>
        <w:pageBreakBefore w:val="0"/>
        <w:widowControl/>
        <w:kinsoku/>
        <w:wordWrap/>
        <w:overflowPunct/>
        <w:topLinePunct w:val="0"/>
        <w:autoSpaceDE/>
        <w:autoSpaceDN/>
        <w:bidi w:val="0"/>
        <w:adjustRightInd/>
        <w:snapToGrid/>
        <w:spacing w:line="300" w:lineRule="auto"/>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仿宋_GB2312" w:hAnsi="仿宋_GB2312" w:eastAsia="仿宋_GB2312" w:cs="仿宋_GB2312"/>
          <w:b/>
          <w:bCs/>
          <w:color w:val="000000" w:themeColor="text1"/>
          <w:sz w:val="24"/>
          <w:szCs w:val="24"/>
          <w:highlight w:val="none"/>
          <w:lang w:val="en-US" w:eastAsia="zh-CN"/>
          <w14:textFill>
            <w14:solidFill>
              <w14:schemeClr w14:val="tx1"/>
            </w14:solidFill>
          </w14:textFill>
        </w:rPr>
        <w:t>附件：</w:t>
      </w:r>
    </w:p>
    <w:p w14:paraId="10D53FCA">
      <w:pPr>
        <w:spacing w:line="300" w:lineRule="auto"/>
        <w:jc w:val="center"/>
        <w:rPr>
          <w:rFonts w:hint="eastAsia" w:ascii="宋体" w:hAnsi="宋体" w:eastAsia="宋体" w:cs="宋体"/>
          <w:b/>
          <w:bCs w:val="0"/>
          <w:color w:val="000000" w:themeColor="text1"/>
          <w:sz w:val="18"/>
          <w:szCs w:val="18"/>
          <w:highlight w:val="none"/>
          <w14:textFill>
            <w14:solidFill>
              <w14:schemeClr w14:val="tx1"/>
            </w14:solidFill>
          </w14:textFill>
        </w:rPr>
      </w:pPr>
      <w:r>
        <w:rPr>
          <w:rFonts w:hint="eastAsia" w:ascii="宋体" w:hAnsi="宋体" w:eastAsia="宋体" w:cs="宋体"/>
          <w:b/>
          <w:bCs w:val="0"/>
          <w:color w:val="000000" w:themeColor="text1"/>
          <w:sz w:val="18"/>
          <w:szCs w:val="18"/>
          <w:highlight w:val="none"/>
          <w:lang w:eastAsia="zh-CN"/>
          <w14:textFill>
            <w14:solidFill>
              <w14:schemeClr w14:val="tx1"/>
            </w14:solidFill>
          </w14:textFill>
        </w:rPr>
        <w:t>学生课桌椅、书包柜、紫外线灯、办公桌椅、整理柜、讲桌、空调及部室改造采购项目</w:t>
      </w:r>
      <w:r>
        <w:rPr>
          <w:rFonts w:hint="eastAsia" w:ascii="宋体" w:hAnsi="宋体" w:eastAsia="宋体" w:cs="宋体"/>
          <w:b/>
          <w:bCs w:val="0"/>
          <w:color w:val="000000" w:themeColor="text1"/>
          <w:sz w:val="18"/>
          <w:szCs w:val="18"/>
          <w:highlight w:val="none"/>
          <w14:textFill>
            <w14:solidFill>
              <w14:schemeClr w14:val="tx1"/>
            </w14:solidFill>
          </w14:textFill>
        </w:rPr>
        <w:t>采购需求一览表</w:t>
      </w:r>
    </w:p>
    <w:tbl>
      <w:tblPr>
        <w:tblStyle w:val="7"/>
        <w:tblW w:w="98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1"/>
        <w:gridCol w:w="1199"/>
        <w:gridCol w:w="6375"/>
        <w:gridCol w:w="750"/>
        <w:gridCol w:w="671"/>
      </w:tblGrid>
      <w:tr w14:paraId="32159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831" w:type="dxa"/>
            <w:vAlign w:val="center"/>
          </w:tcPr>
          <w:p w14:paraId="7BB94AC0">
            <w:pPr>
              <w:keepNext w:val="0"/>
              <w:keepLines w:val="0"/>
              <w:widowControl/>
              <w:suppressLineNumbers w:val="0"/>
              <w:jc w:val="center"/>
              <w:textAlignment w:val="cente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pPr>
          </w:p>
        </w:tc>
        <w:tc>
          <w:tcPr>
            <w:tcW w:w="8324" w:type="dxa"/>
            <w:gridSpan w:val="3"/>
            <w:vAlign w:val="center"/>
          </w:tcPr>
          <w:p w14:paraId="5D61F1EE">
            <w:pPr>
              <w:keepNext w:val="0"/>
              <w:keepLines w:val="0"/>
              <w:widowControl/>
              <w:suppressLineNumbers w:val="0"/>
              <w:jc w:val="both"/>
              <w:textAlignment w:val="cente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主要标的办公室空调、学生课桌椅</w:t>
            </w:r>
            <w:r>
              <w:rPr>
                <w:rFonts w:hint="eastAsia" w:ascii="宋体" w:hAnsi="宋体" w:cs="宋体"/>
                <w:i w:val="0"/>
                <w:iCs w:val="0"/>
                <w:color w:val="000000" w:themeColor="text1"/>
                <w:kern w:val="0"/>
                <w:sz w:val="21"/>
                <w:szCs w:val="21"/>
                <w:highlight w:val="none"/>
                <w:u w:val="none"/>
                <w:lang w:val="en-US" w:eastAsia="zh-CN" w:bidi="ar"/>
                <w14:textFill>
                  <w14:solidFill>
                    <w14:schemeClr w14:val="tx1"/>
                  </w14:solidFill>
                </w14:textFill>
              </w:rPr>
              <w:t>和</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书包柜</w:t>
            </w:r>
            <w:r>
              <w:rPr>
                <w:rFonts w:hint="eastAsia" w:ascii="宋体" w:hAnsi="宋体" w:cs="宋体"/>
                <w:i w:val="0"/>
                <w:iCs w:val="0"/>
                <w:color w:val="000000" w:themeColor="text1"/>
                <w:kern w:val="0"/>
                <w:sz w:val="21"/>
                <w:szCs w:val="21"/>
                <w:highlight w:val="none"/>
                <w:u w:val="none"/>
                <w:lang w:val="en-US" w:eastAsia="zh-CN" w:bidi="ar"/>
                <w14:textFill>
                  <w14:solidFill>
                    <w14:schemeClr w14:val="tx1"/>
                  </w14:solidFill>
                </w14:textFill>
              </w:rPr>
              <w:t>及</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教室紫外线灯、教室办公桌椅及整理柜等：</w:t>
            </w:r>
          </w:p>
        </w:tc>
        <w:tc>
          <w:tcPr>
            <w:tcW w:w="671" w:type="dxa"/>
            <w:vAlign w:val="center"/>
          </w:tcPr>
          <w:p w14:paraId="6244312A">
            <w:pPr>
              <w:keepNext w:val="0"/>
              <w:keepLines w:val="0"/>
              <w:widowControl/>
              <w:suppressLineNumbers w:val="0"/>
              <w:jc w:val="center"/>
              <w:textAlignment w:val="cente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pPr>
          </w:p>
        </w:tc>
      </w:tr>
      <w:tr w14:paraId="54B92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831" w:type="dxa"/>
            <w:vAlign w:val="center"/>
          </w:tcPr>
          <w:p w14:paraId="1941A05B">
            <w:pPr>
              <w:keepNext w:val="0"/>
              <w:keepLines w:val="0"/>
              <w:widowControl/>
              <w:suppressLineNumbers w:val="0"/>
              <w:jc w:val="center"/>
              <w:textAlignment w:val="cente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序号</w:t>
            </w:r>
          </w:p>
        </w:tc>
        <w:tc>
          <w:tcPr>
            <w:tcW w:w="1199" w:type="dxa"/>
            <w:vAlign w:val="center"/>
          </w:tcPr>
          <w:p w14:paraId="1916DDA7">
            <w:pPr>
              <w:keepNext w:val="0"/>
              <w:keepLines w:val="0"/>
              <w:widowControl/>
              <w:suppressLineNumbers w:val="0"/>
              <w:jc w:val="center"/>
              <w:textAlignment w:val="cente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标的名称</w:t>
            </w:r>
          </w:p>
        </w:tc>
        <w:tc>
          <w:tcPr>
            <w:tcW w:w="6375" w:type="dxa"/>
            <w:vAlign w:val="center"/>
          </w:tcPr>
          <w:p w14:paraId="658AC4A5">
            <w:pPr>
              <w:keepNext w:val="0"/>
              <w:keepLines w:val="0"/>
              <w:widowControl/>
              <w:suppressLineNumbers w:val="0"/>
              <w:jc w:val="center"/>
              <w:textAlignment w:val="cente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技术参数</w:t>
            </w:r>
          </w:p>
        </w:tc>
        <w:tc>
          <w:tcPr>
            <w:tcW w:w="750" w:type="dxa"/>
            <w:vAlign w:val="center"/>
          </w:tcPr>
          <w:p w14:paraId="5D2CCAA2">
            <w:pPr>
              <w:keepNext w:val="0"/>
              <w:keepLines w:val="0"/>
              <w:widowControl/>
              <w:suppressLineNumbers w:val="0"/>
              <w:jc w:val="center"/>
              <w:textAlignment w:val="cente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数量</w:t>
            </w:r>
          </w:p>
        </w:tc>
        <w:tc>
          <w:tcPr>
            <w:tcW w:w="671" w:type="dxa"/>
            <w:vAlign w:val="center"/>
          </w:tcPr>
          <w:p w14:paraId="2904B014">
            <w:pPr>
              <w:keepNext w:val="0"/>
              <w:keepLines w:val="0"/>
              <w:widowControl/>
              <w:suppressLineNumbers w:val="0"/>
              <w:jc w:val="center"/>
              <w:textAlignment w:val="cente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单位</w:t>
            </w:r>
          </w:p>
        </w:tc>
      </w:tr>
      <w:tr w14:paraId="3423C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1" w:type="dxa"/>
            <w:vAlign w:val="center"/>
          </w:tcPr>
          <w:p w14:paraId="364DBD2C">
            <w:pPr>
              <w:keepNext w:val="0"/>
              <w:keepLines w:val="0"/>
              <w:widowControl/>
              <w:suppressLineNumbers w:val="0"/>
              <w:jc w:val="center"/>
              <w:textAlignment w:val="cente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b/>
                <w:bCs/>
                <w:i w:val="0"/>
                <w:iCs w:val="0"/>
                <w:color w:val="000000" w:themeColor="text1"/>
                <w:kern w:val="0"/>
                <w:sz w:val="21"/>
                <w:szCs w:val="21"/>
                <w:highlight w:val="none"/>
                <w:u w:val="none"/>
                <w:lang w:val="en-US" w:eastAsia="zh-CN" w:bidi="ar"/>
                <w14:textFill>
                  <w14:solidFill>
                    <w14:schemeClr w14:val="tx1"/>
                  </w14:solidFill>
                </w14:textFill>
              </w:rPr>
              <w:t>1</w:t>
            </w:r>
          </w:p>
        </w:tc>
        <w:tc>
          <w:tcPr>
            <w:tcW w:w="1199" w:type="dxa"/>
            <w:vAlign w:val="center"/>
          </w:tcPr>
          <w:p w14:paraId="4ABB3CF9">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双人课桌椅</w:t>
            </w:r>
          </w:p>
        </w:tc>
        <w:tc>
          <w:tcPr>
            <w:tcW w:w="6375" w:type="dxa"/>
            <w:vAlign w:val="center"/>
          </w:tcPr>
          <w:p w14:paraId="356B6004">
            <w:pPr>
              <w:keepNext w:val="0"/>
              <w:keepLines w:val="0"/>
              <w:widowControl/>
              <w:suppressLineNumbers w:val="0"/>
              <w:jc w:val="left"/>
              <w:textAlignment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1.课桌尺寸规格</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(约)</w:t>
            </w:r>
            <w:r>
              <w:rPr>
                <w:rFonts w:ascii="宋体" w:hAnsi="宋体" w:eastAsia="宋体" w:cs="宋体"/>
                <w:color w:val="000000" w:themeColor="text1"/>
                <w:sz w:val="21"/>
                <w:szCs w:val="21"/>
                <w:highlight w:val="none"/>
                <w14:textFill>
                  <w14:solidFill>
                    <w14:schemeClr w14:val="tx1"/>
                  </w14:solidFill>
                </w14:textFill>
              </w:rPr>
              <w:t>：长1200mm×宽400mm，整体高度可调节范围690mm～780mm，高度调节步进≤30mm，档位锁定稳固无松晃。</w:t>
            </w:r>
          </w:p>
          <w:p w14:paraId="7A6A19C3">
            <w:pPr>
              <w:keepNext w:val="0"/>
              <w:keepLines w:val="0"/>
              <w:widowControl/>
              <w:suppressLineNumbers w:val="0"/>
              <w:jc w:val="left"/>
              <w:textAlignment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2.桌面采用厚度≥18mm的E0级刨花板</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ascii="宋体" w:hAnsi="宋体" w:eastAsia="宋体" w:cs="宋体"/>
                <w:color w:val="000000" w:themeColor="text1"/>
                <w:sz w:val="21"/>
                <w:szCs w:val="21"/>
                <w:highlight w:val="none"/>
                <w:lang w:val="en-US" w:eastAsia="zh-CN"/>
                <w14:textFill>
                  <w14:solidFill>
                    <w14:schemeClr w14:val="tx1"/>
                  </w14:solidFill>
                </w14:textFill>
              </w:rPr>
              <w:t>符合GB/T 39600-2021，甲醛释放量≤0.050mg/m³</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ascii="宋体" w:hAnsi="宋体" w:eastAsia="宋体" w:cs="宋体"/>
                <w:color w:val="000000" w:themeColor="text1"/>
                <w:sz w:val="21"/>
                <w:szCs w:val="21"/>
                <w:highlight w:val="none"/>
                <w14:textFill>
                  <w14:solidFill>
                    <w14:schemeClr w14:val="tx1"/>
                  </w14:solidFill>
                </w14:textFill>
              </w:rPr>
              <w:t>；表面覆耐磨三聚氰胺</w:t>
            </w:r>
            <w:r>
              <w:rPr>
                <w:rFonts w:hint="eastAsia" w:ascii="宋体" w:hAnsi="宋体" w:eastAsia="宋体" w:cs="宋体"/>
                <w:color w:val="000000" w:themeColor="text1"/>
                <w:sz w:val="21"/>
                <w:szCs w:val="21"/>
                <w:highlight w:val="none"/>
                <w:lang w:val="en-US" w:eastAsia="zh-CN"/>
                <w14:textFill>
                  <w14:solidFill>
                    <w14:schemeClr w14:val="tx1"/>
                  </w14:solidFill>
                </w14:textFill>
              </w:rPr>
              <w:t>饰面</w:t>
            </w:r>
            <w:r>
              <w:rPr>
                <w:rFonts w:ascii="宋体" w:hAnsi="宋体" w:eastAsia="宋体" w:cs="宋体"/>
                <w:color w:val="000000" w:themeColor="text1"/>
                <w:sz w:val="21"/>
                <w:szCs w:val="21"/>
                <w:highlight w:val="none"/>
                <w14:textFill>
                  <w14:solidFill>
                    <w14:schemeClr w14:val="tx1"/>
                  </w14:solidFill>
                </w14:textFill>
              </w:rPr>
              <w:t>；桌面前沿设嵌入式笔槽，笔槽宽度≥30mm、深度≥15mm。</w:t>
            </w:r>
          </w:p>
          <w:p w14:paraId="7F9CD4C6">
            <w:pPr>
              <w:keepNext w:val="0"/>
              <w:keepLines w:val="0"/>
              <w:widowControl/>
              <w:suppressLineNumbers w:val="0"/>
              <w:jc w:val="left"/>
              <w:textAlignment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3.储物书斗采用厚度≥0.8mm冷轧钢板一次冲压成型，边缘钝化处理；书斗底部长度≥430mm、深度≥280mm、高度≥130mm，底部设置加强筋。</w:t>
            </w:r>
          </w:p>
          <w:p w14:paraId="05751D2A">
            <w:pPr>
              <w:keepNext w:val="0"/>
              <w:keepLines w:val="0"/>
              <w:widowControl/>
              <w:suppressLineNumbers w:val="0"/>
              <w:jc w:val="left"/>
              <w:textAlignment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4.桌架主立柱采用长轴≥50mm、短轴≥20mm、管壁厚度≥1.2mm椭圆钢管；下横撑采用≥20mm×40mm×1.2mm矩形钢管；地脚配置防滑耐磨胶套。</w:t>
            </w:r>
          </w:p>
          <w:p w14:paraId="68D2A365">
            <w:pPr>
              <w:keepNext w:val="0"/>
              <w:keepLines w:val="0"/>
              <w:widowControl/>
              <w:suppressLineNumbers w:val="0"/>
              <w:jc w:val="left"/>
              <w:textAlignment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椅子</w:t>
            </w:r>
            <w:r>
              <w:rPr>
                <w:rFonts w:ascii="宋体" w:hAnsi="宋体" w:eastAsia="宋体" w:cs="宋体"/>
                <w:color w:val="000000" w:themeColor="text1"/>
                <w:sz w:val="21"/>
                <w:szCs w:val="21"/>
                <w:highlight w:val="none"/>
                <w14:textFill>
                  <w14:solidFill>
                    <w14:schemeClr w14:val="tx1"/>
                  </w14:solidFill>
                </w14:textFill>
              </w:rPr>
              <w:t>座面尺寸规格</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(约)</w:t>
            </w:r>
            <w:r>
              <w:rPr>
                <w:rFonts w:ascii="宋体" w:hAnsi="宋体" w:eastAsia="宋体" w:cs="宋体"/>
                <w:color w:val="000000" w:themeColor="text1"/>
                <w:sz w:val="21"/>
                <w:szCs w:val="21"/>
                <w:highlight w:val="none"/>
                <w14:textFill>
                  <w14:solidFill>
                    <w14:schemeClr w14:val="tx1"/>
                  </w14:solidFill>
                </w14:textFill>
              </w:rPr>
              <w:t>：宽1200mm×深300mm</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ascii="宋体" w:hAnsi="宋体" w:eastAsia="宋体" w:cs="宋体"/>
                <w:color w:val="000000" w:themeColor="text1"/>
                <w:sz w:val="21"/>
                <w:szCs w:val="21"/>
                <w:highlight w:val="none"/>
                <w14:textFill>
                  <w14:solidFill>
                    <w14:schemeClr w14:val="tx1"/>
                  </w14:solidFill>
                </w14:textFill>
              </w:rPr>
              <w:t>座板采用E</w:t>
            </w:r>
            <w:r>
              <w:rPr>
                <w:rFonts w:hint="eastAsia" w:ascii="宋体" w:hAnsi="宋体" w:eastAsia="宋体" w:cs="宋体"/>
                <w:color w:val="000000" w:themeColor="text1"/>
                <w:sz w:val="21"/>
                <w:szCs w:val="21"/>
                <w:highlight w:val="none"/>
                <w:lang w:val="en-US" w:eastAsia="zh-CN"/>
                <w14:textFill>
                  <w14:solidFill>
                    <w14:schemeClr w14:val="tx1"/>
                  </w14:solidFill>
                </w14:textFill>
              </w:rPr>
              <w:t>0</w:t>
            </w:r>
            <w:r>
              <w:rPr>
                <w:rFonts w:ascii="宋体" w:hAnsi="宋体" w:eastAsia="宋体" w:cs="宋体"/>
                <w:color w:val="000000" w:themeColor="text1"/>
                <w:sz w:val="21"/>
                <w:szCs w:val="21"/>
                <w:highlight w:val="none"/>
                <w14:textFill>
                  <w14:solidFill>
                    <w14:schemeClr w14:val="tx1"/>
                  </w14:solidFill>
                </w14:textFill>
              </w:rPr>
              <w:t>级刨花板</w:t>
            </w:r>
            <w:r>
              <w:rPr>
                <w:rFonts w:hint="eastAsia" w:ascii="宋体" w:hAnsi="宋体" w:eastAsia="宋体" w:cs="宋体"/>
                <w:color w:val="000000" w:themeColor="text1"/>
                <w:sz w:val="21"/>
                <w:szCs w:val="21"/>
                <w:highlight w:val="none"/>
                <w14:textFill>
                  <w14:solidFill>
                    <w14:schemeClr w14:val="tx1"/>
                  </w14:solidFill>
                </w14:textFill>
              </w:rPr>
              <w:t>(符合GB/T 39600-2021，甲醛释放量≤0.050mg/m³)</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ascii="宋体" w:hAnsi="宋体" w:eastAsia="宋体" w:cs="宋体"/>
                <w:color w:val="000000" w:themeColor="text1"/>
                <w:sz w:val="21"/>
                <w:szCs w:val="21"/>
                <w:highlight w:val="none"/>
                <w14:textFill>
                  <w14:solidFill>
                    <w14:schemeClr w14:val="tx1"/>
                  </w14:solidFill>
                </w14:textFill>
              </w:rPr>
              <w:t>厚度≥18mm。</w:t>
            </w:r>
          </w:p>
          <w:p w14:paraId="09B4E86D">
            <w:pPr>
              <w:keepNext w:val="0"/>
              <w:keepLines w:val="0"/>
              <w:widowControl/>
              <w:suppressLineNumbers w:val="0"/>
              <w:jc w:val="left"/>
              <w:textAlignment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r>
              <w:rPr>
                <w:rFonts w:ascii="宋体" w:hAnsi="宋体" w:eastAsia="宋体" w:cs="宋体"/>
                <w:color w:val="000000" w:themeColor="text1"/>
                <w:sz w:val="21"/>
                <w:szCs w:val="21"/>
                <w:highlight w:val="none"/>
                <w14:textFill>
                  <w14:solidFill>
                    <w14:schemeClr w14:val="tx1"/>
                  </w14:solidFill>
                </w14:textFill>
              </w:rPr>
              <w:t>.单块靠背尺寸规格</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(约)</w:t>
            </w:r>
            <w:r>
              <w:rPr>
                <w:rFonts w:ascii="宋体" w:hAnsi="宋体" w:eastAsia="宋体" w:cs="宋体"/>
                <w:color w:val="000000" w:themeColor="text1"/>
                <w:sz w:val="21"/>
                <w:szCs w:val="21"/>
                <w:highlight w:val="none"/>
                <w14:textFill>
                  <w14:solidFill>
                    <w14:schemeClr w14:val="tx1"/>
                  </w14:solidFill>
                </w14:textFill>
              </w:rPr>
              <w:t>：高170mm×宽400mm，腰部设</w:t>
            </w:r>
            <w:r>
              <w:rPr>
                <w:rFonts w:hint="eastAsia" w:ascii="宋体" w:hAnsi="宋体" w:eastAsia="宋体" w:cs="宋体"/>
                <w:color w:val="000000" w:themeColor="text1"/>
                <w:sz w:val="21"/>
                <w:szCs w:val="21"/>
                <w:highlight w:val="none"/>
                <w:lang w:val="en-US" w:eastAsia="zh-CN"/>
                <w14:textFill>
                  <w14:solidFill>
                    <w14:schemeClr w14:val="tx1"/>
                  </w14:solidFill>
                </w14:textFill>
              </w:rPr>
              <w:t>有</w:t>
            </w:r>
            <w:r>
              <w:rPr>
                <w:rFonts w:ascii="宋体" w:hAnsi="宋体" w:eastAsia="宋体" w:cs="宋体"/>
                <w:color w:val="000000" w:themeColor="text1"/>
                <w:sz w:val="21"/>
                <w:szCs w:val="21"/>
                <w:highlight w:val="none"/>
                <w14:textFill>
                  <w14:solidFill>
                    <w14:schemeClr w14:val="tx1"/>
                  </w14:solidFill>
                </w14:textFill>
              </w:rPr>
              <w:t>人体工学支撑弧度。</w:t>
            </w:r>
          </w:p>
          <w:p w14:paraId="68BE675E">
            <w:pPr>
              <w:keepNext w:val="0"/>
              <w:keepLines w:val="0"/>
              <w:widowControl/>
              <w:suppressLineNumbers w:val="0"/>
              <w:jc w:val="left"/>
              <w:textAlignment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w:t>
            </w:r>
            <w:r>
              <w:rPr>
                <w:rFonts w:ascii="宋体" w:hAnsi="宋体" w:eastAsia="宋体" w:cs="宋体"/>
                <w:color w:val="000000" w:themeColor="text1"/>
                <w:sz w:val="21"/>
                <w:szCs w:val="21"/>
                <w:highlight w:val="none"/>
                <w14:textFill>
                  <w14:solidFill>
                    <w14:schemeClr w14:val="tx1"/>
                  </w14:solidFill>
                </w14:textFill>
              </w:rPr>
              <w:t>.椅架采用≥Φ19mm×1.2mm的钢管制作</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ascii="宋体" w:hAnsi="宋体" w:eastAsia="宋体" w:cs="宋体"/>
                <w:color w:val="000000" w:themeColor="text1"/>
                <w:sz w:val="21"/>
                <w:szCs w:val="21"/>
                <w:highlight w:val="none"/>
                <w14:textFill>
                  <w14:solidFill>
                    <w14:schemeClr w14:val="tx1"/>
                  </w14:solidFill>
                </w14:textFill>
              </w:rPr>
              <w:t>椅脚配置耐磨胶套。</w:t>
            </w:r>
          </w:p>
          <w:p w14:paraId="0FC11480">
            <w:pPr>
              <w:keepNext w:val="0"/>
              <w:keepLines w:val="0"/>
              <w:widowControl/>
              <w:suppressLineNumbers w:val="0"/>
              <w:jc w:val="left"/>
              <w:textAlignment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w:t>
            </w:r>
            <w:r>
              <w:rPr>
                <w:rFonts w:ascii="宋体" w:hAnsi="宋体" w:eastAsia="宋体" w:cs="宋体"/>
                <w:color w:val="000000" w:themeColor="text1"/>
                <w:sz w:val="21"/>
                <w:szCs w:val="21"/>
                <w:highlight w:val="none"/>
                <w14:textFill>
                  <w14:solidFill>
                    <w14:schemeClr w14:val="tx1"/>
                  </w14:solidFill>
                </w14:textFill>
              </w:rPr>
              <w:t>.座椅总高度可调节范围360mm～440mm，调节档位与课桌档位匹配对应。</w:t>
            </w:r>
          </w:p>
          <w:p w14:paraId="0A196CD2">
            <w:pPr>
              <w:keepNext w:val="0"/>
              <w:keepLines w:val="0"/>
              <w:widowControl/>
              <w:suppressLineNumbers w:val="0"/>
              <w:jc w:val="left"/>
              <w:textAlignment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w:t>
            </w:r>
            <w:r>
              <w:rPr>
                <w:rFonts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桌、椅</w:t>
            </w:r>
            <w:r>
              <w:rPr>
                <w:rFonts w:ascii="宋体" w:hAnsi="宋体" w:eastAsia="宋体" w:cs="宋体"/>
                <w:color w:val="000000" w:themeColor="text1"/>
                <w:sz w:val="21"/>
                <w:szCs w:val="21"/>
                <w:highlight w:val="none"/>
                <w14:textFill>
                  <w14:solidFill>
                    <w14:schemeClr w14:val="tx1"/>
                  </w14:solidFill>
                </w14:textFill>
              </w:rPr>
              <w:t>金属构件</w:t>
            </w:r>
            <w:r>
              <w:rPr>
                <w:rFonts w:hint="eastAsia" w:ascii="宋体" w:hAnsi="宋体" w:eastAsia="宋体" w:cs="宋体"/>
                <w:color w:val="000000" w:themeColor="text1"/>
                <w:sz w:val="21"/>
                <w:szCs w:val="21"/>
                <w:highlight w:val="none"/>
                <w:lang w:val="en-US" w:eastAsia="zh-CN"/>
                <w14:textFill>
                  <w14:solidFill>
                    <w14:schemeClr w14:val="tx1"/>
                  </w14:solidFill>
                </w14:textFill>
              </w:rPr>
              <w:t>表面经</w:t>
            </w:r>
            <w:r>
              <w:rPr>
                <w:rFonts w:ascii="宋体" w:hAnsi="宋体" w:eastAsia="宋体" w:cs="宋体"/>
                <w:color w:val="000000" w:themeColor="text1"/>
                <w:sz w:val="21"/>
                <w:szCs w:val="21"/>
                <w:highlight w:val="none"/>
                <w14:textFill>
                  <w14:solidFill>
                    <w14:schemeClr w14:val="tx1"/>
                  </w14:solidFill>
                </w14:textFill>
              </w:rPr>
              <w:t>静电喷塑处理，厚度≥60μm</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ascii="宋体" w:hAnsi="宋体" w:eastAsia="宋体" w:cs="宋体"/>
                <w:color w:val="000000" w:themeColor="text1"/>
                <w:sz w:val="21"/>
                <w:szCs w:val="21"/>
                <w:highlight w:val="none"/>
                <w14:textFill>
                  <w14:solidFill>
                    <w14:schemeClr w14:val="tx1"/>
                  </w14:solidFill>
                </w14:textFill>
              </w:rPr>
              <w:t>所有外露边角均做圆角钝化处理，无锐边、尖角</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ascii="宋体" w:hAnsi="宋体" w:eastAsia="宋体" w:cs="宋体"/>
                <w:color w:val="000000" w:themeColor="text1"/>
                <w:sz w:val="21"/>
                <w:szCs w:val="21"/>
                <w:highlight w:val="none"/>
                <w14:textFill>
                  <w14:solidFill>
                    <w14:schemeClr w14:val="tx1"/>
                  </w14:solidFill>
                </w14:textFill>
              </w:rPr>
              <w:t>表面平整光滑，无焊瘤、虚焊、漏焊</w:t>
            </w:r>
            <w:r>
              <w:rPr>
                <w:rFonts w:hint="eastAsia" w:ascii="宋体" w:hAnsi="宋体" w:eastAsia="宋体" w:cs="宋体"/>
                <w:color w:val="000000" w:themeColor="text1"/>
                <w:sz w:val="21"/>
                <w:szCs w:val="21"/>
                <w:highlight w:val="none"/>
                <w:lang w:val="en-US" w:eastAsia="zh-CN"/>
                <w14:textFill>
                  <w14:solidFill>
                    <w14:schemeClr w14:val="tx1"/>
                  </w14:solidFill>
                </w14:textFill>
              </w:rPr>
              <w:t>等</w:t>
            </w:r>
            <w:r>
              <w:rPr>
                <w:rFonts w:ascii="宋体" w:hAnsi="宋体" w:eastAsia="宋体" w:cs="宋体"/>
                <w:color w:val="000000" w:themeColor="text1"/>
                <w:sz w:val="21"/>
                <w:szCs w:val="21"/>
                <w:highlight w:val="none"/>
                <w14:textFill>
                  <w14:solidFill>
                    <w14:schemeClr w14:val="tx1"/>
                  </w14:solidFill>
                </w14:textFill>
              </w:rPr>
              <w:t>缺陷。</w:t>
            </w:r>
          </w:p>
          <w:p w14:paraId="697DE82F">
            <w:pPr>
              <w:keepNext w:val="0"/>
              <w:keepLines w:val="0"/>
              <w:widowControl/>
              <w:suppressLineNumbers w:val="0"/>
              <w:jc w:val="left"/>
              <w:textAlignment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10.</w:t>
            </w:r>
            <w:r>
              <w:rPr>
                <w:rFonts w:hint="eastAsia" w:ascii="宋体" w:hAnsi="宋体" w:eastAsia="宋体" w:cs="宋体"/>
                <w:color w:val="000000" w:themeColor="text1"/>
                <w:sz w:val="21"/>
                <w:szCs w:val="21"/>
                <w:highlight w:val="none"/>
                <w14:textFill>
                  <w14:solidFill>
                    <w14:schemeClr w14:val="tx1"/>
                  </w14:solidFill>
                </w14:textFill>
              </w:rPr>
              <w:t>整装</w:t>
            </w:r>
            <w:r>
              <w:rPr>
                <w:rFonts w:hint="eastAsia" w:ascii="宋体" w:hAnsi="宋体" w:eastAsia="宋体" w:cs="宋体"/>
                <w:color w:val="000000" w:themeColor="text1"/>
                <w:sz w:val="21"/>
                <w:szCs w:val="21"/>
                <w:highlight w:val="none"/>
                <w:lang w:val="en-US" w:eastAsia="zh-CN"/>
                <w14:textFill>
                  <w14:solidFill>
                    <w14:schemeClr w14:val="tx1"/>
                  </w14:solidFill>
                </w14:textFill>
              </w:rPr>
              <w:t>质量、环保等</w:t>
            </w:r>
            <w:r>
              <w:rPr>
                <w:rFonts w:hint="eastAsia" w:ascii="宋体" w:hAnsi="宋体" w:eastAsia="宋体" w:cs="宋体"/>
                <w:color w:val="000000" w:themeColor="text1"/>
                <w:sz w:val="21"/>
                <w:szCs w:val="21"/>
                <w:highlight w:val="none"/>
                <w14:textFill>
                  <w14:solidFill>
                    <w14:schemeClr w14:val="tx1"/>
                  </w14:solidFill>
                </w14:textFill>
              </w:rPr>
              <w:t>符合国家</w:t>
            </w:r>
            <w:r>
              <w:rPr>
                <w:rFonts w:hint="eastAsia" w:ascii="宋体" w:hAnsi="宋体" w:eastAsia="宋体" w:cs="宋体"/>
                <w:color w:val="000000" w:themeColor="text1"/>
                <w:sz w:val="21"/>
                <w:szCs w:val="21"/>
                <w:highlight w:val="none"/>
                <w:lang w:val="en-US" w:eastAsia="zh-CN"/>
                <w14:textFill>
                  <w14:solidFill>
                    <w14:schemeClr w14:val="tx1"/>
                  </w14:solidFill>
                </w14:textFill>
              </w:rPr>
              <w:t>相关</w:t>
            </w:r>
            <w:r>
              <w:rPr>
                <w:rFonts w:hint="eastAsia" w:ascii="宋体" w:hAnsi="宋体" w:eastAsia="宋体" w:cs="宋体"/>
                <w:color w:val="000000" w:themeColor="text1"/>
                <w:sz w:val="21"/>
                <w:szCs w:val="21"/>
                <w:highlight w:val="none"/>
                <w14:textFill>
                  <w14:solidFill>
                    <w14:schemeClr w14:val="tx1"/>
                  </w14:solidFill>
                </w14:textFill>
              </w:rPr>
              <w:t>标准要求</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tc>
        <w:tc>
          <w:tcPr>
            <w:tcW w:w="750" w:type="dxa"/>
            <w:vAlign w:val="center"/>
          </w:tcPr>
          <w:p w14:paraId="41295DBA">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150</w:t>
            </w:r>
          </w:p>
        </w:tc>
        <w:tc>
          <w:tcPr>
            <w:tcW w:w="671" w:type="dxa"/>
            <w:vAlign w:val="center"/>
          </w:tcPr>
          <w:p w14:paraId="57AC3D5D">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套</w:t>
            </w:r>
          </w:p>
        </w:tc>
      </w:tr>
      <w:tr w14:paraId="512F2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1" w:type="dxa"/>
            <w:vAlign w:val="center"/>
          </w:tcPr>
          <w:p w14:paraId="6B863F91">
            <w:pPr>
              <w:keepNext w:val="0"/>
              <w:keepLines w:val="0"/>
              <w:widowControl/>
              <w:suppressLineNumbers w:val="0"/>
              <w:jc w:val="center"/>
              <w:textAlignment w:val="cente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b/>
                <w:bCs/>
                <w:i w:val="0"/>
                <w:iCs w:val="0"/>
                <w:color w:val="000000" w:themeColor="text1"/>
                <w:kern w:val="0"/>
                <w:sz w:val="21"/>
                <w:szCs w:val="21"/>
                <w:highlight w:val="none"/>
                <w:u w:val="none"/>
                <w:lang w:val="en-US" w:eastAsia="zh-CN" w:bidi="ar"/>
                <w14:textFill>
                  <w14:solidFill>
                    <w14:schemeClr w14:val="tx1"/>
                  </w14:solidFill>
                </w14:textFill>
              </w:rPr>
              <w:t>2</w:t>
            </w:r>
          </w:p>
        </w:tc>
        <w:tc>
          <w:tcPr>
            <w:tcW w:w="1199" w:type="dxa"/>
            <w:vAlign w:val="center"/>
          </w:tcPr>
          <w:p w14:paraId="36549BD4">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学生书包柜</w:t>
            </w:r>
          </w:p>
        </w:tc>
        <w:tc>
          <w:tcPr>
            <w:tcW w:w="6375" w:type="dxa"/>
            <w:vAlign w:val="center"/>
          </w:tcPr>
          <w:p w14:paraId="4269E429">
            <w:pPr>
              <w:keepNext w:val="0"/>
              <w:keepLines w:val="0"/>
              <w:widowControl/>
              <w:suppressLineNumbers w:val="0"/>
              <w:jc w:val="left"/>
              <w:textAlignment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1.单门规格</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(约)</w:t>
            </w:r>
            <w:r>
              <w:rPr>
                <w:rFonts w:ascii="宋体" w:hAnsi="宋体" w:eastAsia="宋体" w:cs="宋体"/>
                <w:color w:val="000000" w:themeColor="text1"/>
                <w:sz w:val="21"/>
                <w:szCs w:val="21"/>
                <w:highlight w:val="none"/>
                <w14:textFill>
                  <w14:solidFill>
                    <w14:schemeClr w14:val="tx1"/>
                  </w14:solidFill>
                </w14:textFill>
              </w:rPr>
              <w:t>：高310mm×宽385mm×深500mm，尺寸偏差符合家具行业通用公差要求</w:t>
            </w:r>
            <w:r>
              <w:rPr>
                <w:rFonts w:hint="eastAsia" w:ascii="宋体" w:hAnsi="宋体" w:eastAsia="宋体" w:cs="宋体"/>
                <w:color w:val="000000" w:themeColor="text1"/>
                <w:sz w:val="21"/>
                <w:szCs w:val="21"/>
                <w:highlight w:val="none"/>
                <w:lang w:val="en-US" w:eastAsia="zh-CN"/>
                <w14:textFill>
                  <w14:solidFill>
                    <w14:schemeClr w14:val="tx1"/>
                  </w14:solidFill>
                </w14:textFill>
              </w:rPr>
              <w:t>并满足实际使用需求</w:t>
            </w:r>
            <w:r>
              <w:rPr>
                <w:rFonts w:ascii="宋体" w:hAnsi="宋体" w:eastAsia="宋体" w:cs="宋体"/>
                <w:color w:val="000000" w:themeColor="text1"/>
                <w:sz w:val="21"/>
                <w:szCs w:val="21"/>
                <w:highlight w:val="none"/>
                <w14:textFill>
                  <w14:solidFill>
                    <w14:schemeClr w14:val="tx1"/>
                  </w14:solidFill>
                </w14:textFill>
              </w:rPr>
              <w:t>。</w:t>
            </w:r>
          </w:p>
          <w:p w14:paraId="6CD4A10A">
            <w:pPr>
              <w:keepNext w:val="0"/>
              <w:keepLines w:val="0"/>
              <w:widowControl/>
              <w:suppressLineNumbers w:val="0"/>
              <w:jc w:val="left"/>
              <w:textAlignment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ascii="宋体" w:hAnsi="宋体" w:eastAsia="宋体" w:cs="宋体"/>
                <w:color w:val="000000" w:themeColor="text1"/>
                <w:sz w:val="21"/>
                <w:szCs w:val="21"/>
                <w:highlight w:val="none"/>
                <w14:textFill>
                  <w14:solidFill>
                    <w14:schemeClr w14:val="tx1"/>
                  </w14:solidFill>
                </w14:textFill>
              </w:rPr>
              <w:t>.门板采用ABS一体注塑成型</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ascii="宋体" w:hAnsi="宋体" w:eastAsia="宋体" w:cs="宋体"/>
                <w:color w:val="000000" w:themeColor="text1"/>
                <w:sz w:val="21"/>
                <w:szCs w:val="21"/>
                <w:highlight w:val="none"/>
                <w14:textFill>
                  <w14:solidFill>
                    <w14:schemeClr w14:val="tx1"/>
                  </w14:solidFill>
                </w14:textFill>
              </w:rPr>
              <w:t>非贴膜</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ascii="宋体" w:hAnsi="宋体" w:eastAsia="宋体" w:cs="宋体"/>
                <w:color w:val="000000" w:themeColor="text1"/>
                <w:sz w:val="21"/>
                <w:szCs w:val="21"/>
                <w:highlight w:val="none"/>
                <w14:textFill>
                  <w14:solidFill>
                    <w14:schemeClr w14:val="tx1"/>
                  </w14:solidFill>
                </w14:textFill>
              </w:rPr>
              <w:t>喷漆</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ascii="宋体" w:hAnsi="宋体" w:eastAsia="宋体" w:cs="宋体"/>
                <w:color w:val="000000" w:themeColor="text1"/>
                <w:sz w:val="21"/>
                <w:szCs w:val="21"/>
                <w:highlight w:val="none"/>
                <w14:textFill>
                  <w14:solidFill>
                    <w14:schemeClr w14:val="tx1"/>
                  </w14:solidFill>
                </w14:textFill>
              </w:rPr>
              <w:t>，厚度≥25mm</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ascii="宋体" w:hAnsi="宋体" w:eastAsia="宋体" w:cs="宋体"/>
                <w:color w:val="000000" w:themeColor="text1"/>
                <w:sz w:val="21"/>
                <w:szCs w:val="21"/>
                <w:highlight w:val="none"/>
                <w14:textFill>
                  <w14:solidFill>
                    <w14:schemeClr w14:val="tx1"/>
                  </w14:solidFill>
                </w14:textFill>
              </w:rPr>
              <w:t>转角设置防撞软胶护角</w:t>
            </w:r>
            <w:r>
              <w:rPr>
                <w:rFonts w:hint="eastAsia" w:ascii="宋体" w:hAnsi="宋体" w:eastAsia="宋体" w:cs="宋体"/>
                <w:color w:val="000000" w:themeColor="text1"/>
                <w:sz w:val="21"/>
                <w:szCs w:val="21"/>
                <w:highlight w:val="none"/>
                <w:lang w:val="en-US" w:eastAsia="zh-CN"/>
                <w14:textFill>
                  <w14:solidFill>
                    <w14:schemeClr w14:val="tx1"/>
                  </w14:solidFill>
                </w14:textFill>
              </w:rPr>
              <w:t>(TPR/PVC)</w:t>
            </w:r>
            <w:r>
              <w:rPr>
                <w:rFonts w:ascii="宋体" w:hAnsi="宋体" w:eastAsia="宋体" w:cs="宋体"/>
                <w:color w:val="000000" w:themeColor="text1"/>
                <w:sz w:val="21"/>
                <w:szCs w:val="21"/>
                <w:highlight w:val="none"/>
                <w14:textFill>
                  <w14:solidFill>
                    <w14:schemeClr w14:val="tx1"/>
                  </w14:solidFill>
                </w14:textFill>
              </w:rPr>
              <w:t>；门板内侧设置多功能置物盒</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ascii="宋体" w:hAnsi="宋体" w:eastAsia="宋体" w:cs="宋体"/>
                <w:color w:val="000000" w:themeColor="text1"/>
                <w:sz w:val="21"/>
                <w:szCs w:val="21"/>
                <w:highlight w:val="none"/>
                <w14:textFill>
                  <w14:solidFill>
                    <w14:schemeClr w14:val="tx1"/>
                  </w14:solidFill>
                </w14:textFill>
              </w:rPr>
              <w:t>底部带滴水孔</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ascii="宋体" w:hAnsi="宋体" w:eastAsia="宋体" w:cs="宋体"/>
                <w:color w:val="000000" w:themeColor="text1"/>
                <w:sz w:val="21"/>
                <w:szCs w:val="21"/>
                <w:highlight w:val="none"/>
                <w14:textFill>
                  <w14:solidFill>
                    <w14:schemeClr w14:val="tx1"/>
                  </w14:solidFill>
                </w14:textFill>
              </w:rPr>
              <w:t>。</w:t>
            </w:r>
          </w:p>
          <w:p w14:paraId="50C18E26">
            <w:pPr>
              <w:keepNext w:val="0"/>
              <w:keepLines w:val="0"/>
              <w:widowControl/>
              <w:suppressLineNumbers w:val="0"/>
              <w:jc w:val="left"/>
              <w:textAlignment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ascii="宋体" w:hAnsi="宋体" w:eastAsia="宋体" w:cs="宋体"/>
                <w:color w:val="000000" w:themeColor="text1"/>
                <w:sz w:val="21"/>
                <w:szCs w:val="21"/>
                <w:highlight w:val="none"/>
                <w14:textFill>
                  <w14:solidFill>
                    <w14:schemeClr w14:val="tx1"/>
                  </w14:solidFill>
                </w14:textFill>
              </w:rPr>
              <w:t>.柜体侧板、后板、上下板采用HIPS工程塑料或ABS注塑，侧板厚度≥20mm，上下板厚度≥25mm</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ascii="宋体" w:hAnsi="宋体" w:eastAsia="宋体" w:cs="宋体"/>
                <w:color w:val="000000" w:themeColor="text1"/>
                <w:sz w:val="21"/>
                <w:szCs w:val="21"/>
                <w:highlight w:val="none"/>
                <w14:textFill>
                  <w14:solidFill>
                    <w14:schemeClr w14:val="tx1"/>
                  </w14:solidFill>
                </w14:textFill>
              </w:rPr>
              <w:t>柜体后板设置通风孔</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2C2D0C36">
            <w:pPr>
              <w:keepNext w:val="0"/>
              <w:keepLines w:val="0"/>
              <w:widowControl/>
              <w:suppressLineNumbers w:val="0"/>
              <w:jc w:val="left"/>
              <w:textAlignment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柜门</w:t>
            </w:r>
            <w:r>
              <w:rPr>
                <w:rFonts w:ascii="宋体" w:hAnsi="宋体" w:eastAsia="宋体" w:cs="宋体"/>
                <w:color w:val="000000" w:themeColor="text1"/>
                <w:sz w:val="21"/>
                <w:szCs w:val="21"/>
                <w:highlight w:val="none"/>
                <w14:textFill>
                  <w14:solidFill>
                    <w14:schemeClr w14:val="tx1"/>
                  </w14:solidFill>
                </w14:textFill>
              </w:rPr>
              <w:t>采用高强度尼龙铰链；</w:t>
            </w:r>
            <w:r>
              <w:rPr>
                <w:rFonts w:hint="eastAsia" w:ascii="宋体" w:hAnsi="宋体" w:eastAsia="宋体" w:cs="宋体"/>
                <w:color w:val="000000" w:themeColor="text1"/>
                <w:sz w:val="21"/>
                <w:szCs w:val="21"/>
                <w:highlight w:val="none"/>
                <w:lang w:val="en-US" w:eastAsia="zh-CN"/>
                <w14:textFill>
                  <w14:solidFill>
                    <w14:schemeClr w14:val="tx1"/>
                  </w14:solidFill>
                </w14:textFill>
              </w:rPr>
              <w:t>配备</w:t>
            </w:r>
            <w:r>
              <w:rPr>
                <w:rFonts w:ascii="宋体" w:hAnsi="宋体" w:eastAsia="宋体" w:cs="宋体"/>
                <w:color w:val="000000" w:themeColor="text1"/>
                <w:sz w:val="21"/>
                <w:szCs w:val="21"/>
                <w:highlight w:val="none"/>
                <w14:textFill>
                  <w14:solidFill>
                    <w14:schemeClr w14:val="tx1"/>
                  </w14:solidFill>
                </w14:textFill>
              </w:rPr>
              <w:t>一体式拉手锁具；每列柜体配套专用联墙固定件，确保安装稳定不倾倒。</w:t>
            </w:r>
          </w:p>
          <w:p w14:paraId="0D2727E7">
            <w:pP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ascii="宋体" w:hAnsi="宋体" w:eastAsia="宋体" w:cs="宋体"/>
                <w:color w:val="000000" w:themeColor="text1"/>
                <w:sz w:val="21"/>
                <w:szCs w:val="21"/>
                <w:highlight w:val="none"/>
                <w14:textFill>
                  <w14:solidFill>
                    <w14:schemeClr w14:val="tx1"/>
                  </w14:solidFill>
                </w14:textFill>
              </w:rPr>
              <w:t>.柜体拼接部位紧密牢固，接缝均匀，整体结构稳固，承重后不</w:t>
            </w:r>
            <w:r>
              <w:rPr>
                <w:rFonts w:hint="eastAsia" w:ascii="宋体" w:hAnsi="宋体" w:eastAsia="宋体" w:cs="宋体"/>
                <w:color w:val="000000" w:themeColor="text1"/>
                <w:sz w:val="21"/>
                <w:szCs w:val="21"/>
                <w:highlight w:val="none"/>
                <w:lang w:val="en-US" w:eastAsia="zh-CN"/>
                <w14:textFill>
                  <w14:solidFill>
                    <w14:schemeClr w14:val="tx1"/>
                  </w14:solidFill>
                </w14:textFill>
              </w:rPr>
              <w:t>易</w:t>
            </w:r>
            <w:r>
              <w:rPr>
                <w:rFonts w:ascii="宋体" w:hAnsi="宋体" w:eastAsia="宋体" w:cs="宋体"/>
                <w:color w:val="000000" w:themeColor="text1"/>
                <w:sz w:val="21"/>
                <w:szCs w:val="21"/>
                <w:highlight w:val="none"/>
                <w14:textFill>
                  <w14:solidFill>
                    <w14:schemeClr w14:val="tx1"/>
                  </w14:solidFill>
                </w14:textFill>
              </w:rPr>
              <w:t>变形</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ascii="宋体" w:hAnsi="宋体" w:eastAsia="宋体" w:cs="宋体"/>
                <w:color w:val="000000" w:themeColor="text1"/>
                <w:sz w:val="21"/>
                <w:szCs w:val="21"/>
                <w:highlight w:val="none"/>
                <w14:textFill>
                  <w14:solidFill>
                    <w14:schemeClr w14:val="tx1"/>
                  </w14:solidFill>
                </w14:textFill>
              </w:rPr>
              <w:t>表面光滑平整，无尖锐棱角</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ascii="宋体" w:hAnsi="宋体" w:eastAsia="宋体" w:cs="宋体"/>
                <w:color w:val="000000" w:themeColor="text1"/>
                <w:sz w:val="21"/>
                <w:szCs w:val="21"/>
                <w:highlight w:val="none"/>
                <w14:textFill>
                  <w14:solidFill>
                    <w14:schemeClr w14:val="tx1"/>
                  </w14:solidFill>
                </w14:textFill>
              </w:rPr>
              <w:t>无明显缩痕、飞边、毛刺、色差，色泽均匀。</w:t>
            </w:r>
          </w:p>
          <w:p w14:paraId="49D9376F">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r>
              <w:rPr>
                <w:rFonts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整装</w:t>
            </w:r>
            <w:r>
              <w:rPr>
                <w:rFonts w:hint="eastAsia" w:ascii="宋体" w:hAnsi="宋体" w:eastAsia="宋体" w:cs="宋体"/>
                <w:color w:val="000000" w:themeColor="text1"/>
                <w:sz w:val="21"/>
                <w:szCs w:val="21"/>
                <w:highlight w:val="none"/>
                <w:lang w:val="en-US" w:eastAsia="zh-CN"/>
                <w14:textFill>
                  <w14:solidFill>
                    <w14:schemeClr w14:val="tx1"/>
                  </w14:solidFill>
                </w14:textFill>
              </w:rPr>
              <w:t>质量、环保等</w:t>
            </w:r>
            <w:r>
              <w:rPr>
                <w:rFonts w:hint="eastAsia" w:ascii="宋体" w:hAnsi="宋体" w:eastAsia="宋体" w:cs="宋体"/>
                <w:color w:val="000000" w:themeColor="text1"/>
                <w:sz w:val="21"/>
                <w:szCs w:val="21"/>
                <w:highlight w:val="none"/>
                <w14:textFill>
                  <w14:solidFill>
                    <w14:schemeClr w14:val="tx1"/>
                  </w14:solidFill>
                </w14:textFill>
              </w:rPr>
              <w:t>符合国家</w:t>
            </w:r>
            <w:r>
              <w:rPr>
                <w:rFonts w:hint="eastAsia" w:ascii="宋体" w:hAnsi="宋体" w:eastAsia="宋体" w:cs="宋体"/>
                <w:color w:val="000000" w:themeColor="text1"/>
                <w:sz w:val="21"/>
                <w:szCs w:val="21"/>
                <w:highlight w:val="none"/>
                <w:lang w:val="en-US" w:eastAsia="zh-CN"/>
                <w14:textFill>
                  <w14:solidFill>
                    <w14:schemeClr w14:val="tx1"/>
                  </w14:solidFill>
                </w14:textFill>
              </w:rPr>
              <w:t>相关</w:t>
            </w:r>
            <w:r>
              <w:rPr>
                <w:rFonts w:hint="eastAsia" w:ascii="宋体" w:hAnsi="宋体" w:eastAsia="宋体" w:cs="宋体"/>
                <w:color w:val="000000" w:themeColor="text1"/>
                <w:sz w:val="21"/>
                <w:szCs w:val="21"/>
                <w:highlight w:val="none"/>
                <w14:textFill>
                  <w14:solidFill>
                    <w14:schemeClr w14:val="tx1"/>
                  </w14:solidFill>
                </w14:textFill>
              </w:rPr>
              <w:t>标准要求</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tc>
        <w:tc>
          <w:tcPr>
            <w:tcW w:w="750" w:type="dxa"/>
            <w:vAlign w:val="center"/>
          </w:tcPr>
          <w:p w14:paraId="35A80593">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300</w:t>
            </w:r>
          </w:p>
        </w:tc>
        <w:tc>
          <w:tcPr>
            <w:tcW w:w="671" w:type="dxa"/>
            <w:vAlign w:val="center"/>
          </w:tcPr>
          <w:p w14:paraId="5A0283B4">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个</w:t>
            </w:r>
          </w:p>
        </w:tc>
      </w:tr>
      <w:tr w14:paraId="5A30E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1" w:type="dxa"/>
            <w:vAlign w:val="center"/>
          </w:tcPr>
          <w:p w14:paraId="0D7E66E9">
            <w:pPr>
              <w:keepNext w:val="0"/>
              <w:keepLines w:val="0"/>
              <w:widowControl/>
              <w:suppressLineNumbers w:val="0"/>
              <w:jc w:val="center"/>
              <w:textAlignment w:val="center"/>
              <w:rPr>
                <w:rFonts w:hint="default"/>
                <w:b/>
                <w:bCs/>
                <w:color w:val="000000" w:themeColor="text1"/>
                <w:sz w:val="21"/>
                <w:szCs w:val="21"/>
                <w:highlight w:val="none"/>
                <w:vertAlign w:val="baseline"/>
                <w:lang w:val="en-US" w:eastAsia="zh-CN"/>
                <w14:textFill>
                  <w14:solidFill>
                    <w14:schemeClr w14:val="tx1"/>
                  </w14:solidFill>
                </w14:textFill>
              </w:rPr>
            </w:pPr>
            <w:r>
              <w:rPr>
                <w:rFonts w:hint="eastAsia" w:ascii="宋体" w:hAnsi="宋体" w:cs="宋体"/>
                <w:b/>
                <w:bCs/>
                <w:i w:val="0"/>
                <w:iCs w:val="0"/>
                <w:color w:val="000000" w:themeColor="text1"/>
                <w:kern w:val="0"/>
                <w:sz w:val="21"/>
                <w:szCs w:val="21"/>
                <w:highlight w:val="none"/>
                <w:u w:val="none"/>
                <w:lang w:val="en-US" w:eastAsia="zh-CN" w:bidi="ar"/>
                <w14:textFill>
                  <w14:solidFill>
                    <w14:schemeClr w14:val="tx1"/>
                  </w14:solidFill>
                </w14:textFill>
              </w:rPr>
              <w:t>3</w:t>
            </w:r>
          </w:p>
        </w:tc>
        <w:tc>
          <w:tcPr>
            <w:tcW w:w="1199" w:type="dxa"/>
            <w:vAlign w:val="center"/>
          </w:tcPr>
          <w:p w14:paraId="1AC60E62">
            <w:pPr>
              <w:keepNext w:val="0"/>
              <w:keepLines w:val="0"/>
              <w:widowControl/>
              <w:suppressLineNumbers w:val="0"/>
              <w:jc w:val="center"/>
              <w:textAlignment w:val="center"/>
              <w:rPr>
                <w:rFonts w:hint="default"/>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紫外线灯</w:t>
            </w:r>
          </w:p>
        </w:tc>
        <w:tc>
          <w:tcPr>
            <w:tcW w:w="6375" w:type="dxa"/>
            <w:vAlign w:val="center"/>
          </w:tcPr>
          <w:p w14:paraId="6C2DFE5B">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1.产品配套自动升降支架，支持定时信号控制，可自动下降至设定高度并开启紫外线灯消毒，消毒完成后自动熄灭并回升至初始位置，可实现无人值守作业。</w:t>
            </w:r>
          </w:p>
          <w:p w14:paraId="2693CA1A">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★2.灯管符合GB 28235-2020要求，对大肠杆菌杀灭率≥99.9%；1m测试距离处初始辐照强度≥100μW/cm²。</w:t>
            </w:r>
          </w:p>
          <w:p w14:paraId="7A63042B">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3.灯具外形尺寸范围(约)：长1200mm～1300mm，宽50mm～65mm，高90mm～110mm。</w:t>
            </w:r>
          </w:p>
          <w:p w14:paraId="361991A3">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4.升降参数：灯管下降高度为1000mm±200mm；上升、下降速度均为1m/分钟。</w:t>
            </w:r>
          </w:p>
          <w:p w14:paraId="436ECE6B">
            <w:pPr>
              <w:keepNext w:val="0"/>
              <w:keepLines w:val="0"/>
              <w:widowControl/>
              <w:suppressLineNumbers w:val="0"/>
              <w:jc w:val="left"/>
              <w:textAlignment w:val="center"/>
              <w:rPr>
                <w:rFonts w:hint="default"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5.灯管功率：40W±5W。</w:t>
            </w:r>
          </w:p>
        </w:tc>
        <w:tc>
          <w:tcPr>
            <w:tcW w:w="750" w:type="dxa"/>
            <w:vAlign w:val="center"/>
          </w:tcPr>
          <w:p w14:paraId="5A75BFF0">
            <w:pPr>
              <w:keepNext w:val="0"/>
              <w:keepLines w:val="0"/>
              <w:widowControl/>
              <w:suppressLineNumbers w:val="0"/>
              <w:jc w:val="center"/>
              <w:textAlignment w:val="center"/>
              <w:rPr>
                <w:rFonts w:hint="default"/>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30</w:t>
            </w:r>
          </w:p>
        </w:tc>
        <w:tc>
          <w:tcPr>
            <w:tcW w:w="671" w:type="dxa"/>
            <w:vAlign w:val="center"/>
          </w:tcPr>
          <w:p w14:paraId="71D0D5D6">
            <w:pPr>
              <w:keepNext w:val="0"/>
              <w:keepLines w:val="0"/>
              <w:widowControl/>
              <w:suppressLineNumbers w:val="0"/>
              <w:jc w:val="center"/>
              <w:textAlignment w:val="center"/>
              <w:rPr>
                <w:rFonts w:hint="default"/>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盏</w:t>
            </w:r>
          </w:p>
        </w:tc>
      </w:tr>
      <w:tr w14:paraId="249AA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1" w:type="dxa"/>
            <w:vAlign w:val="center"/>
          </w:tcPr>
          <w:p w14:paraId="19CBB1DE">
            <w:pPr>
              <w:keepNext w:val="0"/>
              <w:keepLines w:val="0"/>
              <w:widowControl/>
              <w:suppressLineNumbers w:val="0"/>
              <w:jc w:val="center"/>
              <w:textAlignment w:val="center"/>
              <w:rPr>
                <w:rFonts w:hint="default"/>
                <w:b/>
                <w:bCs/>
                <w:color w:val="000000" w:themeColor="text1"/>
                <w:sz w:val="21"/>
                <w:szCs w:val="21"/>
                <w:highlight w:val="none"/>
                <w:vertAlign w:val="baseline"/>
                <w:lang w:val="en-US" w:eastAsia="zh-CN"/>
                <w14:textFill>
                  <w14:solidFill>
                    <w14:schemeClr w14:val="tx1"/>
                  </w14:solidFill>
                </w14:textFill>
              </w:rPr>
            </w:pPr>
            <w:r>
              <w:rPr>
                <w:rFonts w:hint="eastAsia" w:ascii="宋体" w:hAnsi="宋体" w:cs="宋体"/>
                <w:b/>
                <w:bCs/>
                <w:i w:val="0"/>
                <w:iCs w:val="0"/>
                <w:color w:val="000000" w:themeColor="text1"/>
                <w:kern w:val="0"/>
                <w:sz w:val="21"/>
                <w:szCs w:val="21"/>
                <w:highlight w:val="none"/>
                <w:u w:val="none"/>
                <w:lang w:val="en-US" w:eastAsia="zh-CN" w:bidi="ar"/>
                <w14:textFill>
                  <w14:solidFill>
                    <w14:schemeClr w14:val="tx1"/>
                  </w14:solidFill>
                </w14:textFill>
              </w:rPr>
              <w:t>4</w:t>
            </w:r>
          </w:p>
        </w:tc>
        <w:tc>
          <w:tcPr>
            <w:tcW w:w="1199" w:type="dxa"/>
            <w:vAlign w:val="center"/>
          </w:tcPr>
          <w:p w14:paraId="2920957A">
            <w:pPr>
              <w:keepNext w:val="0"/>
              <w:keepLines w:val="0"/>
              <w:widowControl/>
              <w:suppressLineNumbers w:val="0"/>
              <w:jc w:val="center"/>
              <w:textAlignment w:val="center"/>
              <w:rPr>
                <w:rFonts w:hint="default"/>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办公桌椅</w:t>
            </w:r>
          </w:p>
        </w:tc>
        <w:tc>
          <w:tcPr>
            <w:tcW w:w="6375" w:type="dxa"/>
            <w:vAlign w:val="center"/>
          </w:tcPr>
          <w:p w14:paraId="586EEA46">
            <w:pPr>
              <w:keepNext w:val="0"/>
              <w:keepLines w:val="0"/>
              <w:widowControl/>
              <w:suppressLineNumbers w:val="0"/>
              <w:jc w:val="left"/>
              <w:textAlignment w:val="center"/>
              <w:rPr>
                <w:rStyle w:val="11"/>
                <w:rFonts w:hint="eastAsia"/>
                <w:color w:val="000000" w:themeColor="text1"/>
                <w:sz w:val="21"/>
                <w:szCs w:val="21"/>
                <w:highlight w:val="none"/>
                <w:lang w:val="en-US" w:eastAsia="zh-CN" w:bidi="ar"/>
                <w14:textFill>
                  <w14:solidFill>
                    <w14:schemeClr w14:val="tx1"/>
                  </w14:solidFill>
                </w14:textFill>
              </w:rPr>
            </w:pPr>
            <w:r>
              <w:rPr>
                <w:rStyle w:val="11"/>
                <w:rFonts w:hint="eastAsia"/>
                <w:color w:val="000000" w:themeColor="text1"/>
                <w:sz w:val="21"/>
                <w:szCs w:val="21"/>
                <w:highlight w:val="none"/>
                <w:lang w:val="en-US" w:eastAsia="zh-CN" w:bidi="ar"/>
                <w14:textFill>
                  <w14:solidFill>
                    <w14:schemeClr w14:val="tx1"/>
                  </w14:solidFill>
                </w14:textFill>
              </w:rPr>
              <w:t>一、</w:t>
            </w:r>
            <w:r>
              <w:rPr>
                <w:rStyle w:val="11"/>
                <w:color w:val="000000" w:themeColor="text1"/>
                <w:sz w:val="21"/>
                <w:szCs w:val="21"/>
                <w:highlight w:val="none"/>
                <w:lang w:val="en-US" w:eastAsia="zh-CN" w:bidi="ar"/>
                <w14:textFill>
                  <w14:solidFill>
                    <w14:schemeClr w14:val="tx1"/>
                  </w14:solidFill>
                </w14:textFill>
              </w:rPr>
              <w:t>办公桌</w:t>
            </w:r>
          </w:p>
          <w:p w14:paraId="0480D2B3">
            <w:pPr>
              <w:keepNext w:val="0"/>
              <w:keepLines w:val="0"/>
              <w:widowControl/>
              <w:suppressLineNumbers w:val="0"/>
              <w:jc w:val="left"/>
              <w:textAlignment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1.外形尺寸</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(约)</w:t>
            </w:r>
            <w:r>
              <w:rPr>
                <w:rFonts w:ascii="宋体" w:hAnsi="宋体" w:eastAsia="宋体" w:cs="宋体"/>
                <w:color w:val="000000" w:themeColor="text1"/>
                <w:sz w:val="21"/>
                <w:szCs w:val="21"/>
                <w:highlight w:val="none"/>
                <w14:textFill>
                  <w14:solidFill>
                    <w14:schemeClr w14:val="tx1"/>
                  </w14:solidFill>
                </w14:textFill>
              </w:rPr>
              <w:t>：长1400mm×宽600mm×高750mm。</w:t>
            </w:r>
          </w:p>
          <w:p w14:paraId="05F56322">
            <w:pPr>
              <w:keepNext w:val="0"/>
              <w:keepLines w:val="0"/>
              <w:widowControl/>
              <w:suppressLineNumbers w:val="0"/>
              <w:jc w:val="left"/>
              <w:textAlignment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★2.台面基材为</w:t>
            </w:r>
            <w:r>
              <w:rPr>
                <w:rFonts w:ascii="宋体" w:hAnsi="宋体" w:eastAsia="宋体" w:cs="宋体"/>
                <w:color w:val="000000" w:themeColor="text1"/>
                <w:sz w:val="21"/>
                <w:szCs w:val="21"/>
                <w:highlight w:val="none"/>
                <w:lang w:val="en-US" w:eastAsia="zh-CN"/>
                <w14:textFill>
                  <w14:solidFill>
                    <w14:schemeClr w14:val="tx1"/>
                  </w14:solidFill>
                </w14:textFill>
              </w:rPr>
              <w:t>E</w:t>
            </w:r>
            <w:r>
              <w:rPr>
                <w:rFonts w:hint="eastAsia" w:ascii="宋体" w:hAnsi="宋体" w:eastAsia="宋体" w:cs="宋体"/>
                <w:color w:val="000000" w:themeColor="text1"/>
                <w:sz w:val="21"/>
                <w:szCs w:val="21"/>
                <w:highlight w:val="none"/>
                <w:lang w:val="en-US" w:eastAsia="zh-CN"/>
                <w14:textFill>
                  <w14:solidFill>
                    <w14:schemeClr w14:val="tx1"/>
                  </w14:solidFill>
                </w14:textFill>
              </w:rPr>
              <w:t>0</w:t>
            </w:r>
            <w:r>
              <w:rPr>
                <w:rFonts w:ascii="宋体" w:hAnsi="宋体" w:eastAsia="宋体" w:cs="宋体"/>
                <w:color w:val="000000" w:themeColor="text1"/>
                <w:sz w:val="21"/>
                <w:szCs w:val="21"/>
                <w:highlight w:val="none"/>
                <w:lang w:val="en-US" w:eastAsia="zh-CN"/>
                <w14:textFill>
                  <w14:solidFill>
                    <w14:schemeClr w14:val="tx1"/>
                  </w14:solidFill>
                </w14:textFill>
              </w:rPr>
              <w:t>级刨花板</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ascii="宋体" w:hAnsi="宋体" w:eastAsia="宋体" w:cs="宋体"/>
                <w:color w:val="000000" w:themeColor="text1"/>
                <w:sz w:val="21"/>
                <w:szCs w:val="21"/>
                <w:highlight w:val="none"/>
                <w:lang w:val="en-US" w:eastAsia="zh-CN"/>
                <w14:textFill>
                  <w14:solidFill>
                    <w14:schemeClr w14:val="tx1"/>
                  </w14:solidFill>
                </w14:textFill>
              </w:rPr>
              <w:t>符合GB/T 39600-2021，甲醛释放量≤0.050mg/m³</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ascii="宋体" w:hAnsi="宋体" w:eastAsia="宋体" w:cs="宋体"/>
                <w:color w:val="000000" w:themeColor="text1"/>
                <w:sz w:val="21"/>
                <w:szCs w:val="21"/>
                <w:highlight w:val="none"/>
                <w:lang w:val="en-US" w:eastAsia="zh-CN"/>
                <w14:textFill>
                  <w14:solidFill>
                    <w14:schemeClr w14:val="tx1"/>
                  </w14:solidFill>
                </w14:textFill>
              </w:rPr>
              <w:t>，厚度≥25mm</w:t>
            </w:r>
            <w:r>
              <w:rPr>
                <w:rFonts w:ascii="宋体" w:hAnsi="宋体" w:eastAsia="宋体" w:cs="宋体"/>
                <w:color w:val="000000" w:themeColor="text1"/>
                <w:sz w:val="21"/>
                <w:szCs w:val="21"/>
                <w:highlight w:val="none"/>
                <w14:textFill>
                  <w14:solidFill>
                    <w14:schemeClr w14:val="tx1"/>
                  </w14:solidFill>
                </w14:textFill>
              </w:rPr>
              <w:t>；饰面为三聚氰胺浸渍纸；四周采用同色PVC或ABS封边。</w:t>
            </w:r>
          </w:p>
          <w:p w14:paraId="52C865B1">
            <w:pPr>
              <w:keepNext w:val="0"/>
              <w:keepLines w:val="0"/>
              <w:widowControl/>
              <w:suppressLineNumbers w:val="0"/>
              <w:jc w:val="left"/>
              <w:textAlignment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3.桌体侧板、背板为</w:t>
            </w:r>
            <w:r>
              <w:rPr>
                <w:rFonts w:ascii="宋体" w:hAnsi="宋体" w:eastAsia="宋体" w:cs="宋体"/>
                <w:color w:val="000000" w:themeColor="text1"/>
                <w:sz w:val="21"/>
                <w:szCs w:val="21"/>
                <w:highlight w:val="none"/>
                <w:lang w:val="en-US" w:eastAsia="zh-CN"/>
                <w14:textFill>
                  <w14:solidFill>
                    <w14:schemeClr w14:val="tx1"/>
                  </w14:solidFill>
                </w14:textFill>
              </w:rPr>
              <w:t>E</w:t>
            </w:r>
            <w:r>
              <w:rPr>
                <w:rFonts w:hint="eastAsia" w:ascii="宋体" w:hAnsi="宋体" w:eastAsia="宋体" w:cs="宋体"/>
                <w:color w:val="000000" w:themeColor="text1"/>
                <w:sz w:val="21"/>
                <w:szCs w:val="21"/>
                <w:highlight w:val="none"/>
                <w:lang w:val="en-US" w:eastAsia="zh-CN"/>
                <w14:textFill>
                  <w14:solidFill>
                    <w14:schemeClr w14:val="tx1"/>
                  </w14:solidFill>
                </w14:textFill>
              </w:rPr>
              <w:t>0</w:t>
            </w:r>
            <w:r>
              <w:rPr>
                <w:rFonts w:ascii="宋体" w:hAnsi="宋体" w:eastAsia="宋体" w:cs="宋体"/>
                <w:color w:val="000000" w:themeColor="text1"/>
                <w:sz w:val="21"/>
                <w:szCs w:val="21"/>
                <w:highlight w:val="none"/>
                <w:lang w:val="en-US" w:eastAsia="zh-CN"/>
                <w14:textFill>
                  <w14:solidFill>
                    <w14:schemeClr w14:val="tx1"/>
                  </w14:solidFill>
                </w14:textFill>
              </w:rPr>
              <w:t>级刨花板</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ascii="宋体" w:hAnsi="宋体" w:eastAsia="宋体" w:cs="宋体"/>
                <w:color w:val="000000" w:themeColor="text1"/>
                <w:sz w:val="21"/>
                <w:szCs w:val="21"/>
                <w:highlight w:val="none"/>
                <w14:textFill>
                  <w14:solidFill>
                    <w14:schemeClr w14:val="tx1"/>
                  </w14:solidFill>
                </w14:textFill>
              </w:rPr>
              <w:t>厚度≥16mm；柜体结构稳固，满足日常办公承重要求。</w:t>
            </w:r>
          </w:p>
          <w:p w14:paraId="6CE5E10D">
            <w:pPr>
              <w:keepNext w:val="0"/>
              <w:keepLines w:val="0"/>
              <w:widowControl/>
              <w:suppressLineNumbers w:val="0"/>
              <w:jc w:val="left"/>
              <w:textAlignment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4.配备三节阻尼滑轨、阻尼铰链，开合顺畅、静音，符合国家相关标准。</w:t>
            </w:r>
          </w:p>
          <w:p w14:paraId="28042489">
            <w:pPr>
              <w:keepNext w:val="0"/>
              <w:keepLines w:val="0"/>
              <w:widowControl/>
              <w:suppressLineNumbers w:val="0"/>
              <w:jc w:val="left"/>
              <w:textAlignment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整装</w:t>
            </w:r>
            <w:r>
              <w:rPr>
                <w:rFonts w:hint="eastAsia" w:ascii="宋体" w:hAnsi="宋体" w:eastAsia="宋体" w:cs="宋体"/>
                <w:color w:val="000000" w:themeColor="text1"/>
                <w:sz w:val="21"/>
                <w:szCs w:val="21"/>
                <w:highlight w:val="none"/>
                <w:lang w:val="en-US" w:eastAsia="zh-CN"/>
                <w14:textFill>
                  <w14:solidFill>
                    <w14:schemeClr w14:val="tx1"/>
                  </w14:solidFill>
                </w14:textFill>
              </w:rPr>
              <w:t>质量、环保等</w:t>
            </w:r>
            <w:r>
              <w:rPr>
                <w:rFonts w:hint="eastAsia" w:ascii="宋体" w:hAnsi="宋体" w:eastAsia="宋体" w:cs="宋体"/>
                <w:color w:val="000000" w:themeColor="text1"/>
                <w:sz w:val="21"/>
                <w:szCs w:val="21"/>
                <w:highlight w:val="none"/>
                <w14:textFill>
                  <w14:solidFill>
                    <w14:schemeClr w14:val="tx1"/>
                  </w14:solidFill>
                </w14:textFill>
              </w:rPr>
              <w:t>符合国家</w:t>
            </w:r>
            <w:r>
              <w:rPr>
                <w:rFonts w:hint="eastAsia" w:ascii="宋体" w:hAnsi="宋体" w:eastAsia="宋体" w:cs="宋体"/>
                <w:color w:val="000000" w:themeColor="text1"/>
                <w:sz w:val="21"/>
                <w:szCs w:val="21"/>
                <w:highlight w:val="none"/>
                <w:lang w:val="en-US" w:eastAsia="zh-CN"/>
                <w14:textFill>
                  <w14:solidFill>
                    <w14:schemeClr w14:val="tx1"/>
                  </w14:solidFill>
                </w14:textFill>
              </w:rPr>
              <w:t>相关</w:t>
            </w:r>
            <w:r>
              <w:rPr>
                <w:rFonts w:hint="eastAsia" w:ascii="宋体" w:hAnsi="宋体" w:eastAsia="宋体" w:cs="宋体"/>
                <w:color w:val="000000" w:themeColor="text1"/>
                <w:sz w:val="21"/>
                <w:szCs w:val="21"/>
                <w:highlight w:val="none"/>
                <w14:textFill>
                  <w14:solidFill>
                    <w14:schemeClr w14:val="tx1"/>
                  </w14:solidFill>
                </w14:textFill>
              </w:rPr>
              <w:t>标准要求</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p w14:paraId="71840616">
            <w:pPr>
              <w:keepNext w:val="0"/>
              <w:keepLines w:val="0"/>
              <w:widowControl/>
              <w:suppressLineNumbers w:val="0"/>
              <w:jc w:val="left"/>
              <w:textAlignment w:val="center"/>
              <w:rPr>
                <w:rStyle w:val="11"/>
                <w:rFonts w:hint="eastAsia"/>
                <w:color w:val="000000" w:themeColor="text1"/>
                <w:sz w:val="21"/>
                <w:szCs w:val="21"/>
                <w:highlight w:val="none"/>
                <w:lang w:val="en-US" w:eastAsia="zh-CN" w:bidi="ar"/>
                <w14:textFill>
                  <w14:solidFill>
                    <w14:schemeClr w14:val="tx1"/>
                  </w14:solidFill>
                </w14:textFill>
              </w:rPr>
            </w:pPr>
            <w:r>
              <w:rPr>
                <w:rStyle w:val="11"/>
                <w:rFonts w:hint="eastAsia"/>
                <w:color w:val="000000" w:themeColor="text1"/>
                <w:sz w:val="21"/>
                <w:szCs w:val="21"/>
                <w:highlight w:val="none"/>
                <w:lang w:val="en-US" w:eastAsia="zh-CN" w:bidi="ar"/>
                <w14:textFill>
                  <w14:solidFill>
                    <w14:schemeClr w14:val="tx1"/>
                  </w14:solidFill>
                </w14:textFill>
              </w:rPr>
              <w:t>二、</w:t>
            </w:r>
            <w:r>
              <w:rPr>
                <w:rStyle w:val="11"/>
                <w:color w:val="000000" w:themeColor="text1"/>
                <w:sz w:val="21"/>
                <w:szCs w:val="21"/>
                <w:highlight w:val="none"/>
                <w:lang w:val="en-US" w:eastAsia="zh-CN" w:bidi="ar"/>
                <w14:textFill>
                  <w14:solidFill>
                    <w14:schemeClr w14:val="tx1"/>
                  </w14:solidFill>
                </w14:textFill>
              </w:rPr>
              <w:t>办公椅</w:t>
            </w:r>
          </w:p>
          <w:p w14:paraId="1803168F">
            <w:pPr>
              <w:keepNext w:val="0"/>
              <w:keepLines w:val="0"/>
              <w:widowControl/>
              <w:suppressLineNumbers w:val="0"/>
              <w:jc w:val="left"/>
              <w:textAlignment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1.背框采用</w:t>
            </w:r>
            <w:r>
              <w:rPr>
                <w:rStyle w:val="11"/>
                <w:color w:val="000000" w:themeColor="text1"/>
                <w:sz w:val="21"/>
                <w:szCs w:val="21"/>
                <w:highlight w:val="none"/>
                <w:lang w:val="en-US" w:eastAsia="zh-CN" w:bidi="ar"/>
                <w14:textFill>
                  <w14:solidFill>
                    <w14:schemeClr w14:val="tx1"/>
                  </w14:solidFill>
                </w14:textFill>
              </w:rPr>
              <w:t>PP+玻璃纤维增强注塑</w:t>
            </w:r>
            <w:r>
              <w:rPr>
                <w:rFonts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厚度</w:t>
            </w:r>
            <w:r>
              <w:rPr>
                <w:rFonts w:ascii="宋体" w:hAnsi="宋体" w:eastAsia="宋体" w:cs="宋体"/>
                <w:color w:val="000000" w:themeColor="text1"/>
                <w:sz w:val="21"/>
                <w:szCs w:val="21"/>
                <w:highlight w:val="none"/>
                <w14:textFill>
                  <w14:solidFill>
                    <w14:schemeClr w14:val="tx1"/>
                  </w14:solidFill>
                </w14:textFill>
              </w:rPr>
              <w:t>≥2.5mm</w:t>
            </w:r>
            <w:r>
              <w:rPr>
                <w:rStyle w:val="11"/>
                <w:rFonts w:hint="eastAsia"/>
                <w:color w:val="000000" w:themeColor="text1"/>
                <w:sz w:val="21"/>
                <w:szCs w:val="21"/>
                <w:highlight w:val="none"/>
                <w:lang w:val="en-US" w:eastAsia="zh-CN" w:bidi="ar"/>
                <w14:textFill>
                  <w14:solidFill>
                    <w14:schemeClr w14:val="tx1"/>
                  </w14:solidFill>
                </w14:textFill>
              </w:rPr>
              <w:t>。</w:t>
            </w:r>
          </w:p>
          <w:p w14:paraId="36CADF0F">
            <w:pPr>
              <w:keepNext w:val="0"/>
              <w:keepLines w:val="0"/>
              <w:widowControl/>
              <w:suppressLineNumbers w:val="0"/>
              <w:jc w:val="left"/>
              <w:textAlignment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2.座垫内部填充回弹海绵，海绵密度≥35kg/m³；外部包覆透气网布。</w:t>
            </w:r>
          </w:p>
          <w:p w14:paraId="5705E795">
            <w:pPr>
              <w:keepNext w:val="0"/>
              <w:keepLines w:val="0"/>
              <w:widowControl/>
              <w:suppressLineNumbers w:val="0"/>
              <w:jc w:val="left"/>
              <w:textAlignment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3.底盘支撑管壁厚≥2.0mm，表面</w:t>
            </w:r>
            <w:r>
              <w:rPr>
                <w:rFonts w:hint="eastAsia" w:ascii="宋体" w:hAnsi="宋体" w:eastAsia="宋体" w:cs="宋体"/>
                <w:color w:val="000000" w:themeColor="text1"/>
                <w:sz w:val="21"/>
                <w:szCs w:val="21"/>
                <w:highlight w:val="none"/>
                <w:lang w:val="en-US" w:eastAsia="zh-CN"/>
                <w14:textFill>
                  <w14:solidFill>
                    <w14:schemeClr w14:val="tx1"/>
                  </w14:solidFill>
                </w14:textFill>
              </w:rPr>
              <w:t>经</w:t>
            </w:r>
            <w:r>
              <w:rPr>
                <w:rFonts w:ascii="宋体" w:hAnsi="宋体" w:eastAsia="宋体" w:cs="宋体"/>
                <w:color w:val="000000" w:themeColor="text1"/>
                <w:sz w:val="21"/>
                <w:szCs w:val="21"/>
                <w:highlight w:val="none"/>
                <w14:textFill>
                  <w14:solidFill>
                    <w14:schemeClr w14:val="tx1"/>
                  </w14:solidFill>
                </w14:textFill>
              </w:rPr>
              <w:t>喷塑，防腐防锈</w:t>
            </w:r>
            <w:r>
              <w:rPr>
                <w:rFonts w:hint="eastAsia" w:ascii="宋体" w:hAnsi="宋体" w:eastAsia="宋体" w:cs="宋体"/>
                <w:color w:val="000000" w:themeColor="text1"/>
                <w:sz w:val="21"/>
                <w:szCs w:val="21"/>
                <w:highlight w:val="none"/>
                <w:lang w:val="en-US" w:eastAsia="zh-CN"/>
                <w14:textFill>
                  <w14:solidFill>
                    <w14:schemeClr w14:val="tx1"/>
                  </w14:solidFill>
                </w14:textFill>
              </w:rPr>
              <w:t>处理</w:t>
            </w:r>
            <w:r>
              <w:rPr>
                <w:rFonts w:ascii="宋体" w:hAnsi="宋体" w:eastAsia="宋体" w:cs="宋体"/>
                <w:color w:val="000000" w:themeColor="text1"/>
                <w:sz w:val="21"/>
                <w:szCs w:val="21"/>
                <w:highlight w:val="none"/>
                <w14:textFill>
                  <w14:solidFill>
                    <w14:schemeClr w14:val="tx1"/>
                  </w14:solidFill>
                </w14:textFill>
              </w:rPr>
              <w:t>。</w:t>
            </w:r>
          </w:p>
          <w:p w14:paraId="4F86E8FB">
            <w:pPr>
              <w:keepNext w:val="0"/>
              <w:keepLines w:val="0"/>
              <w:widowControl/>
              <w:suppressLineNumbers w:val="0"/>
              <w:jc w:val="left"/>
              <w:textAlignment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4.气杆升降调节行程≥85mm，符合国家家具安全标准。</w:t>
            </w:r>
          </w:p>
          <w:p w14:paraId="4B2EF9A7">
            <w:pPr>
              <w:keepNext w:val="0"/>
              <w:keepLines w:val="0"/>
              <w:widowControl/>
              <w:suppressLineNumbers w:val="0"/>
              <w:jc w:val="left"/>
              <w:textAlignment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5.支撑脚轮采用直径≥320mm尼龙五星脚；配置直径≥Φ50mmPU静音刹车轮</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ascii="宋体" w:hAnsi="宋体" w:eastAsia="宋体" w:cs="宋体"/>
                <w:color w:val="000000" w:themeColor="text1"/>
                <w:sz w:val="21"/>
                <w:szCs w:val="21"/>
                <w:highlight w:val="none"/>
                <w14:textFill>
                  <w14:solidFill>
                    <w14:schemeClr w14:val="tx1"/>
                  </w14:solidFill>
                </w14:textFill>
              </w:rPr>
              <w:t>带锁止功能。</w:t>
            </w:r>
          </w:p>
          <w:p w14:paraId="155C7AF3">
            <w:pPr>
              <w:keepNext w:val="0"/>
              <w:keepLines w:val="0"/>
              <w:widowControl/>
              <w:suppressLineNumbers w:val="0"/>
              <w:jc w:val="left"/>
              <w:textAlignment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r>
              <w:rPr>
                <w:rFonts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整装</w:t>
            </w:r>
            <w:r>
              <w:rPr>
                <w:rFonts w:hint="eastAsia" w:ascii="宋体" w:hAnsi="宋体" w:eastAsia="宋体" w:cs="宋体"/>
                <w:color w:val="000000" w:themeColor="text1"/>
                <w:sz w:val="21"/>
                <w:szCs w:val="21"/>
                <w:highlight w:val="none"/>
                <w:lang w:val="en-US" w:eastAsia="zh-CN"/>
                <w14:textFill>
                  <w14:solidFill>
                    <w14:schemeClr w14:val="tx1"/>
                  </w14:solidFill>
                </w14:textFill>
              </w:rPr>
              <w:t>质量、环保等</w:t>
            </w:r>
            <w:r>
              <w:rPr>
                <w:rFonts w:hint="eastAsia" w:ascii="宋体" w:hAnsi="宋体" w:eastAsia="宋体" w:cs="宋体"/>
                <w:color w:val="000000" w:themeColor="text1"/>
                <w:sz w:val="21"/>
                <w:szCs w:val="21"/>
                <w:highlight w:val="none"/>
                <w14:textFill>
                  <w14:solidFill>
                    <w14:schemeClr w14:val="tx1"/>
                  </w14:solidFill>
                </w14:textFill>
              </w:rPr>
              <w:t>符合国家</w:t>
            </w:r>
            <w:r>
              <w:rPr>
                <w:rFonts w:hint="eastAsia" w:ascii="宋体" w:hAnsi="宋体" w:eastAsia="宋体" w:cs="宋体"/>
                <w:color w:val="000000" w:themeColor="text1"/>
                <w:sz w:val="21"/>
                <w:szCs w:val="21"/>
                <w:highlight w:val="none"/>
                <w:lang w:val="en-US" w:eastAsia="zh-CN"/>
                <w14:textFill>
                  <w14:solidFill>
                    <w14:schemeClr w14:val="tx1"/>
                  </w14:solidFill>
                </w14:textFill>
              </w:rPr>
              <w:t>相关</w:t>
            </w:r>
            <w:r>
              <w:rPr>
                <w:rFonts w:hint="eastAsia" w:ascii="宋体" w:hAnsi="宋体" w:eastAsia="宋体" w:cs="宋体"/>
                <w:color w:val="000000" w:themeColor="text1"/>
                <w:sz w:val="21"/>
                <w:szCs w:val="21"/>
                <w:highlight w:val="none"/>
                <w14:textFill>
                  <w14:solidFill>
                    <w14:schemeClr w14:val="tx1"/>
                  </w14:solidFill>
                </w14:textFill>
              </w:rPr>
              <w:t>标准要求</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tc>
        <w:tc>
          <w:tcPr>
            <w:tcW w:w="750" w:type="dxa"/>
            <w:vAlign w:val="center"/>
          </w:tcPr>
          <w:p w14:paraId="37CF40AC">
            <w:pPr>
              <w:keepNext w:val="0"/>
              <w:keepLines w:val="0"/>
              <w:widowControl/>
              <w:suppressLineNumbers w:val="0"/>
              <w:jc w:val="center"/>
              <w:textAlignment w:val="center"/>
              <w:rPr>
                <w:rFonts w:hint="default"/>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48</w:t>
            </w:r>
          </w:p>
        </w:tc>
        <w:tc>
          <w:tcPr>
            <w:tcW w:w="671" w:type="dxa"/>
            <w:vAlign w:val="center"/>
          </w:tcPr>
          <w:p w14:paraId="48BDF674">
            <w:pPr>
              <w:keepNext w:val="0"/>
              <w:keepLines w:val="0"/>
              <w:widowControl/>
              <w:suppressLineNumbers w:val="0"/>
              <w:jc w:val="center"/>
              <w:textAlignment w:val="center"/>
              <w:rPr>
                <w:rFonts w:hint="default"/>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套</w:t>
            </w:r>
          </w:p>
        </w:tc>
      </w:tr>
      <w:tr w14:paraId="5692F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1" w:type="dxa"/>
            <w:vAlign w:val="center"/>
          </w:tcPr>
          <w:p w14:paraId="15903A28">
            <w:pPr>
              <w:keepNext w:val="0"/>
              <w:keepLines w:val="0"/>
              <w:widowControl/>
              <w:suppressLineNumbers w:val="0"/>
              <w:jc w:val="center"/>
              <w:textAlignment w:val="center"/>
              <w:rPr>
                <w:rFonts w:hint="eastAsia"/>
                <w:b/>
                <w:bCs/>
                <w:color w:val="000000" w:themeColor="text1"/>
                <w:sz w:val="21"/>
                <w:szCs w:val="21"/>
                <w:highlight w:val="none"/>
                <w:vertAlign w:val="baseline"/>
                <w:lang w:val="en-US" w:eastAsia="zh-CN"/>
                <w14:textFill>
                  <w14:solidFill>
                    <w14:schemeClr w14:val="tx1"/>
                  </w14:solidFill>
                </w14:textFill>
              </w:rPr>
            </w:pPr>
            <w:r>
              <w:rPr>
                <w:rFonts w:hint="eastAsia" w:ascii="宋体" w:hAnsi="宋体" w:cs="宋体"/>
                <w:b/>
                <w:bCs/>
                <w:i w:val="0"/>
                <w:iCs w:val="0"/>
                <w:color w:val="000000" w:themeColor="text1"/>
                <w:kern w:val="0"/>
                <w:sz w:val="21"/>
                <w:szCs w:val="21"/>
                <w:highlight w:val="none"/>
                <w:u w:val="none"/>
                <w:lang w:val="en-US" w:eastAsia="zh-CN" w:bidi="ar"/>
                <w14:textFill>
                  <w14:solidFill>
                    <w14:schemeClr w14:val="tx1"/>
                  </w14:solidFill>
                </w14:textFill>
              </w:rPr>
              <w:t>5</w:t>
            </w:r>
          </w:p>
        </w:tc>
        <w:tc>
          <w:tcPr>
            <w:tcW w:w="1199" w:type="dxa"/>
            <w:vAlign w:val="center"/>
          </w:tcPr>
          <w:p w14:paraId="36A384ED">
            <w:pPr>
              <w:keepNext w:val="0"/>
              <w:keepLines w:val="0"/>
              <w:widowControl/>
              <w:suppressLineNumbers w:val="0"/>
              <w:jc w:val="center"/>
              <w:textAlignment w:val="center"/>
              <w:rPr>
                <w:rFonts w:hint="default"/>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教师整理柜</w:t>
            </w:r>
          </w:p>
        </w:tc>
        <w:tc>
          <w:tcPr>
            <w:tcW w:w="6375" w:type="dxa"/>
            <w:vAlign w:val="center"/>
          </w:tcPr>
          <w:p w14:paraId="538835FB">
            <w:pPr>
              <w:keepNext w:val="0"/>
              <w:keepLines w:val="0"/>
              <w:widowControl/>
              <w:suppressLineNumbers w:val="0"/>
              <w:jc w:val="left"/>
              <w:textAlignment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1.整体结构</w:t>
            </w:r>
            <w:r>
              <w:rPr>
                <w:rFonts w:hint="eastAsia" w:ascii="宋体" w:hAnsi="宋体" w:eastAsia="宋体" w:cs="宋体"/>
                <w:color w:val="000000" w:themeColor="text1"/>
                <w:sz w:val="21"/>
                <w:szCs w:val="21"/>
                <w:highlight w:val="none"/>
                <w:lang w:val="en-US" w:eastAsia="zh-CN"/>
                <w14:textFill>
                  <w14:solidFill>
                    <w14:schemeClr w14:val="tx1"/>
                  </w14:solidFill>
                </w14:textFill>
              </w:rPr>
              <w:t>为</w:t>
            </w:r>
            <w:r>
              <w:rPr>
                <w:rFonts w:ascii="宋体" w:hAnsi="宋体" w:eastAsia="宋体" w:cs="宋体"/>
                <w:color w:val="000000" w:themeColor="text1"/>
                <w:sz w:val="21"/>
                <w:szCs w:val="21"/>
                <w:highlight w:val="none"/>
                <w14:textFill>
                  <w14:solidFill>
                    <w14:schemeClr w14:val="tx1"/>
                  </w14:solidFill>
                </w14:textFill>
              </w:rPr>
              <w:t>三门布局，左侧两门为上玻璃门、下钢制门结构，右侧为通体钢制门；柜体方正平稳，无明显翘曲变形。</w:t>
            </w:r>
          </w:p>
          <w:p w14:paraId="38365AE6">
            <w:pPr>
              <w:keepNext w:val="0"/>
              <w:keepLines w:val="0"/>
              <w:widowControl/>
              <w:suppressLineNumbers w:val="0"/>
              <w:jc w:val="left"/>
              <w:textAlignment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2.外形尺寸</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(约)</w:t>
            </w:r>
            <w:r>
              <w:rPr>
                <w:rFonts w:ascii="宋体" w:hAnsi="宋体" w:eastAsia="宋体" w:cs="宋体"/>
                <w:color w:val="000000" w:themeColor="text1"/>
                <w:sz w:val="21"/>
                <w:szCs w:val="21"/>
                <w:highlight w:val="none"/>
                <w14:textFill>
                  <w14:solidFill>
                    <w14:schemeClr w14:val="tx1"/>
                  </w14:solidFill>
                </w14:textFill>
              </w:rPr>
              <w:t>：高2000mm×宽650mm×深400mm。</w:t>
            </w:r>
          </w:p>
          <w:p w14:paraId="1B619C72">
            <w:pPr>
              <w:keepNext w:val="0"/>
              <w:keepLines w:val="0"/>
              <w:widowControl/>
              <w:suppressLineNumbers w:val="0"/>
              <w:jc w:val="left"/>
              <w:textAlignment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3.柜体侧板、门板、顶板、底板均采用度≥0.8mm</w:t>
            </w:r>
            <w:r>
              <w:rPr>
                <w:rFonts w:hint="eastAsia" w:ascii="宋体" w:hAnsi="宋体" w:eastAsia="宋体" w:cs="宋体"/>
                <w:color w:val="000000" w:themeColor="text1"/>
                <w:sz w:val="21"/>
                <w:szCs w:val="21"/>
                <w:highlight w:val="none"/>
                <w:lang w:val="en-US" w:eastAsia="zh-CN"/>
                <w14:textFill>
                  <w14:solidFill>
                    <w14:schemeClr w14:val="tx1"/>
                  </w14:solidFill>
                </w14:textFill>
              </w:rPr>
              <w:t>厚</w:t>
            </w:r>
            <w:r>
              <w:rPr>
                <w:rFonts w:ascii="宋体" w:hAnsi="宋体" w:eastAsia="宋体" w:cs="宋体"/>
                <w:color w:val="000000" w:themeColor="text1"/>
                <w:sz w:val="21"/>
                <w:szCs w:val="21"/>
                <w:highlight w:val="none"/>
                <w14:textFill>
                  <w14:solidFill>
                    <w14:schemeClr w14:val="tx1"/>
                  </w14:solidFill>
                </w14:textFill>
              </w:rPr>
              <w:t>冷轧钢板；背板采用厚度≥0.6mm冷轧钢板。</w:t>
            </w:r>
          </w:p>
          <w:p w14:paraId="79B2FD58">
            <w:pPr>
              <w:keepNext w:val="0"/>
              <w:keepLines w:val="0"/>
              <w:widowControl/>
              <w:suppressLineNumbers w:val="0"/>
              <w:jc w:val="left"/>
              <w:textAlignment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4.门体玻璃门采用厚度≥4mm的钢化玻璃，玻璃边角钝化处理，无锐边、毛刺。</w:t>
            </w:r>
          </w:p>
          <w:p w14:paraId="53F01262">
            <w:pPr>
              <w:keepNext w:val="0"/>
              <w:keepLines w:val="0"/>
              <w:widowControl/>
              <w:suppressLineNumbers w:val="0"/>
              <w:jc w:val="left"/>
              <w:textAlignment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5.内部配置</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ascii="宋体" w:hAnsi="宋体" w:eastAsia="宋体" w:cs="宋体"/>
                <w:color w:val="000000" w:themeColor="text1"/>
                <w:sz w:val="21"/>
                <w:szCs w:val="21"/>
                <w:highlight w:val="none"/>
                <w14:textFill>
                  <w14:solidFill>
                    <w14:schemeClr w14:val="tx1"/>
                  </w14:solidFill>
                </w14:textFill>
              </w:rPr>
              <w:t>2块可调节钢制搁板，搁板厚度与柜体主体匹配</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ascii="宋体" w:hAnsi="宋体" w:eastAsia="宋体" w:cs="宋体"/>
                <w:color w:val="000000" w:themeColor="text1"/>
                <w:sz w:val="21"/>
                <w:szCs w:val="21"/>
                <w:highlight w:val="none"/>
                <w14:textFill>
                  <w14:solidFill>
                    <w14:schemeClr w14:val="tx1"/>
                  </w14:solidFill>
                </w14:textFill>
              </w:rPr>
              <w:t>单块搁板均匀承重≥20kg。</w:t>
            </w:r>
          </w:p>
          <w:p w14:paraId="7E351E52">
            <w:pPr>
              <w:keepNext w:val="0"/>
              <w:keepLines w:val="0"/>
              <w:widowControl/>
              <w:suppressLineNumbers w:val="0"/>
              <w:jc w:val="left"/>
              <w:textAlignment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6.每扇门配置三连杆锁具，锁具互开率≤1%</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ascii="宋体" w:hAnsi="宋体" w:eastAsia="宋体" w:cs="宋体"/>
                <w:color w:val="000000" w:themeColor="text1"/>
                <w:sz w:val="21"/>
                <w:szCs w:val="21"/>
                <w:highlight w:val="none"/>
                <w14:textFill>
                  <w14:solidFill>
                    <w14:schemeClr w14:val="tx1"/>
                  </w14:solidFill>
                </w14:textFill>
              </w:rPr>
              <w:t>每柜配备原装钥匙</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ascii="宋体" w:hAnsi="宋体" w:eastAsia="宋体" w:cs="宋体"/>
                <w:color w:val="000000" w:themeColor="text1"/>
                <w:sz w:val="21"/>
                <w:szCs w:val="21"/>
                <w:highlight w:val="none"/>
                <w14:textFill>
                  <w14:solidFill>
                    <w14:schemeClr w14:val="tx1"/>
                  </w14:solidFill>
                </w14:textFill>
              </w:rPr>
              <w:t>2把，锁具开启闭合顺畅。</w:t>
            </w:r>
          </w:p>
          <w:p w14:paraId="31A9CC39">
            <w:pPr>
              <w:keepNext w:val="0"/>
              <w:keepLines w:val="0"/>
              <w:widowControl/>
              <w:suppressLineNumbers w:val="0"/>
              <w:jc w:val="left"/>
              <w:textAlignment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7.柜体金属表面</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静电环氧粉末喷涂处理，膜厚≥60μm</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ascii="宋体" w:hAnsi="宋体" w:eastAsia="宋体" w:cs="宋体"/>
                <w:color w:val="000000" w:themeColor="text1"/>
                <w:sz w:val="21"/>
                <w:szCs w:val="21"/>
                <w:highlight w:val="none"/>
                <w14:textFill>
                  <w14:solidFill>
                    <w14:schemeClr w14:val="tx1"/>
                  </w14:solidFill>
                </w14:textFill>
              </w:rPr>
              <w:t>所有外露边角均做圆角钝化处理，无锐边、尖角</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ascii="宋体" w:hAnsi="宋体" w:eastAsia="宋体" w:cs="宋体"/>
                <w:color w:val="000000" w:themeColor="text1"/>
                <w:sz w:val="21"/>
                <w:szCs w:val="21"/>
                <w:highlight w:val="none"/>
                <w14:textFill>
                  <w14:solidFill>
                    <w14:schemeClr w14:val="tx1"/>
                  </w14:solidFill>
                </w14:textFill>
              </w:rPr>
              <w:t>表面平整光滑，无焊瘤、虚焊、漏焊</w:t>
            </w:r>
            <w:r>
              <w:rPr>
                <w:rFonts w:hint="eastAsia" w:ascii="宋体" w:hAnsi="宋体" w:eastAsia="宋体" w:cs="宋体"/>
                <w:color w:val="000000" w:themeColor="text1"/>
                <w:sz w:val="21"/>
                <w:szCs w:val="21"/>
                <w:highlight w:val="none"/>
                <w:lang w:val="en-US" w:eastAsia="zh-CN"/>
                <w14:textFill>
                  <w14:solidFill>
                    <w14:schemeClr w14:val="tx1"/>
                  </w14:solidFill>
                </w14:textFill>
              </w:rPr>
              <w:t>等</w:t>
            </w:r>
            <w:r>
              <w:rPr>
                <w:rFonts w:ascii="宋体" w:hAnsi="宋体" w:eastAsia="宋体" w:cs="宋体"/>
                <w:color w:val="000000" w:themeColor="text1"/>
                <w:sz w:val="21"/>
                <w:szCs w:val="21"/>
                <w:highlight w:val="none"/>
                <w14:textFill>
                  <w14:solidFill>
                    <w14:schemeClr w14:val="tx1"/>
                  </w14:solidFill>
                </w14:textFill>
              </w:rPr>
              <w:t>缺陷。</w:t>
            </w:r>
          </w:p>
          <w:p w14:paraId="7790A81E">
            <w:pPr>
              <w:keepNext w:val="0"/>
              <w:keepLines w:val="0"/>
              <w:widowControl/>
              <w:suppressLineNumbers w:val="0"/>
              <w:jc w:val="left"/>
              <w:textAlignment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w:t>
            </w:r>
            <w:r>
              <w:rPr>
                <w:rFonts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整装</w:t>
            </w:r>
            <w:r>
              <w:rPr>
                <w:rFonts w:hint="eastAsia" w:ascii="宋体" w:hAnsi="宋体" w:eastAsia="宋体" w:cs="宋体"/>
                <w:color w:val="000000" w:themeColor="text1"/>
                <w:sz w:val="21"/>
                <w:szCs w:val="21"/>
                <w:highlight w:val="none"/>
                <w:lang w:val="en-US" w:eastAsia="zh-CN"/>
                <w14:textFill>
                  <w14:solidFill>
                    <w14:schemeClr w14:val="tx1"/>
                  </w14:solidFill>
                </w14:textFill>
              </w:rPr>
              <w:t>质量、环保等</w:t>
            </w:r>
            <w:r>
              <w:rPr>
                <w:rFonts w:hint="eastAsia" w:ascii="宋体" w:hAnsi="宋体" w:eastAsia="宋体" w:cs="宋体"/>
                <w:color w:val="000000" w:themeColor="text1"/>
                <w:sz w:val="21"/>
                <w:szCs w:val="21"/>
                <w:highlight w:val="none"/>
                <w14:textFill>
                  <w14:solidFill>
                    <w14:schemeClr w14:val="tx1"/>
                  </w14:solidFill>
                </w14:textFill>
              </w:rPr>
              <w:t>符合国家</w:t>
            </w:r>
            <w:r>
              <w:rPr>
                <w:rFonts w:hint="eastAsia" w:ascii="宋体" w:hAnsi="宋体" w:eastAsia="宋体" w:cs="宋体"/>
                <w:color w:val="000000" w:themeColor="text1"/>
                <w:sz w:val="21"/>
                <w:szCs w:val="21"/>
                <w:highlight w:val="none"/>
                <w:lang w:val="en-US" w:eastAsia="zh-CN"/>
                <w14:textFill>
                  <w14:solidFill>
                    <w14:schemeClr w14:val="tx1"/>
                  </w14:solidFill>
                </w14:textFill>
              </w:rPr>
              <w:t>相关</w:t>
            </w:r>
            <w:r>
              <w:rPr>
                <w:rFonts w:hint="eastAsia" w:ascii="宋体" w:hAnsi="宋体" w:eastAsia="宋体" w:cs="宋体"/>
                <w:color w:val="000000" w:themeColor="text1"/>
                <w:sz w:val="21"/>
                <w:szCs w:val="21"/>
                <w:highlight w:val="none"/>
                <w14:textFill>
                  <w14:solidFill>
                    <w14:schemeClr w14:val="tx1"/>
                  </w14:solidFill>
                </w14:textFill>
              </w:rPr>
              <w:t>标准要求</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tc>
        <w:tc>
          <w:tcPr>
            <w:tcW w:w="750" w:type="dxa"/>
            <w:vAlign w:val="center"/>
          </w:tcPr>
          <w:p w14:paraId="4EEE84CA">
            <w:pPr>
              <w:keepNext w:val="0"/>
              <w:keepLines w:val="0"/>
              <w:widowControl/>
              <w:suppressLineNumbers w:val="0"/>
              <w:jc w:val="center"/>
              <w:textAlignment w:val="center"/>
              <w:rPr>
                <w:rFonts w:hint="default"/>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38</w:t>
            </w:r>
          </w:p>
        </w:tc>
        <w:tc>
          <w:tcPr>
            <w:tcW w:w="671" w:type="dxa"/>
            <w:vAlign w:val="center"/>
          </w:tcPr>
          <w:p w14:paraId="486EC096">
            <w:pPr>
              <w:keepNext w:val="0"/>
              <w:keepLines w:val="0"/>
              <w:widowControl/>
              <w:suppressLineNumbers w:val="0"/>
              <w:jc w:val="center"/>
              <w:textAlignment w:val="center"/>
              <w:rPr>
                <w:rFonts w:hint="default"/>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套</w:t>
            </w:r>
          </w:p>
        </w:tc>
      </w:tr>
      <w:tr w14:paraId="4A478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1" w:type="dxa"/>
            <w:vAlign w:val="center"/>
          </w:tcPr>
          <w:p w14:paraId="5B2C30D1">
            <w:pPr>
              <w:keepNext w:val="0"/>
              <w:keepLines w:val="0"/>
              <w:widowControl/>
              <w:suppressLineNumbers w:val="0"/>
              <w:jc w:val="center"/>
              <w:textAlignment w:val="center"/>
              <w:rPr>
                <w:rFonts w:hint="default"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b/>
                <w:bCs/>
                <w:i w:val="0"/>
                <w:iCs w:val="0"/>
                <w:color w:val="000000" w:themeColor="text1"/>
                <w:kern w:val="0"/>
                <w:sz w:val="21"/>
                <w:szCs w:val="21"/>
                <w:highlight w:val="none"/>
                <w:u w:val="none"/>
                <w:lang w:val="en-US" w:eastAsia="zh-CN" w:bidi="ar"/>
                <w14:textFill>
                  <w14:solidFill>
                    <w14:schemeClr w14:val="tx1"/>
                  </w14:solidFill>
                </w14:textFill>
              </w:rPr>
              <w:t>6</w:t>
            </w:r>
          </w:p>
        </w:tc>
        <w:tc>
          <w:tcPr>
            <w:tcW w:w="1199" w:type="dxa"/>
            <w:vAlign w:val="center"/>
          </w:tcPr>
          <w:p w14:paraId="44602EE0">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讲桌</w:t>
            </w:r>
          </w:p>
        </w:tc>
        <w:tc>
          <w:tcPr>
            <w:tcW w:w="6375" w:type="dxa"/>
            <w:vAlign w:val="center"/>
          </w:tcPr>
          <w:p w14:paraId="6EF6C23D">
            <w:pPr>
              <w:keepNext w:val="0"/>
              <w:keepLines w:val="0"/>
              <w:widowControl/>
              <w:suppressLineNumbers w:val="0"/>
              <w:jc w:val="left"/>
              <w:textAlignment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1.规格尺寸</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(约)</w:t>
            </w:r>
            <w:r>
              <w:rPr>
                <w:rFonts w:ascii="宋体" w:hAnsi="宋体" w:eastAsia="宋体" w:cs="宋体"/>
                <w:color w:val="000000" w:themeColor="text1"/>
                <w:sz w:val="21"/>
                <w:szCs w:val="21"/>
                <w:highlight w:val="none"/>
                <w14:textFill>
                  <w14:solidFill>
                    <w14:schemeClr w14:val="tx1"/>
                  </w14:solidFill>
                </w14:textFill>
              </w:rPr>
              <w:t>：长1200mm×宽600mm×高850mm，适配普通教室站立授课场景。</w:t>
            </w:r>
          </w:p>
          <w:p w14:paraId="5D71C55F">
            <w:pPr>
              <w:keepNext w:val="0"/>
              <w:keepLines w:val="0"/>
              <w:widowControl/>
              <w:suppressLineNumbers w:val="0"/>
              <w:jc w:val="left"/>
              <w:textAlignment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2.落地式封闭式柜体结构，台面平整，柜体设单/双开门储物空间，内部配置活动层板</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ascii="宋体" w:hAnsi="宋体" w:eastAsia="宋体" w:cs="宋体"/>
                <w:color w:val="000000" w:themeColor="text1"/>
                <w:sz w:val="21"/>
                <w:szCs w:val="21"/>
                <w:highlight w:val="none"/>
                <w14:textFill>
                  <w14:solidFill>
                    <w14:schemeClr w14:val="tx1"/>
                  </w14:solidFill>
                </w14:textFill>
              </w:rPr>
              <w:t>整体结构稳固，垂直静载荷满足日常教学使用要求。</w:t>
            </w:r>
          </w:p>
          <w:p w14:paraId="0200DFDF">
            <w:pPr>
              <w:keepNext w:val="0"/>
              <w:keepLines w:val="0"/>
              <w:widowControl/>
              <w:suppressLineNumbers w:val="0"/>
              <w:jc w:val="left"/>
              <w:textAlignment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3.台面采用</w:t>
            </w:r>
            <w:r>
              <w:rPr>
                <w:rFonts w:ascii="宋体" w:hAnsi="宋体" w:eastAsia="宋体" w:cs="宋体"/>
                <w:color w:val="000000" w:themeColor="text1"/>
                <w:sz w:val="21"/>
                <w:szCs w:val="21"/>
                <w:highlight w:val="none"/>
                <w:lang w:val="en-US" w:eastAsia="zh-CN"/>
                <w14:textFill>
                  <w14:solidFill>
                    <w14:schemeClr w14:val="tx1"/>
                  </w14:solidFill>
                </w14:textFill>
              </w:rPr>
              <w:t>E</w:t>
            </w:r>
            <w:r>
              <w:rPr>
                <w:rFonts w:hint="eastAsia" w:ascii="宋体" w:hAnsi="宋体" w:eastAsia="宋体" w:cs="宋体"/>
                <w:color w:val="000000" w:themeColor="text1"/>
                <w:sz w:val="21"/>
                <w:szCs w:val="21"/>
                <w:highlight w:val="none"/>
                <w:lang w:val="en-US" w:eastAsia="zh-CN"/>
                <w14:textFill>
                  <w14:solidFill>
                    <w14:schemeClr w14:val="tx1"/>
                  </w14:solidFill>
                </w14:textFill>
              </w:rPr>
              <w:t>0</w:t>
            </w:r>
            <w:r>
              <w:rPr>
                <w:rFonts w:ascii="宋体" w:hAnsi="宋体" w:eastAsia="宋体" w:cs="宋体"/>
                <w:color w:val="000000" w:themeColor="text1"/>
                <w:sz w:val="21"/>
                <w:szCs w:val="21"/>
                <w:highlight w:val="none"/>
                <w:lang w:val="en-US" w:eastAsia="zh-CN"/>
                <w14:textFill>
                  <w14:solidFill>
                    <w14:schemeClr w14:val="tx1"/>
                  </w14:solidFill>
                </w14:textFill>
              </w:rPr>
              <w:t>级刨花板</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ascii="宋体" w:hAnsi="宋体" w:eastAsia="宋体" w:cs="宋体"/>
                <w:color w:val="000000" w:themeColor="text1"/>
                <w:sz w:val="21"/>
                <w:szCs w:val="21"/>
                <w:highlight w:val="none"/>
                <w:lang w:val="en-US" w:eastAsia="zh-CN"/>
                <w14:textFill>
                  <w14:solidFill>
                    <w14:schemeClr w14:val="tx1"/>
                  </w14:solidFill>
                </w14:textFill>
              </w:rPr>
              <w:t>符合GB/T 39600-2021，甲醛释放量≤0.050mg/m³</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ascii="宋体" w:hAnsi="宋体" w:eastAsia="宋体" w:cs="宋体"/>
                <w:color w:val="000000" w:themeColor="text1"/>
                <w:sz w:val="21"/>
                <w:szCs w:val="21"/>
                <w:highlight w:val="none"/>
                <w:lang w:val="en-US" w:eastAsia="zh-CN"/>
                <w14:textFill>
                  <w14:solidFill>
                    <w14:schemeClr w14:val="tx1"/>
                  </w14:solidFill>
                </w14:textFill>
              </w:rPr>
              <w:t>，厚度≥25mm</w:t>
            </w:r>
            <w:r>
              <w:rPr>
                <w:rFonts w:ascii="宋体" w:hAnsi="宋体" w:eastAsia="宋体" w:cs="宋体"/>
                <w:color w:val="000000" w:themeColor="text1"/>
                <w:sz w:val="21"/>
                <w:szCs w:val="21"/>
                <w:highlight w:val="none"/>
                <w14:textFill>
                  <w14:solidFill>
                    <w14:schemeClr w14:val="tx1"/>
                  </w14:solidFill>
                </w14:textFill>
              </w:rPr>
              <w:t>；饰面为三聚氰胺浸渍纸；四周采用同色PVC或ABS封边。</w:t>
            </w:r>
          </w:p>
          <w:p w14:paraId="69384093">
            <w:pPr>
              <w:keepNext w:val="0"/>
              <w:keepLines w:val="0"/>
              <w:widowControl/>
              <w:suppressLineNumbers w:val="0"/>
              <w:jc w:val="left"/>
              <w:textAlignment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4.柜体侧板、门板、层板采用厚</w:t>
            </w:r>
            <w:r>
              <w:rPr>
                <w:rFonts w:hint="eastAsia" w:ascii="宋体" w:hAnsi="宋体" w:eastAsia="宋体" w:cs="宋体"/>
                <w:color w:val="000000" w:themeColor="text1"/>
                <w:sz w:val="21"/>
                <w:szCs w:val="21"/>
                <w:highlight w:val="none"/>
                <w:lang w:val="en-US" w:eastAsia="zh-CN"/>
                <w14:textFill>
                  <w14:solidFill>
                    <w14:schemeClr w14:val="tx1"/>
                  </w14:solidFill>
                </w14:textFill>
              </w:rPr>
              <w:t>度</w:t>
            </w:r>
            <w:r>
              <w:rPr>
                <w:rFonts w:ascii="宋体" w:hAnsi="宋体" w:eastAsia="宋体" w:cs="宋体"/>
                <w:color w:val="000000" w:themeColor="text1"/>
                <w:sz w:val="21"/>
                <w:szCs w:val="21"/>
                <w:highlight w:val="none"/>
                <w14:textFill>
                  <w14:solidFill>
                    <w14:schemeClr w14:val="tx1"/>
                  </w14:solidFill>
                </w14:textFill>
              </w:rPr>
              <w:t>≥16mm三聚氰胺浸渍纸饰面人造板</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ascii="宋体" w:hAnsi="宋体" w:eastAsia="宋体" w:cs="宋体"/>
                <w:color w:val="000000" w:themeColor="text1"/>
                <w:sz w:val="21"/>
                <w:szCs w:val="21"/>
                <w:highlight w:val="none"/>
                <w14:textFill>
                  <w14:solidFill>
                    <w14:schemeClr w14:val="tx1"/>
                  </w14:solidFill>
                </w14:textFill>
              </w:rPr>
              <w:t>所有板材外露截面采用厚</w:t>
            </w:r>
            <w:r>
              <w:rPr>
                <w:rFonts w:hint="eastAsia" w:ascii="宋体" w:hAnsi="宋体" w:eastAsia="宋体" w:cs="宋体"/>
                <w:color w:val="000000" w:themeColor="text1"/>
                <w:sz w:val="21"/>
                <w:szCs w:val="21"/>
                <w:highlight w:val="none"/>
                <w:lang w:val="en-US" w:eastAsia="zh-CN"/>
                <w14:textFill>
                  <w14:solidFill>
                    <w14:schemeClr w14:val="tx1"/>
                  </w14:solidFill>
                </w14:textFill>
              </w:rPr>
              <w:t>度</w:t>
            </w:r>
            <w:r>
              <w:rPr>
                <w:rFonts w:ascii="宋体" w:hAnsi="宋体" w:eastAsia="宋体" w:cs="宋体"/>
                <w:color w:val="000000" w:themeColor="text1"/>
                <w:sz w:val="21"/>
                <w:szCs w:val="21"/>
                <w:highlight w:val="none"/>
                <w14:textFill>
                  <w14:solidFill>
                    <w14:schemeClr w14:val="tx1"/>
                  </w14:solidFill>
                </w14:textFill>
              </w:rPr>
              <w:t>≥1.0mm同色PVC或ABS封边。</w:t>
            </w:r>
          </w:p>
          <w:p w14:paraId="1A068C98">
            <w:pPr>
              <w:keepNext w:val="0"/>
              <w:keepLines w:val="0"/>
              <w:widowControl/>
              <w:suppressLineNumbers w:val="0"/>
              <w:jc w:val="left"/>
              <w:textAlignment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ascii="宋体" w:hAnsi="宋体" w:eastAsia="宋体" w:cs="宋体"/>
                <w:color w:val="000000" w:themeColor="text1"/>
                <w:sz w:val="21"/>
                <w:szCs w:val="21"/>
                <w:highlight w:val="none"/>
                <w14:textFill>
                  <w14:solidFill>
                    <w14:schemeClr w14:val="tx1"/>
                  </w14:solidFill>
                </w14:textFill>
              </w:rPr>
              <w:t>.柜门配置阻尼铰链，开启闭合静音无卡顿</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ascii="宋体" w:hAnsi="宋体" w:eastAsia="宋体" w:cs="宋体"/>
                <w:color w:val="000000" w:themeColor="text1"/>
                <w:sz w:val="21"/>
                <w:szCs w:val="21"/>
                <w:highlight w:val="none"/>
                <w14:textFill>
                  <w14:solidFill>
                    <w14:schemeClr w14:val="tx1"/>
                  </w14:solidFill>
                </w14:textFill>
              </w:rPr>
              <w:t>五金件</w:t>
            </w:r>
            <w:r>
              <w:rPr>
                <w:rFonts w:hint="eastAsia" w:ascii="宋体" w:hAnsi="宋体" w:eastAsia="宋体" w:cs="宋体"/>
                <w:color w:val="000000" w:themeColor="text1"/>
                <w:sz w:val="21"/>
                <w:szCs w:val="21"/>
                <w:highlight w:val="none"/>
                <w:lang w:val="en-US" w:eastAsia="zh-CN"/>
                <w14:textFill>
                  <w14:solidFill>
                    <w14:schemeClr w14:val="tx1"/>
                  </w14:solidFill>
                </w14:textFill>
              </w:rPr>
              <w:t>表面</w:t>
            </w:r>
            <w:r>
              <w:rPr>
                <w:rFonts w:ascii="宋体" w:hAnsi="宋体" w:eastAsia="宋体" w:cs="宋体"/>
                <w:color w:val="000000" w:themeColor="text1"/>
                <w:sz w:val="21"/>
                <w:szCs w:val="21"/>
                <w:highlight w:val="none"/>
                <w14:textFill>
                  <w14:solidFill>
                    <w14:schemeClr w14:val="tx1"/>
                  </w14:solidFill>
                </w14:textFill>
              </w:rPr>
              <w:t>经防锈防腐处理。</w:t>
            </w:r>
          </w:p>
          <w:p w14:paraId="7D86A888">
            <w:pPr>
              <w:keepNext w:val="0"/>
              <w:keepLines w:val="0"/>
              <w:widowControl/>
              <w:suppressLineNumbers w:val="0"/>
              <w:jc w:val="left"/>
              <w:textAlignment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7.</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讲桌</w:t>
            </w:r>
            <w:r>
              <w:rPr>
                <w:rFonts w:ascii="宋体" w:hAnsi="宋体" w:eastAsia="宋体" w:cs="宋体"/>
                <w:color w:val="000000" w:themeColor="text1"/>
                <w:sz w:val="21"/>
                <w:szCs w:val="21"/>
                <w:highlight w:val="none"/>
                <w14:textFill>
                  <w14:solidFill>
                    <w14:schemeClr w14:val="tx1"/>
                  </w14:solidFill>
                </w14:textFill>
              </w:rPr>
              <w:t>所有外露边缘、棱角均做圆角倒角处理，倒角半径≥2mm</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ascii="宋体" w:hAnsi="宋体" w:eastAsia="宋体" w:cs="宋体"/>
                <w:color w:val="000000" w:themeColor="text1"/>
                <w:sz w:val="21"/>
                <w:szCs w:val="21"/>
                <w:highlight w:val="none"/>
                <w14:textFill>
                  <w14:solidFill>
                    <w14:schemeClr w14:val="tx1"/>
                  </w14:solidFill>
                </w14:textFill>
              </w:rPr>
              <w:t>整体色泽均匀，纹理清晰一致，表面无划痕、鼓泡、凹陷、色差等缺陷。</w:t>
            </w:r>
          </w:p>
          <w:p w14:paraId="1C42DC7F">
            <w:pPr>
              <w:keepNext w:val="0"/>
              <w:keepLines w:val="0"/>
              <w:widowControl/>
              <w:suppressLineNumbers w:val="0"/>
              <w:jc w:val="left"/>
              <w:textAlignment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w:t>
            </w:r>
            <w:r>
              <w:rPr>
                <w:rFonts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整装</w:t>
            </w:r>
            <w:r>
              <w:rPr>
                <w:rFonts w:hint="eastAsia" w:ascii="宋体" w:hAnsi="宋体" w:eastAsia="宋体" w:cs="宋体"/>
                <w:color w:val="000000" w:themeColor="text1"/>
                <w:sz w:val="21"/>
                <w:szCs w:val="21"/>
                <w:highlight w:val="none"/>
                <w:lang w:val="en-US" w:eastAsia="zh-CN"/>
                <w14:textFill>
                  <w14:solidFill>
                    <w14:schemeClr w14:val="tx1"/>
                  </w14:solidFill>
                </w14:textFill>
              </w:rPr>
              <w:t>质量、环保等</w:t>
            </w:r>
            <w:r>
              <w:rPr>
                <w:rFonts w:hint="eastAsia" w:ascii="宋体" w:hAnsi="宋体" w:eastAsia="宋体" w:cs="宋体"/>
                <w:color w:val="000000" w:themeColor="text1"/>
                <w:sz w:val="21"/>
                <w:szCs w:val="21"/>
                <w:highlight w:val="none"/>
                <w14:textFill>
                  <w14:solidFill>
                    <w14:schemeClr w14:val="tx1"/>
                  </w14:solidFill>
                </w14:textFill>
              </w:rPr>
              <w:t>符合国家</w:t>
            </w:r>
            <w:r>
              <w:rPr>
                <w:rFonts w:hint="eastAsia" w:ascii="宋体" w:hAnsi="宋体" w:eastAsia="宋体" w:cs="宋体"/>
                <w:color w:val="000000" w:themeColor="text1"/>
                <w:sz w:val="21"/>
                <w:szCs w:val="21"/>
                <w:highlight w:val="none"/>
                <w:lang w:val="en-US" w:eastAsia="zh-CN"/>
                <w14:textFill>
                  <w14:solidFill>
                    <w14:schemeClr w14:val="tx1"/>
                  </w14:solidFill>
                </w14:textFill>
              </w:rPr>
              <w:t>相关</w:t>
            </w:r>
            <w:r>
              <w:rPr>
                <w:rFonts w:hint="eastAsia" w:ascii="宋体" w:hAnsi="宋体" w:eastAsia="宋体" w:cs="宋体"/>
                <w:color w:val="000000" w:themeColor="text1"/>
                <w:sz w:val="21"/>
                <w:szCs w:val="21"/>
                <w:highlight w:val="none"/>
                <w14:textFill>
                  <w14:solidFill>
                    <w14:schemeClr w14:val="tx1"/>
                  </w14:solidFill>
                </w14:textFill>
              </w:rPr>
              <w:t>标准要求</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tc>
        <w:tc>
          <w:tcPr>
            <w:tcW w:w="750" w:type="dxa"/>
            <w:vAlign w:val="center"/>
          </w:tcPr>
          <w:p w14:paraId="4BCE77DA">
            <w:pPr>
              <w:keepNext w:val="0"/>
              <w:keepLines w:val="0"/>
              <w:widowControl/>
              <w:suppressLineNumbers w:val="0"/>
              <w:jc w:val="center"/>
              <w:textAlignment w:val="center"/>
              <w:rPr>
                <w:rFonts w:hint="default"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7</w:t>
            </w:r>
          </w:p>
        </w:tc>
        <w:tc>
          <w:tcPr>
            <w:tcW w:w="671" w:type="dxa"/>
            <w:vAlign w:val="center"/>
          </w:tcPr>
          <w:p w14:paraId="3F630BD5">
            <w:pPr>
              <w:keepNext w:val="0"/>
              <w:keepLines w:val="0"/>
              <w:widowControl/>
              <w:suppressLineNumbers w:val="0"/>
              <w:jc w:val="center"/>
              <w:textAlignment w:val="center"/>
              <w:rPr>
                <w:rFonts w:hint="default"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套</w:t>
            </w:r>
          </w:p>
        </w:tc>
      </w:tr>
      <w:tr w14:paraId="2827B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1" w:type="dxa"/>
            <w:vAlign w:val="center"/>
          </w:tcPr>
          <w:p w14:paraId="06831203">
            <w:pPr>
              <w:keepNext w:val="0"/>
              <w:keepLines w:val="0"/>
              <w:widowControl/>
              <w:suppressLineNumbers w:val="0"/>
              <w:jc w:val="center"/>
              <w:textAlignment w:val="cente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b/>
                <w:bCs/>
                <w:i w:val="0"/>
                <w:iCs w:val="0"/>
                <w:color w:val="000000" w:themeColor="text1"/>
                <w:kern w:val="0"/>
                <w:sz w:val="21"/>
                <w:szCs w:val="21"/>
                <w:highlight w:val="none"/>
                <w:u w:val="none"/>
                <w:lang w:val="en-US" w:eastAsia="zh-CN" w:bidi="ar"/>
                <w14:textFill>
                  <w14:solidFill>
                    <w14:schemeClr w14:val="tx1"/>
                  </w14:solidFill>
                </w14:textFill>
              </w:rPr>
              <w:t>7</w:t>
            </w:r>
          </w:p>
        </w:tc>
        <w:tc>
          <w:tcPr>
            <w:tcW w:w="1199" w:type="dxa"/>
            <w:vAlign w:val="center"/>
          </w:tcPr>
          <w:p w14:paraId="222E9EB2">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空调</w:t>
            </w:r>
          </w:p>
        </w:tc>
        <w:tc>
          <w:tcPr>
            <w:tcW w:w="6375" w:type="dxa"/>
            <w:vAlign w:val="center"/>
          </w:tcPr>
          <w:p w14:paraId="0B412335">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1.分体壁挂式冷暖型空调，匹数≥1.5匹。</w:t>
            </w:r>
          </w:p>
          <w:p w14:paraId="337A7F31">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2.≥一级能效。</w:t>
            </w:r>
          </w:p>
          <w:p w14:paraId="20724F06">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3.制冷量≥3500W；制热量≥4500W，具备电辅热功能，电辅热功率≤1100W。</w:t>
            </w:r>
          </w:p>
          <w:p w14:paraId="05BE31DD">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4.制冷输入功率≤1000W；制热输入功率≤1400W。</w:t>
            </w:r>
          </w:p>
          <w:p w14:paraId="755F764E">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5.室内机循环风量≥630m³/h。</w:t>
            </w:r>
          </w:p>
          <w:p w14:paraId="7DC56D4A">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6.室内机最高风档噪声≤41dB(A)；室外机噪声≤51dB(A)。</w:t>
            </w:r>
          </w:p>
          <w:p w14:paraId="41645A52">
            <w:pPr>
              <w:keepNext w:val="0"/>
              <w:keepLines w:val="0"/>
              <w:widowControl/>
              <w:suppressLineNumbers w:val="0"/>
              <w:jc w:val="left"/>
              <w:textAlignment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7.核心部件采用全直流变频压缩机，室内机换热器为铜管翅片式结构。</w:t>
            </w:r>
          </w:p>
        </w:tc>
        <w:tc>
          <w:tcPr>
            <w:tcW w:w="750" w:type="dxa"/>
            <w:vAlign w:val="center"/>
          </w:tcPr>
          <w:p w14:paraId="3D8FDFCF">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3</w:t>
            </w:r>
          </w:p>
        </w:tc>
        <w:tc>
          <w:tcPr>
            <w:tcW w:w="671" w:type="dxa"/>
            <w:vAlign w:val="center"/>
          </w:tcPr>
          <w:p w14:paraId="01366EE0">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台</w:t>
            </w:r>
          </w:p>
        </w:tc>
      </w:tr>
      <w:tr w14:paraId="49006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31" w:type="dxa"/>
            <w:vAlign w:val="center"/>
          </w:tcPr>
          <w:p w14:paraId="3396675A">
            <w:pPr>
              <w:keepNext w:val="0"/>
              <w:keepLines w:val="0"/>
              <w:widowControl/>
              <w:suppressLineNumbers w:val="0"/>
              <w:jc w:val="center"/>
              <w:textAlignment w:val="cente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pPr>
          </w:p>
        </w:tc>
        <w:tc>
          <w:tcPr>
            <w:tcW w:w="8324" w:type="dxa"/>
            <w:gridSpan w:val="3"/>
            <w:vAlign w:val="center"/>
          </w:tcPr>
          <w:p w14:paraId="1B4C5340">
            <w:pPr>
              <w:keepNext w:val="0"/>
              <w:keepLines w:val="0"/>
              <w:widowControl/>
              <w:suppressLineNumbers w:val="0"/>
              <w:jc w:val="both"/>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配套标的需要的</w:t>
            </w:r>
            <w:r>
              <w:rPr>
                <w:rFonts w:hint="eastAsia" w:ascii="宋体" w:hAnsi="宋体" w:cs="宋体"/>
                <w:i w:val="0"/>
                <w:iCs w:val="0"/>
                <w:color w:val="000000" w:themeColor="text1"/>
                <w:kern w:val="0"/>
                <w:sz w:val="21"/>
                <w:szCs w:val="21"/>
                <w:highlight w:val="none"/>
                <w:u w:val="none"/>
                <w:lang w:val="en-US" w:eastAsia="zh-CN" w:bidi="ar"/>
                <w14:textFill>
                  <w14:solidFill>
                    <w14:schemeClr w14:val="tx1"/>
                  </w14:solidFill>
                </w14:textFill>
              </w:rPr>
              <w:t>房屋修缮</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改造：</w:t>
            </w:r>
          </w:p>
        </w:tc>
        <w:tc>
          <w:tcPr>
            <w:tcW w:w="671" w:type="dxa"/>
            <w:vAlign w:val="center"/>
          </w:tcPr>
          <w:p w14:paraId="7E9DF613">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p>
        </w:tc>
      </w:tr>
      <w:tr w14:paraId="299E7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831" w:type="dxa"/>
            <w:vAlign w:val="center"/>
          </w:tcPr>
          <w:p w14:paraId="36F7BBF4">
            <w:pPr>
              <w:keepNext w:val="0"/>
              <w:keepLines w:val="0"/>
              <w:widowControl/>
              <w:suppressLineNumbers w:val="0"/>
              <w:jc w:val="center"/>
              <w:textAlignment w:val="cente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序号</w:t>
            </w:r>
          </w:p>
        </w:tc>
        <w:tc>
          <w:tcPr>
            <w:tcW w:w="1199" w:type="dxa"/>
            <w:vAlign w:val="center"/>
          </w:tcPr>
          <w:p w14:paraId="66C60F5A">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标的名称</w:t>
            </w:r>
          </w:p>
        </w:tc>
        <w:tc>
          <w:tcPr>
            <w:tcW w:w="6375" w:type="dxa"/>
            <w:vAlign w:val="center"/>
          </w:tcPr>
          <w:p w14:paraId="5ED12CFA">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技术参数</w:t>
            </w:r>
          </w:p>
        </w:tc>
        <w:tc>
          <w:tcPr>
            <w:tcW w:w="750" w:type="dxa"/>
            <w:vAlign w:val="center"/>
          </w:tcPr>
          <w:p w14:paraId="220DEDCA">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数量</w:t>
            </w:r>
          </w:p>
        </w:tc>
        <w:tc>
          <w:tcPr>
            <w:tcW w:w="671" w:type="dxa"/>
            <w:vAlign w:val="center"/>
          </w:tcPr>
          <w:p w14:paraId="11A88050">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单位</w:t>
            </w:r>
          </w:p>
        </w:tc>
      </w:tr>
      <w:tr w14:paraId="7A353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0" w:hRule="atLeast"/>
          <w:jc w:val="center"/>
        </w:trPr>
        <w:tc>
          <w:tcPr>
            <w:tcW w:w="831" w:type="dxa"/>
            <w:vAlign w:val="center"/>
          </w:tcPr>
          <w:p w14:paraId="4C4F591B">
            <w:pPr>
              <w:keepNext w:val="0"/>
              <w:keepLines w:val="0"/>
              <w:widowControl/>
              <w:suppressLineNumbers w:val="0"/>
              <w:jc w:val="center"/>
              <w:textAlignment w:val="cente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1</w:t>
            </w:r>
          </w:p>
        </w:tc>
        <w:tc>
          <w:tcPr>
            <w:tcW w:w="1199" w:type="dxa"/>
            <w:vAlign w:val="center"/>
          </w:tcPr>
          <w:p w14:paraId="0E36CE5A">
            <w:pPr>
              <w:keepNext w:val="0"/>
              <w:keepLines w:val="0"/>
              <w:widowControl/>
              <w:suppressLineNumbers w:val="0"/>
              <w:jc w:val="center"/>
              <w:textAlignment w:val="cente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部室改造</w:t>
            </w:r>
          </w:p>
        </w:tc>
        <w:tc>
          <w:tcPr>
            <w:tcW w:w="6375" w:type="dxa"/>
            <w:vAlign w:val="center"/>
          </w:tcPr>
          <w:p w14:paraId="2F1667F2">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1.完成六个部室30盏紫外线灯的安装及线路改造(包括但不限于集中控制系统的总控箱、定时器、辅材辅料(线材、排插、线管等)、桥架等配套实施的打孔、布设等)；改造成果符合相关安全规范及实际使用要求。</w:t>
            </w:r>
          </w:p>
          <w:p w14:paraId="55B647CD">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2.完成3台空调的线路改造及辅材辅料(包括但不限于控制系统、辅材辅料(铜管、插排、线材、线管等)提供等配套实施的打孔、布设等)；改造成果符合相关安全规范及实际使用要求。</w:t>
            </w:r>
          </w:p>
          <w:p w14:paraId="6FEAC20F">
            <w:pPr>
              <w:keepNext w:val="0"/>
              <w:keepLines w:val="0"/>
              <w:widowControl/>
              <w:suppressLineNumbers w:val="0"/>
              <w:jc w:val="left"/>
              <w:textAlignment w:val="cente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3.改造过程中不得损坏原有其他设施、墙面、线路等，改造完成后清理并清运改造区域内所有垃圾。</w:t>
            </w:r>
          </w:p>
        </w:tc>
        <w:tc>
          <w:tcPr>
            <w:tcW w:w="750" w:type="dxa"/>
            <w:vAlign w:val="center"/>
          </w:tcPr>
          <w:p w14:paraId="4C1F6770">
            <w:pPr>
              <w:keepNext w:val="0"/>
              <w:keepLines w:val="0"/>
              <w:widowControl/>
              <w:suppressLineNumbers w:val="0"/>
              <w:jc w:val="center"/>
              <w:textAlignment w:val="cente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w:t>
            </w:r>
          </w:p>
        </w:tc>
        <w:tc>
          <w:tcPr>
            <w:tcW w:w="671" w:type="dxa"/>
            <w:vAlign w:val="center"/>
          </w:tcPr>
          <w:p w14:paraId="745DF6D2">
            <w:pPr>
              <w:keepNext w:val="0"/>
              <w:keepLines w:val="0"/>
              <w:widowControl/>
              <w:suppressLineNumbers w:val="0"/>
              <w:jc w:val="center"/>
              <w:textAlignment w:val="cente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项</w:t>
            </w:r>
          </w:p>
        </w:tc>
      </w:tr>
      <w:tr w14:paraId="301C1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26" w:type="dxa"/>
            <w:gridSpan w:val="5"/>
            <w:vAlign w:val="center"/>
          </w:tcPr>
          <w:p w14:paraId="560515BA">
            <w:pPr>
              <w:keepNext w:val="0"/>
              <w:keepLines w:val="0"/>
              <w:widowControl/>
              <w:suppressLineNumbers w:val="0"/>
              <w:jc w:val="both"/>
              <w:textAlignment w:val="center"/>
              <w:rPr>
                <w:rFonts w:hint="eastAsia" w:asciiTheme="minorEastAsia" w:hAnsiTheme="minorEastAsia" w:eastAsiaTheme="minorEastAsia" w:cstheme="minorEastAsia"/>
                <w:b w:val="0"/>
                <w:bCs/>
                <w:color w:val="000000" w:themeColor="text1"/>
                <w:kern w:val="2"/>
                <w:sz w:val="20"/>
                <w:szCs w:val="20"/>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color w:val="000000" w:themeColor="text1"/>
                <w:kern w:val="2"/>
                <w:sz w:val="20"/>
                <w:szCs w:val="20"/>
                <w:highlight w:val="none"/>
                <w:lang w:val="en-US" w:eastAsia="zh-CN" w:bidi="ar-SA"/>
                <w14:textFill>
                  <w14:solidFill>
                    <w14:schemeClr w14:val="tx1"/>
                  </w14:solidFill>
                </w14:textFill>
              </w:rPr>
              <w:t>说明：1.需求清单中带“★”的参数指标均应以要求的形式(如“★”的参数指标无形式要求的，可提供不限于原厂印刷的产品说明书、制造商官方网站截图、第三方机构检验报告、带标识(说明)的功能截图等任意形式)提供相应的证明材料。任意一条带“★”的参数指标未响应或者不满足的，将按无效响应处理。</w:t>
            </w:r>
          </w:p>
          <w:p w14:paraId="53C6311E">
            <w:pPr>
              <w:keepNext w:val="0"/>
              <w:keepLines w:val="0"/>
              <w:widowControl/>
              <w:suppressLineNumbers w:val="0"/>
              <w:jc w:val="both"/>
              <w:textAlignment w:val="center"/>
              <w:rPr>
                <w:rFonts w:hint="eastAsia" w:asciiTheme="minorEastAsia" w:hAnsiTheme="minorEastAsia" w:eastAsiaTheme="minorEastAsia" w:cstheme="minorEastAsia"/>
                <w:b w:val="0"/>
                <w:bCs/>
                <w:color w:val="000000" w:themeColor="text1"/>
                <w:kern w:val="2"/>
                <w:sz w:val="20"/>
                <w:szCs w:val="20"/>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color w:val="000000" w:themeColor="text1"/>
                <w:kern w:val="2"/>
                <w:sz w:val="20"/>
                <w:szCs w:val="20"/>
                <w:highlight w:val="none"/>
                <w:lang w:val="en-US" w:eastAsia="zh-CN" w:bidi="ar-SA"/>
                <w14:textFill>
                  <w14:solidFill>
                    <w14:schemeClr w14:val="tx1"/>
                  </w14:solidFill>
                </w14:textFill>
              </w:rPr>
              <w:t>2.需求清单中有关标的的整体规格、尺寸、体积、面积等表述要求，供应商所投产品整体的偏差应符合行业通用公差要求并满足实际使用需求。</w:t>
            </w:r>
          </w:p>
          <w:p w14:paraId="196E0C74">
            <w:pPr>
              <w:keepNext w:val="0"/>
              <w:keepLines w:val="0"/>
              <w:widowControl/>
              <w:suppressLineNumbers w:val="0"/>
              <w:jc w:val="both"/>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b w:val="0"/>
                <w:bCs/>
                <w:color w:val="000000" w:themeColor="text1"/>
                <w:kern w:val="2"/>
                <w:sz w:val="20"/>
                <w:szCs w:val="20"/>
                <w:highlight w:val="none"/>
                <w:lang w:val="en-US" w:eastAsia="zh-CN" w:bidi="ar-SA"/>
                <w14:textFill>
                  <w14:solidFill>
                    <w14:schemeClr w14:val="tx1"/>
                  </w14:solidFill>
                </w14:textFill>
              </w:rPr>
              <w:t>3.需求清单中的</w:t>
            </w:r>
            <w:r>
              <w:rPr>
                <w:rFonts w:hint="eastAsia" w:asciiTheme="minorEastAsia" w:hAnsiTheme="minorEastAsia" w:eastAsiaTheme="minorEastAsia" w:cstheme="minorEastAsia"/>
                <w:b w:val="0"/>
                <w:bCs/>
                <w:color w:val="000000" w:themeColor="text1"/>
                <w:kern w:val="2"/>
                <w:sz w:val="20"/>
                <w:szCs w:val="20"/>
                <w:highlight w:val="none"/>
                <w:lang w:val="en-CA" w:eastAsia="zh-CN" w:bidi="ar-SA"/>
                <w14:textFill>
                  <w14:solidFill>
                    <w14:schemeClr w14:val="tx1"/>
                  </w14:solidFill>
                </w14:textFill>
              </w:rPr>
              <w:t>“支持...；具备...；配备...”等描述，为已具备的功能要求，且后期使用费用包含在响应报价中。</w:t>
            </w:r>
          </w:p>
        </w:tc>
      </w:tr>
    </w:tbl>
    <w:p w14:paraId="462029AC">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B671D7"/>
    <w:rsid w:val="7BB671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8">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3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Strong"/>
    <w:basedOn w:val="8"/>
    <w:qFormat/>
    <w:uiPriority w:val="0"/>
    <w:rPr>
      <w:b/>
    </w:rPr>
  </w:style>
  <w:style w:type="paragraph" w:customStyle="1" w:styleId="10">
    <w:name w:val="null3"/>
    <w:hidden/>
    <w:qFormat/>
    <w:uiPriority w:val="0"/>
    <w:rPr>
      <w:rFonts w:hint="eastAsia" w:asciiTheme="minorHAnsi" w:hAnsiTheme="minorHAnsi" w:eastAsiaTheme="minorEastAsia" w:cstheme="minorBidi"/>
      <w:lang w:val="en-US" w:eastAsia="zh-Hans"/>
    </w:rPr>
  </w:style>
  <w:style w:type="character" w:customStyle="1" w:styleId="11">
    <w:name w:val="font01"/>
    <w:basedOn w:val="8"/>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26</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2026-09-15T11:16:00Z</dcterms:created>
  <dc:creator>杜航</dc:creator>
  <cp:lastModifiedBy>杜航</cp:lastModifiedBy>
  <dcterms:modified xsi:type="dcterms:W3CDTF">2026-09-15T11:17:51Z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494420206F434B0FA7F6F9DA9C6FFB94_11</vt:lpwstr>
  </property>
  <property fmtid="{D5CDD505-2E9C-101B-9397-08002B2CF9AE}" pid="4" name="KSOTemplateDocerSaveRecord">
    <vt:lpwstr>eyJoZGlkIjoiNGVjNGI1ZWQxMDUyODY5ZDAxOTAyNjljNjE1NWUwNGQiLCJ1c2VySWQiOiIzMDgwODY2MDYifQ==</vt:lpwstr>
  </property>
</Properties>
</file>