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版本号：SXHY-2026-02020260604001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全面推广耕地和永久基本农田管护到户“一张图”工作项目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SXHY-2026-020</w:t>
      </w:r>
      <w:r>
        <w:br/>
      </w:r>
      <w:r>
        <w:br/>
      </w:r>
      <w:r>
        <w:br/>
      </w:r>
    </w:p>
    <w:p>
      <w:pPr>
        <w:pStyle w:val="null3"/>
        <w:jc w:val="center"/>
        <w:outlineLvl w:val="2"/>
      </w:pPr>
      <w:r>
        <w:rPr>
          <w:rFonts w:ascii="仿宋_GB2312" w:hAnsi="仿宋_GB2312" w:cs="仿宋_GB2312" w:eastAsia="仿宋_GB2312"/>
          <w:sz w:val="28"/>
          <w:b/>
        </w:rPr>
        <w:t>白水县自然资源局</w:t>
      </w:r>
    </w:p>
    <w:p>
      <w:pPr>
        <w:pStyle w:val="null3"/>
        <w:jc w:val="center"/>
        <w:outlineLvl w:val="2"/>
      </w:pPr>
      <w:r>
        <w:rPr>
          <w:rFonts w:ascii="仿宋_GB2312" w:hAnsi="仿宋_GB2312" w:cs="仿宋_GB2312" w:eastAsia="仿宋_GB2312"/>
          <w:sz w:val="28"/>
          <w:b/>
        </w:rPr>
        <w:t>陕西浩优项目管理有限公司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陕西浩优项目管理有限公司</w:t>
      </w:r>
      <w:r>
        <w:rPr>
          <w:rFonts w:ascii="仿宋_GB2312" w:hAnsi="仿宋_GB2312" w:cs="仿宋_GB2312" w:eastAsia="仿宋_GB2312"/>
        </w:rPr>
        <w:t>（以下简称“代理机构”）受</w:t>
      </w:r>
      <w:r>
        <w:rPr>
          <w:rFonts w:ascii="仿宋_GB2312" w:hAnsi="仿宋_GB2312" w:cs="仿宋_GB2312" w:eastAsia="仿宋_GB2312"/>
        </w:rPr>
        <w:t>白水县自然资源局</w:t>
      </w:r>
      <w:r>
        <w:rPr>
          <w:rFonts w:ascii="仿宋_GB2312" w:hAnsi="仿宋_GB2312" w:cs="仿宋_GB2312" w:eastAsia="仿宋_GB2312"/>
        </w:rPr>
        <w:t>委托，拟对</w:t>
      </w:r>
      <w:r>
        <w:rPr>
          <w:rFonts w:ascii="仿宋_GB2312" w:hAnsi="仿宋_GB2312" w:cs="仿宋_GB2312" w:eastAsia="仿宋_GB2312"/>
        </w:rPr>
        <w:t>全面推广耕地和永久基本农田管护到户“一张图”工作项目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SXHY-2026-020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全面推广耕地和永久基本农田管护到户“一张图”工作项目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落实耕地保护党政同责，落实最严格的耕地保护制度，压实耕地保护主体责任，持续推进“送图上⻔，挂图上墙”在耕地保护先进镇试点村试点的基础上，将耕地和永久基本农⽥管护到⼾“⼀张图”全⾯推⼴到全县124个⾏政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采购包1（全面推广耕地和永久基本农田管护到户“一张图”工作项目）：属于专门面向中小企业采购。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或2025年财务审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3、税收缴纳证明：提供截止至开标时间前12个月内任意一个月的税收缴纳凭据;(任意税种，依法免税的供应商应提供相关文件证明);</w:t>
      </w:r>
    </w:p>
    <w:p>
      <w:pPr>
        <w:pStyle w:val="null3"/>
      </w:pPr>
      <w:r>
        <w:rPr>
          <w:rFonts w:ascii="仿宋_GB2312" w:hAnsi="仿宋_GB2312" w:cs="仿宋_GB2312" w:eastAsia="仿宋_GB2312"/>
        </w:rPr>
        <w:t>4、社会保障资金缴纳证明：提供截止至开标时间前12个月内任意一个月的社保缴纳凭据或社保机构开具的社会保险参保缴纳情况证明;(依法不需要缴纳社会保障资金的供应商应提供相关证明);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5、承诺书：提供具有履行本合同所必需的设备和专业技术能力的承诺;(提供承诺书，加盖供应商公章);</w:t>
      </w:r>
    </w:p>
    <w:p>
      <w:pPr>
        <w:pStyle w:val="null3"/>
      </w:pPr>
      <w:r>
        <w:rPr>
          <w:rFonts w:ascii="仿宋_GB2312" w:hAnsi="仿宋_GB2312" w:cs="仿宋_GB2312" w:eastAsia="仿宋_GB2312"/>
        </w:rPr>
        <w:t>6、法定代表人身份证明和授权委托书：法定代表人授权委托书(附法定代表人身份证复印件及被授权人身份证复印件);法定代表人直接参加投标的只须提供法定代表人资格证明书(附法定代表人身份证复印件);</w:t>
      </w:r>
    </w:p>
    <w:p>
      <w:pPr>
        <w:pStyle w:val="null3"/>
      </w:pPr>
      <w:r>
        <w:rPr>
          <w:rFonts w:ascii="仿宋_GB2312" w:hAnsi="仿宋_GB2312" w:cs="仿宋_GB2312" w:eastAsia="仿宋_GB2312"/>
        </w:rPr>
        <w:t>7、三年内在经营活动中没有重大违法记录的书面声明：提供参加政府采购活动前三年内在经营活动中没有重大违法记录的书面声明。(提供书面声明，加盖供应商公章);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8、提供《中小企业声明函》：本项目专门面向中小企业采购;须符合《政府采购促进中小企业发展管理办法》(财库(2020)46号)规定的中小企业参加。(提供《中小企业声明函》);</w:t>
      </w:r>
    </w:p>
    <w:p>
      <w:pPr>
        <w:pStyle w:val="null3"/>
      </w:pPr>
      <w:r>
        <w:rPr>
          <w:rFonts w:ascii="仿宋_GB2312" w:hAnsi="仿宋_GB2312" w:cs="仿宋_GB2312" w:eastAsia="仿宋_GB2312"/>
        </w:rPr>
        <w:t>9、信誉要求：不得为“信用中国”网站(http://www.creditchina.gov.cn)列入“失信被执行人(页面跳转至“中国执行信息公开网”http://zxgk.court.gov.cn/shixin/)、重大税收法失信主体、政府采购严重违法失信行为记录名单”的供应商;不得为中国政府采购网(http://www.ccgp.gov.cn)“政府采购严重违法失信行为记录名单”中的供应商;(根据财库【2019】38号文规定，由采购人在投标截止日当天在“信用中国”网站和中国政府采购网站进行查询，截图留档;如网站无供应商信息的，供应商须提供相关证明资料或书面声明，放在在每份投标文件中。);</w:t>
      </w:r>
    </w:p>
    <w:p>
      <w:pPr>
        <w:pStyle w:val="null3"/>
      </w:pPr>
      <w:r>
        <w:rPr>
          <w:rFonts w:ascii="仿宋_GB2312" w:hAnsi="仿宋_GB2312" w:cs="仿宋_GB2312" w:eastAsia="仿宋_GB2312"/>
        </w:rPr>
        <w:t>10、单位负责人为同一人或者存在控股、管理关系的不同单位，不得同时参加同一招标项目投标，否则投标无效：单位负责人为同一人或者存在直接控股、管理关系的不同供应商，不得参加同一合同项下的政府采购活动。(根据财库[2019】38号文规定，由采购人在投标截止日当天在“国家企业信用信息公示系统”网站进行查询，截图留档;如网站无供应商信息的，供应商须提供相关证明资料或承诺书，放在每份投标文件中。)</w:t>
      </w:r>
    </w:p>
    <w:p>
      <w:pPr>
        <w:pStyle w:val="null3"/>
      </w:pPr>
      <w:r>
        <w:rPr>
          <w:rFonts w:ascii="仿宋_GB2312" w:hAnsi="仿宋_GB2312" w:cs="仿宋_GB2312" w:eastAsia="仿宋_GB2312"/>
        </w:rPr>
        <w:t>11、供应商资质：供应商须具有测绘乙级资质或规划乙级及以上资质;</w:t>
      </w:r>
    </w:p>
    <w:p>
      <w:pPr>
        <w:pStyle w:val="null3"/>
      </w:pPr>
      <w:r>
        <w:rPr>
          <w:rFonts w:ascii="仿宋_GB2312" w:hAnsi="仿宋_GB2312" w:cs="仿宋_GB2312" w:eastAsia="仿宋_GB2312"/>
        </w:rPr>
        <w:t>12、项⽬负责⼈：拟派项⽬负责⼈须具备注册测绘师或规划师资格或相关专业中级以上(含中级)技术职称;</w:t>
      </w:r>
    </w:p>
    <w:p>
      <w:pPr>
        <w:pStyle w:val="null3"/>
      </w:pPr>
      <w:r>
        <w:rPr>
          <w:rFonts w:ascii="仿宋_GB2312" w:hAnsi="仿宋_GB2312" w:cs="仿宋_GB2312" w:eastAsia="仿宋_GB2312"/>
        </w:rPr>
        <w:t>13、本项⽬不接受联合体投标：本项目不接受联合体投标。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13892588279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陕西浩优项目管理有限公司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陕西省西安市曲江新区商通大道6号智慧大厦一幢203室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李金娥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029-89553153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开户名称：陕西浩优项目管理有限公司</w:t>
            </w:r>
          </w:p>
          <w:p>
            <w:pPr>
              <w:pStyle w:val="null3"/>
            </w:pPr>
            <w:r>
              <w:rPr>
                <w:rFonts w:ascii="仿宋_GB2312" w:hAnsi="仿宋_GB2312" w:cs="仿宋_GB2312" w:eastAsia="仿宋_GB2312"/>
              </w:rPr>
              <w:t>开户银行：中国建设银行股份有限公司西安曲江支行</w:t>
            </w:r>
          </w:p>
          <w:p>
            <w:pPr>
              <w:pStyle w:val="null3"/>
            </w:pPr>
            <w:r>
              <w:rPr>
                <w:rFonts w:ascii="仿宋_GB2312" w:hAnsi="仿宋_GB2312" w:cs="仿宋_GB2312" w:eastAsia="仿宋_GB2312"/>
              </w:rPr>
              <w:t>银行账号：6105 0191 0004 0000 4479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收取。2.采购代理服务费收取：户名：陕西浩优项目管理有限公司 开户银行：中国建设银行股份有限公司西安曲江支行 账号：6105 0191 0004 0000 4479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白水县自然资源局</w:t>
      </w:r>
      <w:r>
        <w:rPr>
          <w:rFonts w:ascii="仿宋_GB2312" w:hAnsi="仿宋_GB2312" w:cs="仿宋_GB2312" w:eastAsia="仿宋_GB2312"/>
        </w:rPr>
        <w:t>和</w:t>
      </w:r>
      <w:r>
        <w:rPr>
          <w:rFonts w:ascii="仿宋_GB2312" w:hAnsi="仿宋_GB2312" w:cs="仿宋_GB2312" w:eastAsia="仿宋_GB2312"/>
        </w:rPr>
        <w:t>陕西浩优项目管理有限公司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陕西浩优项目管理有限公司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陕西浩优项目管理有限公司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联系人：李金娥</w:t>
      </w:r>
    </w:p>
    <w:p>
      <w:pPr>
        <w:pStyle w:val="null3"/>
      </w:pPr>
      <w:r>
        <w:rPr>
          <w:rFonts w:ascii="仿宋_GB2312" w:hAnsi="仿宋_GB2312" w:cs="仿宋_GB2312" w:eastAsia="仿宋_GB2312"/>
        </w:rPr>
        <w:t>联系电话：029-89553153</w:t>
      </w:r>
    </w:p>
    <w:p>
      <w:pPr>
        <w:pStyle w:val="null3"/>
      </w:pPr>
      <w:r>
        <w:rPr>
          <w:rFonts w:ascii="仿宋_GB2312" w:hAnsi="仿宋_GB2312" w:cs="仿宋_GB2312" w:eastAsia="仿宋_GB2312"/>
        </w:rPr>
        <w:t>地址：陕西省西安市曲江新区商通大道6号智慧大厦一幢203室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面落实耕地保护党政同责，落实最严格的耕地保护制度，压实耕地保护主体责任，持续推进“送图上门，挂图上墙”在耕地保护先进镇试点村试点的基础上，将耕地和永久基本农田管护到户“一张图”全面推广到全县124个行政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744,000.00</w:t>
      </w:r>
    </w:p>
    <w:p>
      <w:pPr>
        <w:pStyle w:val="null3"/>
      </w:pPr>
      <w:r>
        <w:rPr>
          <w:rFonts w:ascii="仿宋_GB2312" w:hAnsi="仿宋_GB2312" w:cs="仿宋_GB2312" w:eastAsia="仿宋_GB2312"/>
        </w:rPr>
        <w:t>采购包最高限价（元）: 744,000.00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全面推广耕地和永久基本农田管护到户“一张图”工作项目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标的名称：全面推广耕地和永久基本农田管护到户“一张图”工作项目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both"/>
            </w:pPr>
            <w:r>
              <w:rPr>
                <w:rFonts w:ascii="仿宋_GB2312" w:hAnsi="仿宋_GB2312" w:cs="仿宋_GB2312" w:eastAsia="仿宋_GB2312"/>
                <w:sz w:val="24"/>
              </w:rPr>
              <w:t>一、主要任务与内容</w:t>
            </w:r>
          </w:p>
          <w:p>
            <w:pPr>
              <w:pStyle w:val="null3"/>
              <w:spacing w:before="105" w:after="105"/>
              <w:ind w:firstLine="480"/>
              <w:jc w:val="both"/>
            </w:pPr>
            <w:r>
              <w:rPr>
                <w:rFonts w:ascii="仿宋_GB2312" w:hAnsi="仿宋_GB2312" w:cs="仿宋_GB2312" w:eastAsia="仿宋_GB2312"/>
                <w:sz w:val="24"/>
              </w:rPr>
              <w:t>（一）明确</w:t>
            </w:r>
            <w:r>
              <w:rPr>
                <w:rFonts w:ascii="仿宋_GB2312" w:hAnsi="仿宋_GB2312" w:cs="仿宋_GB2312" w:eastAsia="仿宋_GB2312"/>
                <w:sz w:val="24"/>
              </w:rPr>
              <w:t>“一张图”核心信息</w:t>
            </w:r>
          </w:p>
          <w:p>
            <w:pPr>
              <w:pStyle w:val="null3"/>
              <w:spacing w:before="105" w:after="105"/>
              <w:ind w:firstLine="480"/>
              <w:jc w:val="both"/>
            </w:pPr>
            <w:r>
              <w:rPr>
                <w:rFonts w:ascii="仿宋_GB2312" w:hAnsi="仿宋_GB2312" w:cs="仿宋_GB2312" w:eastAsia="仿宋_GB2312"/>
                <w:sz w:val="24"/>
              </w:rPr>
              <w:t>图件编制以最新年度国土变更调查成果、永久基本农田核实处置成果、土地承包经营权确权登记等数据为基础，以试点村庄编制图件为参考。各县市区可根据实际需求，在图件上增加信息，但原则上应包含以下核心信息：</w:t>
            </w:r>
          </w:p>
          <w:p>
            <w:pPr>
              <w:pStyle w:val="null3"/>
              <w:spacing w:before="105" w:after="105"/>
              <w:ind w:firstLine="480"/>
              <w:jc w:val="both"/>
            </w:pPr>
            <w:r>
              <w:rPr>
                <w:rFonts w:ascii="仿宋_GB2312" w:hAnsi="仿宋_GB2312" w:cs="仿宋_GB2312" w:eastAsia="仿宋_GB2312"/>
                <w:sz w:val="24"/>
              </w:rPr>
              <w:t>1.基础地理信息：包含必要的行政区划、交通水系等基础地理要素。</w:t>
            </w:r>
          </w:p>
          <w:p>
            <w:pPr>
              <w:pStyle w:val="null3"/>
              <w:spacing w:before="105" w:after="105"/>
              <w:ind w:firstLine="480"/>
              <w:jc w:val="both"/>
            </w:pPr>
            <w:r>
              <w:rPr>
                <w:rFonts w:ascii="仿宋_GB2312" w:hAnsi="仿宋_GB2312" w:cs="仿宋_GB2312" w:eastAsia="仿宋_GB2312"/>
                <w:sz w:val="24"/>
              </w:rPr>
              <w:t>2.管护责任信息：各级责任主体的基本信息及对应耕地和永久基本农田管护区域范围。</w:t>
            </w:r>
          </w:p>
          <w:p>
            <w:pPr>
              <w:pStyle w:val="null3"/>
              <w:spacing w:before="105" w:after="105"/>
              <w:ind w:firstLine="480"/>
              <w:jc w:val="both"/>
            </w:pPr>
            <w:r>
              <w:rPr>
                <w:rFonts w:ascii="仿宋_GB2312" w:hAnsi="仿宋_GB2312" w:cs="仿宋_GB2312" w:eastAsia="仿宋_GB2312"/>
                <w:sz w:val="24"/>
              </w:rPr>
              <w:t>3.保护任务分解表：以村为单位形成《耕地和永久基本农田保护任务分解表》，作为图件补充说明。</w:t>
            </w:r>
          </w:p>
          <w:p>
            <w:pPr>
              <w:pStyle w:val="null3"/>
              <w:spacing w:before="105" w:after="105"/>
              <w:ind w:firstLine="480"/>
              <w:jc w:val="both"/>
            </w:pPr>
            <w:r>
              <w:rPr>
                <w:rFonts w:ascii="仿宋_GB2312" w:hAnsi="仿宋_GB2312" w:cs="仿宋_GB2312" w:eastAsia="仿宋_GB2312"/>
                <w:sz w:val="24"/>
              </w:rPr>
              <w:t>4.制图基本要素：图名、比例尺、图例、指北针等制图要素。</w:t>
            </w:r>
          </w:p>
          <w:p>
            <w:pPr>
              <w:pStyle w:val="null3"/>
              <w:spacing w:before="105" w:after="105"/>
              <w:ind w:firstLine="480"/>
              <w:jc w:val="both"/>
            </w:pPr>
            <w:r>
              <w:rPr>
                <w:rFonts w:ascii="仿宋_GB2312" w:hAnsi="仿宋_GB2312" w:cs="仿宋_GB2312" w:eastAsia="仿宋_GB2312"/>
                <w:sz w:val="24"/>
              </w:rPr>
              <w:t>（二）规范编制流程与要求</w:t>
            </w:r>
          </w:p>
          <w:p>
            <w:pPr>
              <w:pStyle w:val="null3"/>
              <w:spacing w:before="105" w:after="105"/>
              <w:ind w:firstLine="480"/>
              <w:jc w:val="both"/>
            </w:pPr>
            <w:r>
              <w:rPr>
                <w:rFonts w:ascii="仿宋_GB2312" w:hAnsi="仿宋_GB2312" w:cs="仿宋_GB2312" w:eastAsia="仿宋_GB2312"/>
                <w:sz w:val="24"/>
              </w:rPr>
              <w:t>1.数据收集与核实：县级自然资源、农业农村部门联合乡镇（街道）、村“两委”，收集整理土地承包经营权确权登记成果、集体经济组织成员信息、最新土地利用现状等数据。逐户逐地块核实农户姓名、地块位置、面积、地类等信息，确保准确无误。</w:t>
            </w:r>
          </w:p>
          <w:p>
            <w:pPr>
              <w:pStyle w:val="null3"/>
              <w:spacing w:before="105" w:after="105"/>
              <w:ind w:firstLine="480"/>
              <w:jc w:val="both"/>
            </w:pPr>
            <w:r>
              <w:rPr>
                <w:rFonts w:ascii="仿宋_GB2312" w:hAnsi="仿宋_GB2312" w:cs="仿宋_GB2312" w:eastAsia="仿宋_GB2312"/>
                <w:sz w:val="24"/>
              </w:rPr>
              <w:t>2.图件制作：依据核心信息要求，利用地理信息系统（GIS)等技术制作“一张图”及配套《保护任务分解表》，确保管护边界清晰、图例标识完整、图件规范美观。</w:t>
            </w:r>
          </w:p>
          <w:p>
            <w:pPr>
              <w:pStyle w:val="null3"/>
              <w:spacing w:before="105" w:after="105"/>
              <w:ind w:firstLine="480"/>
              <w:jc w:val="both"/>
            </w:pPr>
            <w:r>
              <w:rPr>
                <w:rFonts w:ascii="仿宋_GB2312" w:hAnsi="仿宋_GB2312" w:cs="仿宋_GB2312" w:eastAsia="仿宋_GB2312"/>
                <w:sz w:val="24"/>
              </w:rPr>
              <w:t>（三）强化成果应用与管理</w:t>
            </w:r>
          </w:p>
          <w:p>
            <w:pPr>
              <w:pStyle w:val="null3"/>
              <w:spacing w:before="105" w:after="105"/>
              <w:ind w:firstLine="480"/>
              <w:jc w:val="both"/>
            </w:pPr>
            <w:r>
              <w:rPr>
                <w:rFonts w:ascii="仿宋_GB2312" w:hAnsi="仿宋_GB2312" w:cs="仿宋_GB2312" w:eastAsia="仿宋_GB2312"/>
                <w:sz w:val="24"/>
              </w:rPr>
              <w:t>1.公示公开：在村委会办公场所、村务公开栏或者田长制公示牌长期悬挂张贴“一张图”及本村《保护任务分解表》（表格可与图件分开展示），接受群众监督。</w:t>
            </w:r>
          </w:p>
          <w:p>
            <w:pPr>
              <w:pStyle w:val="null3"/>
              <w:spacing w:before="105" w:after="105"/>
              <w:ind w:firstLine="480"/>
              <w:jc w:val="both"/>
            </w:pPr>
            <w:r>
              <w:rPr>
                <w:rFonts w:ascii="仿宋_GB2312" w:hAnsi="仿宋_GB2312" w:cs="仿宋_GB2312" w:eastAsia="仿宋_GB2312"/>
                <w:sz w:val="24"/>
              </w:rPr>
              <w:t>2.责任告知：各县市区可结合实际情况,依据最终确认的“一张图”和分解表，向每户发放《耕地和永久基本农田保护责任告知书》，明确其保护的地块、面积及责任义务。</w:t>
            </w:r>
          </w:p>
          <w:p>
            <w:pPr>
              <w:pStyle w:val="null3"/>
              <w:spacing w:before="105" w:after="105"/>
              <w:ind w:firstLine="480"/>
              <w:jc w:val="both"/>
            </w:pPr>
            <w:r>
              <w:rPr>
                <w:rFonts w:ascii="仿宋_GB2312" w:hAnsi="仿宋_GB2312" w:cs="仿宋_GB2312" w:eastAsia="仿宋_GB2312"/>
                <w:sz w:val="24"/>
              </w:rPr>
              <w:t>二、</w:t>
            </w:r>
            <w:r>
              <w:rPr>
                <w:rFonts w:ascii="仿宋_GB2312" w:hAnsi="仿宋_GB2312" w:cs="仿宋_GB2312" w:eastAsia="仿宋_GB2312"/>
                <w:sz w:val="24"/>
              </w:rPr>
              <w:t>技术要求</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1）《地籍调查规程》（GB/T 42547-2023)</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第三次全国国土调查技术规程</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TD/T 1055-2019)</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国土空间调查、规划、用途管制用地用海分类指南</w:t>
            </w:r>
            <w:r>
              <w:rPr>
                <w:rFonts w:ascii="仿宋_GB2312" w:hAnsi="仿宋_GB2312" w:cs="仿宋_GB2312" w:eastAsia="仿宋_GB2312"/>
                <w:sz w:val="24"/>
              </w:rPr>
              <w:t>》</w:t>
            </w:r>
            <w:r>
              <w:rPr>
                <w:rFonts w:ascii="仿宋_GB2312" w:hAnsi="仿宋_GB2312" w:cs="仿宋_GB2312" w:eastAsia="仿宋_GB2312"/>
                <w:sz w:val="24"/>
              </w:rPr>
              <w:t>（自然资发〔2023〕234号）</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4）《技术制图图纸幅面和格式》(GB/T14689-2008)</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5）《国家基本比例尺地图图式》(GB/T20257.1-2017)</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6）渭南市田长制办公室关于印发《全面推广耕地和永久基本农田管护</w:t>
            </w:r>
            <w:r>
              <w:rPr>
                <w:rFonts w:ascii="仿宋_GB2312" w:hAnsi="仿宋_GB2312" w:cs="仿宋_GB2312" w:eastAsia="仿宋_GB2312"/>
                <w:sz w:val="24"/>
              </w:rPr>
              <w:t>到户一张图工作的实施方案》的通知（</w:t>
            </w:r>
            <w:r>
              <w:rPr>
                <w:rFonts w:ascii="仿宋_GB2312" w:hAnsi="仿宋_GB2312" w:cs="仿宋_GB2312" w:eastAsia="仿宋_GB2312"/>
                <w:sz w:val="24"/>
              </w:rPr>
              <w:t>渭田办发〔</w:t>
            </w:r>
            <w:r>
              <w:rPr>
                <w:rFonts w:ascii="仿宋_GB2312" w:hAnsi="仿宋_GB2312" w:cs="仿宋_GB2312" w:eastAsia="仿宋_GB2312"/>
                <w:sz w:val="24"/>
              </w:rPr>
              <w:t>2025]7号</w:t>
            </w:r>
            <w:r>
              <w:rPr>
                <w:rFonts w:ascii="仿宋_GB2312" w:hAnsi="仿宋_GB2312" w:cs="仿宋_GB2312" w:eastAsia="仿宋_GB2312"/>
                <w:sz w:val="24"/>
              </w:rPr>
              <w:t>）</w:t>
            </w:r>
          </w:p>
          <w:p>
            <w:pPr>
              <w:pStyle w:val="null3"/>
              <w:spacing w:before="105" w:after="105"/>
              <w:ind w:firstLine="480"/>
              <w:jc w:val="both"/>
            </w:pPr>
            <w:r>
              <w:rPr>
                <w:rFonts w:ascii="仿宋_GB2312" w:hAnsi="仿宋_GB2312" w:cs="仿宋_GB2312" w:eastAsia="仿宋_GB2312"/>
                <w:sz w:val="24"/>
              </w:rPr>
              <w:t>三</w:t>
            </w:r>
            <w:r>
              <w:rPr>
                <w:rFonts w:ascii="仿宋_GB2312" w:hAnsi="仿宋_GB2312" w:cs="仿宋_GB2312" w:eastAsia="仿宋_GB2312"/>
                <w:sz w:val="24"/>
              </w:rPr>
              <w:t>、服务期限：自合同签订之日起</w:t>
            </w:r>
            <w:r>
              <w:rPr>
                <w:rFonts w:ascii="仿宋_GB2312" w:hAnsi="仿宋_GB2312" w:cs="仿宋_GB2312" w:eastAsia="仿宋_GB2312"/>
                <w:sz w:val="24"/>
              </w:rPr>
              <w:t>180天提交服务成果文件。</w:t>
            </w:r>
          </w:p>
          <w:p>
            <w:pPr>
              <w:pStyle w:val="null3"/>
              <w:spacing w:before="105" w:after="105"/>
              <w:ind w:firstLine="480"/>
              <w:jc w:val="both"/>
            </w:pPr>
            <w:r>
              <w:rPr>
                <w:rFonts w:ascii="仿宋_GB2312" w:hAnsi="仿宋_GB2312" w:cs="仿宋_GB2312" w:eastAsia="仿宋_GB2312"/>
                <w:sz w:val="24"/>
              </w:rPr>
              <w:t>四</w:t>
            </w:r>
            <w:r>
              <w:rPr>
                <w:rFonts w:ascii="仿宋_GB2312" w:hAnsi="仿宋_GB2312" w:cs="仿宋_GB2312" w:eastAsia="仿宋_GB2312"/>
                <w:sz w:val="24"/>
              </w:rPr>
              <w:t>、质量要求：质量符合国家、省、市相关技术规范要求。</w:t>
            </w:r>
          </w:p>
          <w:p>
            <w:pPr>
              <w:pStyle w:val="null3"/>
              <w:spacing w:before="105" w:after="105"/>
              <w:ind w:firstLine="480"/>
              <w:jc w:val="both"/>
            </w:pPr>
            <w:r>
              <w:rPr>
                <w:rFonts w:ascii="仿宋_GB2312" w:hAnsi="仿宋_GB2312" w:cs="仿宋_GB2312" w:eastAsia="仿宋_GB2312"/>
                <w:sz w:val="24"/>
              </w:rPr>
              <w:t>五</w:t>
            </w:r>
            <w:r>
              <w:rPr>
                <w:rFonts w:ascii="仿宋_GB2312" w:hAnsi="仿宋_GB2312" w:cs="仿宋_GB2312" w:eastAsia="仿宋_GB2312"/>
                <w:sz w:val="24"/>
              </w:rPr>
              <w:t>、服务地点：白水县内，采购人指定地点。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详见采购文件评标办法评审细则及标准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自合同签订之日起180天提交服务成果文件。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符合采购文件和乙方响应文件标准和要求以及国家相关技术标准，对所有地块进行举证，并制作好图册，通过省政府组织的核查验收。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进度款，提交成果文件，验收合格后，达到付款条件起10个工作日内，支付合同总金额的100.0%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须在结果公告发布之日起5个工作日内，提交响应文件一正二副（建议正反面打印）至陕西省西安市曲江新区商通大道6号智慧大厦一幢203室（陕西浩优项目管理有限公司）；联系人：李金娥；联系电话：029-89553153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财务审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提供截止至开标时间前12个月内任意一个月的税收缴纳凭据;(任意税种，依法免税的供应商应提供相关文件证明);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提供截止至开标时间前12个月内任意一个月的社保缴纳凭据或社保机构开具的社会保险参保缴纳情况证明;(依法不需要缴纳社会保障资金的供应商应提供相关证明);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提供具有履行本合同所必需的设备和专业技术能力的承诺;(提供承诺书，加盖供应商公章);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法定代表人身份证明和授权委托书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法定代表人授权委托书(附法定代表人身份证复印件及被授权人身份证复印件);法定代表人直接参加投标的只须提供法定代表人资格证明书(附法定代表人身份证复印件);</w:t>
            </w:r>
          </w:p>
        </w:tc>
        <w:tc>
          <w:tcPr>
            <w:tcW w:type="dxa" w:w="1661"/>
          </w:tcPr>
          <w:p>
            <w:pPr>
              <w:pStyle w:val="null3"/>
            </w:pPr>
            <w:r>
              <w:rPr>
                <w:rFonts w:ascii="仿宋_GB2312" w:hAnsi="仿宋_GB2312" w:cs="仿宋_GB2312" w:eastAsia="仿宋_GB2312"/>
              </w:rPr>
              <w:t>法定代表人证明书与法定代表人授权书.docx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提供《中小企业声明函》</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本项目专门面向中小企业采购;须符合《政府采购促进中小企业发展管理办法》(财库(2020)46号)规定的中小企业参加。(提供《中小企业声明函》);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法失信主体、政府采购严重违法失信行为记录名单”的供应商;不得为中国政府采购网(http://www.ccgp.gov.cn)“政府采购严重违法失信行为记录名单”中的供应商;(根据财库【2019】38号文规定，由采购人在投标截止日当天在“信用中国”网站和中国政府采购网站进行查询，截图留档;如网站无供应商信息的，供应商须提供相关证明资料或书面声明，放在在每份投标文件中。);</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单位负责人为同一人或者存在控股、管理关系的不同单位，不得同时参加同一招标项目投标，否则投标无效</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由采购人在投标截止日当天在“国家企业信用信息公示系统”网站进行查询，截图留档;如网站无供应商信息的，供应商须提供相关证明资料或承诺书，放在每份投标文件中。)</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供应商须具有测绘乙级资质或规划乙级及以上资质;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项⽬负责⼈</w:t>
            </w:r>
          </w:p>
        </w:tc>
        <w:tc>
          <w:tcPr>
            <w:tcW w:type="dxa" w:w="3322"/>
          </w:tcPr>
          <w:p>
            <w:pPr>
              <w:pStyle w:val="null3"/>
            </w:pPr>
            <w:r>
              <w:rPr>
                <w:rFonts w:ascii="仿宋_GB2312" w:hAnsi="仿宋_GB2312" w:cs="仿宋_GB2312" w:eastAsia="仿宋_GB2312"/>
              </w:rPr>
              <w:t>拟派项⽬负责⼈须具备注册测绘师或规划师资格或相关专业中级以上(含中级)技术职称;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响应文件按照磋商文件的要求盖章/签字</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法律、法规和磋商文件规定的其他无效投标情形</w:t>
            </w:r>
          </w:p>
        </w:tc>
        <w:tc>
          <w:tcPr>
            <w:tcW w:type="dxa" w:w="3322"/>
          </w:tcPr>
          <w:p>
            <w:pPr>
              <w:pStyle w:val="null3"/>
            </w:pPr>
            <w:r>
              <w:rPr>
                <w:rFonts w:ascii="仿宋_GB2312" w:hAnsi="仿宋_GB2312" w:cs="仿宋_GB2312" w:eastAsia="仿宋_GB2312"/>
              </w:rPr>
              <w:t>法律、法规和磋商文件规定的其他无效投标情形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项目背景和政策研究</w:t>
            </w:r>
          </w:p>
        </w:tc>
        <w:tc>
          <w:tcPr>
            <w:tcW w:type="dxa" w:w="2492"/>
          </w:tcPr>
          <w:p>
            <w:pPr>
              <w:pStyle w:val="null3"/>
            </w:pPr>
            <w:r>
              <w:rPr>
                <w:rFonts w:ascii="仿宋_GB2312" w:hAnsi="仿宋_GB2312" w:cs="仿宋_GB2312" w:eastAsia="仿宋_GB2312"/>
              </w:rPr>
              <w:t>供应商提供针对本项目的项目背景和政策研究，包含但不限于①项目背景分析；②前期项目资料收集；③针对本项目相关政策的研究解读等。评审标准：各项内容全面详细、阐述条理清晰、具有针对性、合理可行得6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数据保密承诺及安全措施</w:t>
            </w:r>
          </w:p>
        </w:tc>
        <w:tc>
          <w:tcPr>
            <w:tcW w:type="dxa" w:w="2492"/>
          </w:tcPr>
          <w:p>
            <w:pPr>
              <w:pStyle w:val="null3"/>
            </w:pPr>
            <w:r>
              <w:rPr>
                <w:rFonts w:ascii="仿宋_GB2312" w:hAnsi="仿宋_GB2312" w:cs="仿宋_GB2312" w:eastAsia="仿宋_GB2312"/>
              </w:rPr>
              <w:t>供应商针对本项目涉密、涉耕地底数、农户管护信息、空间矢量数据，提供完整保密及安全方案，包含但不限于：① 项目数据保密责任承诺；② 项目全过程数据采集、存储、传输、使用安全管控措施；③ 数据销毁、不外泄、不转借、不二次利用长效管理机制。评审标准：各项内容全面详细、阐述条理清晰、具有针对性、合理可行得9分。每有一项缺项扣3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项目需求分析与实施必要性</w:t>
            </w:r>
          </w:p>
        </w:tc>
        <w:tc>
          <w:tcPr>
            <w:tcW w:type="dxa" w:w="2492"/>
          </w:tcPr>
          <w:p>
            <w:pPr>
              <w:pStyle w:val="null3"/>
            </w:pPr>
            <w:r>
              <w:rPr>
                <w:rFonts w:ascii="仿宋_GB2312" w:hAnsi="仿宋_GB2312" w:cs="仿宋_GB2312" w:eastAsia="仿宋_GB2312"/>
              </w:rPr>
              <w:t>供应商提供针对本项目的项目需求分析与实施必要性，包含但不限于①项目核心工作需求拆解；②项目实施必要性分析；③现有工作基础与实施条件分析。评审标准：各项内容全面详细、阐述条理清晰、具有针对性、合理可行得9分。每有一项缺项扣3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工作进度与计划</w:t>
            </w:r>
          </w:p>
        </w:tc>
        <w:tc>
          <w:tcPr>
            <w:tcW w:type="dxa" w:w="2492"/>
          </w:tcPr>
          <w:p>
            <w:pPr>
              <w:pStyle w:val="null3"/>
            </w:pPr>
            <w:r>
              <w:rPr>
                <w:rFonts w:ascii="仿宋_GB2312" w:hAnsi="仿宋_GB2312" w:cs="仿宋_GB2312" w:eastAsia="仿宋_GB2312"/>
              </w:rPr>
              <w:t>供应商针对本项目制定进度计划方案，包含但不限于①服务进度表或服务时间节点计划；②进度保障措施；③服务期限滞后补救及进度管控措施。评审标准：方案各项内容全面详细、阐述条理清晰、具有针对性、合理可行得9分。每有一项缺项扣3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针对本项目的质量保证措施，包含但不限于①项目质量保障体系；②项目整体质量管控要求；③成果文件的质量保证措施。评审标准：各项内容全面详细、阐述条理清晰、具有针对性、合理可行得9分。每有一项缺项扣3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项目人员配置、岗位职责与团队保障</w:t>
            </w:r>
          </w:p>
        </w:tc>
        <w:tc>
          <w:tcPr>
            <w:tcW w:type="dxa" w:w="2492"/>
          </w:tcPr>
          <w:p>
            <w:pPr>
              <w:pStyle w:val="null3"/>
            </w:pPr>
            <w:r>
              <w:rPr>
                <w:rFonts w:ascii="仿宋_GB2312" w:hAnsi="仿宋_GB2312" w:cs="仿宋_GB2312" w:eastAsia="仿宋_GB2312"/>
              </w:rPr>
              <w:t>供应商针对本项目制定项目人员配置、岗位职责与团队保障，包含但不限于①项目团队架构配置；②各岗位人员职责分工；③人员值守、在岗保障机制。评审标准：各项内容全面详细、阐述条理清晰、具有针对性、合理可行得9分。每有一项缺项扣3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后续技术服务方案及措施</w:t>
            </w:r>
          </w:p>
        </w:tc>
        <w:tc>
          <w:tcPr>
            <w:tcW w:type="dxa" w:w="2492"/>
          </w:tcPr>
          <w:p>
            <w:pPr>
              <w:pStyle w:val="null3"/>
            </w:pPr>
            <w:r>
              <w:rPr>
                <w:rFonts w:ascii="仿宋_GB2312" w:hAnsi="仿宋_GB2312" w:cs="仿宋_GB2312" w:eastAsia="仿宋_GB2312"/>
              </w:rPr>
              <w:t>供应商针对本项目制定后续技术服务方案及措施，包含但不限于①售后服务内容；②保障措施；③后续承诺。评审标准：各项内容全面详细、阐述条理清晰、具有针对性、合理可行得9分。每有一项缺项扣3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提供针对本项目的项目实施方案，包含但不限于：①总体工作方案；②项目实施计划及组织实施方案。评审标准：各项内容全面详细、阐述条理清晰、具有针对性、合理可行得8分。每有一项缺项扣4分，每有一处内容存在缺陷，扣1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项目作出适用于本项目的重难点分析，内容包含但不限于：①重点难点分析；②应对措施。评审标准：各项内容全面详细、阐述条理清晰、具有针对性、合理可行得4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提供2023年6月（以合同签订时间为准）至今的类似项目业绩，提供合同复印件加盖公章，每提供 1 份计2分，本项最高计8分。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供应商认为需要提交的其他资料.docx</w:t>
            </w:r>
          </w:p>
          <w:p>
            <w:pPr>
              <w:pStyle w:val="null3"/>
            </w:pPr>
            <w:r>
              <w:rPr>
                <w:rFonts w:ascii="仿宋_GB2312" w:hAnsi="仿宋_GB2312" w:cs="仿宋_GB2312" w:eastAsia="仿宋_GB2312"/>
              </w:rPr>
              <w:t>反商业贿赂承诺函.docx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满足磋商文件要求且最终报价最低的供应商的价格为磋商基准价，其价格得分为满分。其他供应商的价格分统一按照下列公式计算：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详见附件：供应商认为需要提交的其他资料.docx</w:t>
      </w:r>
    </w:p>
    <w:p>
      <w:pPr>
        <w:pStyle w:val="null3"/>
        <w:ind w:firstLine="960"/>
      </w:pPr>
      <w:r>
        <w:rPr>
          <w:rFonts w:ascii="仿宋_GB2312" w:hAnsi="仿宋_GB2312" w:cs="仿宋_GB2312" w:eastAsia="仿宋_GB2312"/>
        </w:rPr>
        <w:t>详见附件：反商业贿赂承诺函.docx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详见附件：拟签订合同(1)(1).docx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