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CFF68">
      <w:pPr>
        <w:pStyle w:val="4"/>
        <w:jc w:val="center"/>
        <w:rPr>
          <w:rFonts w:hint="default" w:ascii="仿宋_GB2312" w:hAnsi="仿宋_GB2312" w:eastAsia="仿宋_GB2312" w:cs="仿宋_GB2312"/>
          <w:b/>
          <w:color w:val="auto"/>
          <w:sz w:val="22"/>
          <w:szCs w:val="22"/>
          <w:lang w:val="en-US" w:eastAsia="zh-CN"/>
        </w:rPr>
      </w:pPr>
      <w:r>
        <w:rPr>
          <w:rFonts w:hint="eastAsia" w:ascii="仿宋_GB2312" w:hAnsi="仿宋_GB2312" w:eastAsia="仿宋_GB2312" w:cs="仿宋_GB2312"/>
          <w:b/>
          <w:color w:val="auto"/>
          <w:sz w:val="22"/>
          <w:szCs w:val="22"/>
          <w:lang w:val="en-US" w:eastAsia="zh-CN"/>
        </w:rPr>
        <w:t>采购需求</w:t>
      </w:r>
    </w:p>
    <w:p w14:paraId="42C9FB29">
      <w:pPr>
        <w:pStyle w:val="4"/>
        <w:jc w:val="both"/>
        <w:rPr>
          <w:rFonts w:hint="eastAsia" w:ascii="仿宋_GB2312" w:hAnsi="仿宋_GB2312" w:eastAsia="仿宋_GB2312" w:cs="仿宋_GB2312"/>
          <w:b/>
          <w:color w:val="auto"/>
          <w:lang w:val="en-US" w:eastAsia="zh-CN"/>
        </w:rPr>
      </w:pPr>
      <w:r>
        <w:rPr>
          <w:rFonts w:hint="eastAsia" w:ascii="仿宋_GB2312" w:hAnsi="仿宋_GB2312" w:eastAsia="仿宋_GB2312" w:cs="仿宋_GB2312"/>
          <w:b/>
          <w:color w:val="auto"/>
          <w:lang w:val="en-US" w:eastAsia="zh-CN"/>
        </w:rPr>
        <w:t>一、项目概况</w:t>
      </w:r>
    </w:p>
    <w:p w14:paraId="6D94F7D7">
      <w:pPr>
        <w:pStyle w:val="4"/>
        <w:ind w:firstLine="400"/>
        <w:jc w:val="both"/>
        <w:rPr>
          <w:rFonts w:hint="eastAsia" w:ascii="仿宋_GB2312" w:hAnsi="仿宋_GB2312" w:eastAsia="仿宋_GB2312" w:cs="仿宋_GB2312"/>
          <w:color w:val="auto"/>
          <w:lang w:val="en-US" w:eastAsia="zh-CN"/>
        </w:rPr>
      </w:pPr>
      <w:r>
        <w:rPr>
          <w:rFonts w:ascii="仿宋_GB2312" w:hAnsi="仿宋_GB2312" w:eastAsia="仿宋_GB2312" w:cs="仿宋_GB2312"/>
          <w:color w:val="auto"/>
        </w:rPr>
        <w:t>对临潼区全域文化、旅游资源开展全面普查摸底，查清资源底数，完成资源分类调查、评价分级，建设区级文旅资源数据库，编制全套普查成果，为临潼文旅资源保护、开发利用提供基础支撑。</w:t>
      </w:r>
    </w:p>
    <w:p w14:paraId="62C9FA05">
      <w:pPr>
        <w:pStyle w:val="4"/>
        <w:jc w:val="both"/>
        <w:rPr>
          <w:color w:val="auto"/>
          <w:highlight w:val="none"/>
        </w:rPr>
      </w:pPr>
      <w:r>
        <w:rPr>
          <w:rFonts w:ascii="仿宋_GB2312" w:hAnsi="仿宋_GB2312" w:eastAsia="仿宋_GB2312" w:cs="仿宋_GB2312"/>
          <w:b/>
          <w:color w:val="auto"/>
        </w:rPr>
        <w:t>二、商务要求</w:t>
      </w:r>
    </w:p>
    <w:p w14:paraId="057B166D">
      <w:pPr>
        <w:pStyle w:val="4"/>
        <w:outlineLvl w:val="3"/>
        <w:rPr>
          <w:rFonts w:hint="default" w:ascii="仿宋_GB2312" w:hAnsi="仿宋_GB2312" w:eastAsia="仿宋_GB2312" w:cs="仿宋_GB2312"/>
          <w:color w:val="auto"/>
          <w:highlight w:val="none"/>
          <w:lang w:val="en-US" w:eastAsia="zh-CN"/>
        </w:rPr>
      </w:pPr>
      <w:r>
        <w:rPr>
          <w:rFonts w:ascii="仿宋_GB2312" w:hAnsi="仿宋_GB2312" w:eastAsia="仿宋_GB2312" w:cs="仿宋_GB2312"/>
          <w:color w:val="auto"/>
          <w:highlight w:val="none"/>
        </w:rPr>
        <w:t>1</w:t>
      </w:r>
      <w:r>
        <w:rPr>
          <w:rFonts w:hint="eastAsia" w:ascii="仿宋_GB2312" w:hAnsi="仿宋_GB2312" w:eastAsia="仿宋_GB2312" w:cs="仿宋_GB2312"/>
          <w:color w:val="auto"/>
          <w:highlight w:val="none"/>
          <w:lang w:eastAsia="zh-CN"/>
        </w:rPr>
        <w:t>、</w:t>
      </w:r>
      <w:r>
        <w:rPr>
          <w:rFonts w:ascii="仿宋_GB2312" w:hAnsi="仿宋_GB2312" w:eastAsia="仿宋_GB2312" w:cs="仿宋_GB2312"/>
          <w:color w:val="auto"/>
          <w:highlight w:val="none"/>
        </w:rPr>
        <w:t>服务期限：</w:t>
      </w:r>
      <w:r>
        <w:rPr>
          <w:rFonts w:hint="eastAsia" w:ascii="仿宋_GB2312" w:hAnsi="仿宋_GB2312" w:eastAsia="仿宋_GB2312" w:cs="仿宋_GB2312"/>
          <w:color w:val="auto"/>
          <w:highlight w:val="none"/>
          <w:lang w:val="en-US" w:eastAsia="zh-CN"/>
        </w:rPr>
        <w:t>自合同签订之日起3个月内完成所有普查任务，交付审核通过的成果资料并完成平台上报。</w:t>
      </w:r>
    </w:p>
    <w:p w14:paraId="5ECBD44D">
      <w:pPr>
        <w:pStyle w:val="4"/>
        <w:ind w:firstLine="420"/>
        <w:jc w:val="both"/>
        <w:rPr>
          <w:rFonts w:hint="eastAsia" w:ascii="仿宋_GB2312" w:hAnsi="仿宋_GB2312" w:eastAsia="仿宋_GB2312" w:cs="仿宋_GB2312"/>
          <w:color w:val="auto"/>
          <w:lang w:eastAsia="zh-CN"/>
        </w:rPr>
      </w:pPr>
      <w:r>
        <w:rPr>
          <w:rFonts w:ascii="仿宋_GB2312" w:hAnsi="仿宋_GB2312" w:eastAsia="仿宋_GB2312" w:cs="仿宋_GB2312"/>
          <w:color w:val="auto"/>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rPr>
        <w:t>服务地点：</w:t>
      </w:r>
      <w:r>
        <w:rPr>
          <w:rFonts w:hint="eastAsia" w:ascii="仿宋_GB2312" w:hAnsi="仿宋_GB2312" w:eastAsia="仿宋_GB2312" w:cs="仿宋_GB2312"/>
          <w:color w:val="auto"/>
          <w:lang w:val="en-US" w:eastAsia="zh-CN"/>
        </w:rPr>
        <w:t>西安市</w:t>
      </w:r>
      <w:r>
        <w:rPr>
          <w:rFonts w:ascii="仿宋_GB2312" w:hAnsi="仿宋_GB2312" w:eastAsia="仿宋_GB2312" w:cs="仿宋_GB2312"/>
          <w:color w:val="auto"/>
        </w:rPr>
        <w:t>临潼区</w:t>
      </w:r>
      <w:r>
        <w:rPr>
          <w:rFonts w:hint="eastAsia" w:ascii="仿宋_GB2312" w:hAnsi="仿宋_GB2312" w:eastAsia="仿宋_GB2312" w:cs="仿宋_GB2312"/>
          <w:color w:val="auto"/>
          <w:lang w:eastAsia="zh-CN"/>
        </w:rPr>
        <w:t>。</w:t>
      </w:r>
    </w:p>
    <w:p w14:paraId="2FC01FE7">
      <w:pPr>
        <w:pStyle w:val="4"/>
        <w:ind w:firstLine="420"/>
        <w:jc w:val="both"/>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3、服务标准：满足国家、行业相关标准规范要求。</w:t>
      </w:r>
    </w:p>
    <w:p w14:paraId="79E98E2F">
      <w:pPr>
        <w:pStyle w:val="4"/>
        <w:jc w:val="both"/>
        <w:rPr>
          <w:rFonts w:ascii="仿宋_GB2312" w:hAnsi="仿宋_GB2312" w:eastAsia="仿宋_GB2312" w:cs="仿宋_GB2312"/>
          <w:b/>
          <w:bCs/>
          <w:color w:val="auto"/>
        </w:rPr>
      </w:pPr>
      <w:r>
        <w:rPr>
          <w:rFonts w:hint="eastAsia" w:ascii="仿宋_GB2312" w:hAnsi="仿宋_GB2312" w:eastAsia="仿宋_GB2312" w:cs="仿宋_GB2312"/>
          <w:b/>
          <w:bCs/>
          <w:color w:val="auto"/>
          <w:lang w:val="en-US" w:eastAsia="zh-CN"/>
        </w:rPr>
        <w:t>三</w:t>
      </w:r>
      <w:r>
        <w:rPr>
          <w:rFonts w:ascii="仿宋_GB2312" w:hAnsi="仿宋_GB2312" w:eastAsia="仿宋_GB2312" w:cs="仿宋_GB2312"/>
          <w:b/>
          <w:bCs/>
          <w:color w:val="auto"/>
        </w:rPr>
        <w:t>、普查执行依据</w:t>
      </w:r>
    </w:p>
    <w:p w14:paraId="62699C5A">
      <w:pPr>
        <w:pStyle w:val="4"/>
        <w:ind w:firstLine="400"/>
        <w:jc w:val="both"/>
        <w:rPr>
          <w:rFonts w:ascii="仿宋_GB2312" w:hAnsi="仿宋_GB2312" w:eastAsia="仿宋_GB2312" w:cs="仿宋_GB2312"/>
          <w:color w:val="auto"/>
        </w:rPr>
      </w:pPr>
      <w:r>
        <w:rPr>
          <w:rFonts w:hint="eastAsia" w:ascii="仿宋_GB2312" w:hAnsi="仿宋_GB2312" w:eastAsia="仿宋_GB2312" w:cs="仿宋_GB2312"/>
          <w:color w:val="auto"/>
          <w:lang w:val="en-US" w:eastAsia="zh-CN"/>
        </w:rPr>
        <w:t>1、</w:t>
      </w:r>
      <w:r>
        <w:rPr>
          <w:rFonts w:ascii="仿宋_GB2312" w:hAnsi="仿宋_GB2312" w:eastAsia="仿宋_GB2312" w:cs="仿宋_GB2312"/>
          <w:color w:val="auto"/>
        </w:rPr>
        <w:t>文化和旅游部、陕西省、西安市文旅资源普查相关文件、标准及工作规程；</w:t>
      </w:r>
    </w:p>
    <w:p w14:paraId="4E8590FE">
      <w:pPr>
        <w:pStyle w:val="4"/>
        <w:ind w:firstLine="400"/>
        <w:jc w:val="both"/>
        <w:rPr>
          <w:rFonts w:ascii="仿宋_GB2312" w:hAnsi="仿宋_GB2312" w:eastAsia="仿宋_GB2312" w:cs="仿宋_GB2312"/>
          <w:color w:val="auto"/>
        </w:rPr>
      </w:pPr>
      <w:r>
        <w:rPr>
          <w:rFonts w:hint="eastAsia" w:ascii="仿宋_GB2312" w:hAnsi="仿宋_GB2312" w:eastAsia="仿宋_GB2312" w:cs="仿宋_GB2312"/>
          <w:color w:val="auto"/>
          <w:lang w:val="en-US" w:eastAsia="zh-CN"/>
        </w:rPr>
        <w:t>2、</w:t>
      </w:r>
      <w:r>
        <w:rPr>
          <w:rFonts w:ascii="仿宋_GB2312" w:hAnsi="仿宋_GB2312" w:eastAsia="仿宋_GB2312" w:cs="仿宋_GB2312"/>
          <w:color w:val="auto"/>
        </w:rPr>
        <w:t>《旅游资源分类、调查与评价》（GB/T18972</w:t>
      </w:r>
      <w:r>
        <w:rPr>
          <w:rFonts w:ascii="仿宋_GB2312" w:hAnsi="仿宋_GB2312" w:eastAsia="仿宋_GB2312" w:cs="仿宋_GB2312"/>
          <w:color w:val="auto"/>
        </w:rPr>
        <w:noBreakHyphen/>
      </w:r>
      <w:r>
        <w:rPr>
          <w:rFonts w:ascii="仿宋_GB2312" w:hAnsi="仿宋_GB2312" w:eastAsia="仿宋_GB2312" w:cs="仿宋_GB2312"/>
          <w:color w:val="auto"/>
        </w:rPr>
        <w:t>2017）国家标准；</w:t>
      </w:r>
    </w:p>
    <w:p w14:paraId="18C6177B">
      <w:pPr>
        <w:pStyle w:val="4"/>
        <w:ind w:firstLine="400"/>
        <w:jc w:val="both"/>
        <w:rPr>
          <w:rFonts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ascii="仿宋_GB2312" w:hAnsi="仿宋_GB2312" w:eastAsia="仿宋_GB2312" w:cs="仿宋_GB2312"/>
          <w:color w:val="auto"/>
        </w:rPr>
        <w:t>《陕西省文化和旅游资源普查标准体系》；</w:t>
      </w:r>
    </w:p>
    <w:p w14:paraId="1F7DBEC6">
      <w:pPr>
        <w:pStyle w:val="4"/>
        <w:ind w:firstLine="400"/>
        <w:jc w:val="both"/>
        <w:rPr>
          <w:rFonts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ascii="仿宋_GB2312" w:hAnsi="仿宋_GB2312" w:eastAsia="仿宋_GB2312" w:cs="仿宋_GB2312"/>
          <w:color w:val="auto"/>
        </w:rPr>
        <w:t>古籍、美术馆藏品、地方戏曲剧种、非物质文化遗产相关普查技术规范；</w:t>
      </w:r>
    </w:p>
    <w:p w14:paraId="09472D08">
      <w:pPr>
        <w:pStyle w:val="4"/>
        <w:jc w:val="both"/>
        <w:rPr>
          <w:color w:val="auto"/>
        </w:rPr>
      </w:pPr>
      <w:r>
        <w:rPr>
          <w:rFonts w:hint="eastAsia" w:ascii="仿宋_GB2312" w:hAnsi="仿宋_GB2312" w:eastAsia="仿宋_GB2312" w:cs="仿宋_GB2312"/>
          <w:b/>
          <w:color w:val="auto"/>
          <w:lang w:val="en-US" w:eastAsia="zh-CN"/>
        </w:rPr>
        <w:t>四</w:t>
      </w:r>
      <w:r>
        <w:rPr>
          <w:rFonts w:ascii="仿宋_GB2312" w:hAnsi="仿宋_GB2312" w:eastAsia="仿宋_GB2312" w:cs="仿宋_GB2312"/>
          <w:b/>
          <w:color w:val="auto"/>
        </w:rPr>
        <w:t>、普查对象</w:t>
      </w:r>
    </w:p>
    <w:p w14:paraId="793D8E75">
      <w:pPr>
        <w:pStyle w:val="4"/>
        <w:ind w:firstLine="400"/>
        <w:jc w:val="both"/>
        <w:rPr>
          <w:color w:val="auto"/>
        </w:rPr>
      </w:pPr>
      <w:r>
        <w:rPr>
          <w:rFonts w:ascii="仿宋_GB2312" w:hAnsi="仿宋_GB2312" w:eastAsia="仿宋_GB2312" w:cs="仿宋_GB2312"/>
          <w:color w:val="auto"/>
        </w:rPr>
        <w:t>分为文化资源和旅游资源两大部分</w:t>
      </w:r>
    </w:p>
    <w:p w14:paraId="68D78F16">
      <w:pPr>
        <w:pStyle w:val="4"/>
        <w:ind w:firstLine="400"/>
        <w:jc w:val="both"/>
        <w:rPr>
          <w:rFonts w:hint="eastAsia" w:eastAsia="仿宋_GB2312"/>
          <w:color w:val="auto"/>
          <w:lang w:eastAsia="zh-CN"/>
        </w:rPr>
      </w:pPr>
      <w:r>
        <w:rPr>
          <w:rFonts w:ascii="仿宋_GB2312" w:hAnsi="仿宋_GB2312" w:eastAsia="仿宋_GB2312" w:cs="仿宋_GB2312"/>
          <w:color w:val="auto"/>
        </w:rPr>
        <w:t>(一)文化资源</w:t>
      </w:r>
      <w:r>
        <w:rPr>
          <w:rFonts w:hint="eastAsia" w:ascii="仿宋_GB2312" w:hAnsi="仿宋_GB2312" w:eastAsia="仿宋_GB2312" w:cs="仿宋_GB2312"/>
          <w:color w:val="auto"/>
          <w:lang w:eastAsia="zh-CN"/>
        </w:rPr>
        <w:t>：</w:t>
      </w:r>
    </w:p>
    <w:p w14:paraId="667F973E">
      <w:pPr>
        <w:pStyle w:val="4"/>
        <w:ind w:firstLine="400"/>
        <w:jc w:val="both"/>
        <w:rPr>
          <w:rFonts w:ascii="仿宋_GB2312" w:hAnsi="仿宋_GB2312" w:eastAsia="仿宋_GB2312" w:cs="仿宋_GB2312"/>
          <w:color w:val="auto"/>
        </w:rPr>
      </w:pPr>
      <w:r>
        <w:rPr>
          <w:rFonts w:ascii="仿宋_GB2312" w:hAnsi="仿宋_GB2312" w:eastAsia="仿宋_GB2312" w:cs="仿宋_GB2312"/>
          <w:color w:val="auto"/>
        </w:rPr>
        <w:t>严格按照文旅部、省、市相关标准，对古籍、美术馆藏品、地方戏曲剧种、非物质文化遗产四大类文化资源开展普查。</w:t>
      </w:r>
    </w:p>
    <w:p w14:paraId="1270225A">
      <w:pPr>
        <w:pStyle w:val="4"/>
        <w:ind w:firstLine="400"/>
        <w:jc w:val="both"/>
        <w:rPr>
          <w:rFonts w:hint="eastAsia" w:eastAsia="仿宋_GB2312"/>
          <w:color w:val="auto"/>
          <w:lang w:eastAsia="zh-CN"/>
        </w:rPr>
      </w:pPr>
      <w:r>
        <w:rPr>
          <w:rFonts w:ascii="仿宋_GB2312" w:hAnsi="仿宋_GB2312" w:eastAsia="仿宋_GB2312" w:cs="仿宋_GB2312"/>
          <w:color w:val="auto"/>
        </w:rPr>
        <w:t>(二)旅游资源</w:t>
      </w:r>
      <w:r>
        <w:rPr>
          <w:rFonts w:hint="eastAsia" w:ascii="仿宋_GB2312" w:hAnsi="仿宋_GB2312" w:eastAsia="仿宋_GB2312" w:cs="仿宋_GB2312"/>
          <w:color w:val="auto"/>
          <w:lang w:eastAsia="zh-CN"/>
        </w:rPr>
        <w:t>：</w:t>
      </w:r>
    </w:p>
    <w:p w14:paraId="5A002533">
      <w:pPr>
        <w:pStyle w:val="4"/>
        <w:ind w:firstLine="400"/>
        <w:jc w:val="both"/>
        <w:rPr>
          <w:rFonts w:hint="eastAsia" w:ascii="仿宋_GB2312" w:hAnsi="仿宋_GB2312" w:eastAsia="仿宋_GB2312" w:cs="仿宋_GB2312"/>
          <w:color w:val="auto"/>
          <w:lang w:eastAsia="zh-CN"/>
        </w:rPr>
      </w:pPr>
      <w:r>
        <w:rPr>
          <w:rFonts w:ascii="仿宋_GB2312" w:hAnsi="仿宋_GB2312" w:eastAsia="仿宋_GB2312" w:cs="仿宋_GB2312"/>
          <w:color w:val="auto"/>
        </w:rPr>
        <w:t>全区范围内能对旅游者产生吸引力，可以为旅游业开发利用，并可产生经济效益、社会效益和环境效益的各种事物和现象。主要对地文景观、水文景观、生物景观、天气与气候景观、历史遗迹、建筑与设施、旅游商品（文创产品）、人文活动八大类资源开展普查</w:t>
      </w:r>
      <w:r>
        <w:rPr>
          <w:rFonts w:hint="eastAsia" w:ascii="仿宋_GB2312" w:hAnsi="仿宋_GB2312" w:eastAsia="仿宋_GB2312" w:cs="仿宋_GB2312"/>
          <w:color w:val="auto"/>
          <w:lang w:eastAsia="zh-CN"/>
        </w:rPr>
        <w:t>。</w:t>
      </w:r>
    </w:p>
    <w:p w14:paraId="4253972F">
      <w:pPr>
        <w:pStyle w:val="4"/>
        <w:ind w:firstLine="400"/>
        <w:jc w:val="both"/>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（三）普查范围</w:t>
      </w:r>
    </w:p>
    <w:p w14:paraId="7C196FA8">
      <w:pPr>
        <w:pStyle w:val="4"/>
        <w:ind w:firstLine="400"/>
        <w:jc w:val="both"/>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西安市临潼区22个街道。</w:t>
      </w:r>
    </w:p>
    <w:p w14:paraId="70C8F2EC">
      <w:pPr>
        <w:pStyle w:val="4"/>
        <w:jc w:val="both"/>
        <w:rPr>
          <w:color w:val="auto"/>
        </w:rPr>
      </w:pPr>
      <w:r>
        <w:rPr>
          <w:rFonts w:hint="eastAsia" w:ascii="仿宋_GB2312" w:hAnsi="仿宋_GB2312" w:eastAsia="仿宋_GB2312" w:cs="仿宋_GB2312"/>
          <w:b/>
          <w:color w:val="auto"/>
          <w:lang w:val="en-US" w:eastAsia="zh-CN"/>
        </w:rPr>
        <w:t>四</w:t>
      </w:r>
      <w:r>
        <w:rPr>
          <w:rFonts w:ascii="仿宋_GB2312" w:hAnsi="仿宋_GB2312" w:eastAsia="仿宋_GB2312" w:cs="仿宋_GB2312"/>
          <w:b/>
          <w:color w:val="auto"/>
        </w:rPr>
        <w:t>、普查原则</w:t>
      </w:r>
    </w:p>
    <w:p w14:paraId="149A5384">
      <w:pPr>
        <w:pStyle w:val="4"/>
        <w:ind w:firstLine="400"/>
        <w:jc w:val="both"/>
        <w:rPr>
          <w:rFonts w:ascii="仿宋_GB2312" w:hAnsi="仿宋_GB2312" w:eastAsia="仿宋_GB2312" w:cs="仿宋_GB2312"/>
          <w:color w:val="auto"/>
        </w:rPr>
      </w:pPr>
      <w:r>
        <w:rPr>
          <w:rFonts w:ascii="仿宋_GB2312" w:hAnsi="仿宋_GB2312" w:eastAsia="仿宋_GB2312" w:cs="仿宋_GB2312"/>
          <w:color w:val="auto"/>
        </w:rPr>
        <w:t>统一领导，各负其责：遵循 “统一领导、分工协作、分级负责、共同参与” 实施，配合区级各职能部门协同开展普查工作。</w:t>
      </w:r>
    </w:p>
    <w:p w14:paraId="5F4FD6BE">
      <w:pPr>
        <w:pStyle w:val="4"/>
        <w:ind w:firstLine="400"/>
        <w:jc w:val="both"/>
        <w:rPr>
          <w:rFonts w:ascii="仿宋_GB2312" w:hAnsi="仿宋_GB2312" w:eastAsia="仿宋_GB2312" w:cs="仿宋_GB2312"/>
          <w:color w:val="auto"/>
        </w:rPr>
      </w:pPr>
      <w:r>
        <w:rPr>
          <w:rFonts w:ascii="仿宋_GB2312" w:hAnsi="仿宋_GB2312" w:eastAsia="仿宋_GB2312" w:cs="仿宋_GB2312"/>
          <w:color w:val="auto"/>
        </w:rPr>
        <w:t>严格标准，普调结合：严格执行国家、省级标准、技术规程，建设临潼区文化旅游资源数据库；实行普查 + 调查相结合，传统手段 + 数字化技术相结合；对各行业部门管理存量资源采用资料调查，对区域资源开展现场实地普查，做到能普尽普、应普尽普。</w:t>
      </w:r>
    </w:p>
    <w:p w14:paraId="5478126B">
      <w:pPr>
        <w:pStyle w:val="4"/>
        <w:ind w:firstLine="400"/>
        <w:jc w:val="both"/>
        <w:rPr>
          <w:rFonts w:ascii="仿宋_GB2312" w:hAnsi="仿宋_GB2312" w:eastAsia="仿宋_GB2312" w:cs="仿宋_GB2312"/>
          <w:color w:val="auto"/>
        </w:rPr>
      </w:pPr>
      <w:r>
        <w:rPr>
          <w:rFonts w:ascii="仿宋_GB2312" w:hAnsi="仿宋_GB2312" w:eastAsia="仿宋_GB2312" w:cs="仿宋_GB2312"/>
          <w:color w:val="auto"/>
        </w:rPr>
        <w:t>全面动员，凝聚合力：统筹协调，做到行政推动与专业技术结合、地方与行业结合、群众参与和专业调查结合、存量资源发掘和新资源发现相结合，多方合力完成普查，力争新发现一批优质文旅资源。</w:t>
      </w:r>
    </w:p>
    <w:p w14:paraId="50C95BA8">
      <w:pPr>
        <w:pStyle w:val="4"/>
        <w:jc w:val="both"/>
        <w:rPr>
          <w:color w:val="auto"/>
        </w:rPr>
      </w:pPr>
      <w:r>
        <w:rPr>
          <w:rFonts w:hint="eastAsia" w:ascii="仿宋_GB2312" w:hAnsi="仿宋_GB2312" w:eastAsia="仿宋_GB2312" w:cs="仿宋_GB2312"/>
          <w:b/>
          <w:color w:val="auto"/>
          <w:lang w:val="en-US" w:eastAsia="zh-CN"/>
        </w:rPr>
        <w:t>五</w:t>
      </w:r>
      <w:r>
        <w:rPr>
          <w:rFonts w:ascii="仿宋_GB2312" w:hAnsi="仿宋_GB2312" w:eastAsia="仿宋_GB2312" w:cs="仿宋_GB2312"/>
          <w:b/>
          <w:color w:val="auto"/>
        </w:rPr>
        <w:t>、普查主要任务</w:t>
      </w:r>
    </w:p>
    <w:p w14:paraId="27FBB72E">
      <w:pPr>
        <w:pStyle w:val="4"/>
        <w:ind w:firstLine="400"/>
        <w:jc w:val="both"/>
        <w:rPr>
          <w:color w:val="auto"/>
        </w:rPr>
      </w:pPr>
      <w:r>
        <w:rPr>
          <w:rFonts w:ascii="仿宋_GB2312" w:hAnsi="仿宋_GB2312" w:eastAsia="仿宋_GB2312" w:cs="仿宋_GB2312"/>
          <w:color w:val="auto"/>
        </w:rPr>
        <w:t>(一)依据文化和旅游部有关标准、《旅游资源分类、调查与评价》(GB/T18972-2017)《陕西省文化和旅游资源普查标准体系》和其他相关技术标准</w:t>
      </w:r>
      <w:r>
        <w:rPr>
          <w:rFonts w:hint="eastAsia" w:ascii="仿宋_GB2312" w:hAnsi="仿宋_GB2312" w:eastAsia="仿宋_GB2312" w:cs="仿宋_GB2312"/>
          <w:color w:val="auto"/>
          <w:lang w:eastAsia="zh-CN"/>
        </w:rPr>
        <w:t>，</w:t>
      </w:r>
      <w:r>
        <w:rPr>
          <w:rFonts w:ascii="仿宋_GB2312" w:hAnsi="仿宋_GB2312" w:eastAsia="仿宋_GB2312" w:cs="仿宋_GB2312"/>
          <w:color w:val="auto"/>
        </w:rPr>
        <w:t>做好旅游资源普查标准解读和宣贯工作。</w:t>
      </w:r>
    </w:p>
    <w:p w14:paraId="1E5FC17C">
      <w:pPr>
        <w:pStyle w:val="4"/>
        <w:ind w:firstLine="400"/>
        <w:jc w:val="both"/>
        <w:rPr>
          <w:color w:val="auto"/>
        </w:rPr>
      </w:pPr>
      <w:r>
        <w:rPr>
          <w:rFonts w:ascii="仿宋_GB2312" w:hAnsi="仿宋_GB2312" w:eastAsia="仿宋_GB2312" w:cs="仿宋_GB2312"/>
          <w:color w:val="auto"/>
        </w:rPr>
        <w:t>(二)对普查人员进行全面培训。面向参与普查工作人员开展系统培训，使其掌握普查顶层设计、技术指标、外业调查、成果编制、审查报送全流程要求。</w:t>
      </w:r>
    </w:p>
    <w:p w14:paraId="4ED52A0A">
      <w:pPr>
        <w:pStyle w:val="4"/>
        <w:keepNext w:val="0"/>
        <w:keepLines/>
        <w:pageBreakBefore w:val="0"/>
        <w:widowControl/>
        <w:kinsoku/>
        <w:wordWrap w:val="0"/>
        <w:overflowPunct/>
        <w:topLinePunct/>
        <w:autoSpaceDE/>
        <w:autoSpaceDN/>
        <w:bidi w:val="0"/>
        <w:adjustRightInd/>
        <w:snapToGrid/>
        <w:ind w:firstLine="400"/>
        <w:jc w:val="both"/>
        <w:textAlignment w:val="auto"/>
        <w:rPr>
          <w:color w:val="auto"/>
        </w:rPr>
      </w:pPr>
      <w:r>
        <w:rPr>
          <w:rFonts w:ascii="仿宋_GB2312" w:hAnsi="仿宋_GB2312" w:eastAsia="仿宋_GB2312" w:cs="仿宋_GB2312"/>
          <w:color w:val="auto"/>
        </w:rPr>
        <w:t>(三)系统收集整理与文化和旅游相关的分布于各级名部门的各种资料和研究成果，并进行分析、识别、归类。制定本次普查工作中形成的文件材料归档范围和档案管理办法，做好普查文件材料的收集、归档和管理工作。</w:t>
      </w:r>
    </w:p>
    <w:p w14:paraId="4214F4B4">
      <w:pPr>
        <w:pStyle w:val="4"/>
        <w:keepNext w:val="0"/>
        <w:keepLines/>
        <w:pageBreakBefore w:val="0"/>
        <w:widowControl/>
        <w:kinsoku/>
        <w:wordWrap w:val="0"/>
        <w:overflowPunct/>
        <w:topLinePunct/>
        <w:autoSpaceDE/>
        <w:autoSpaceDN/>
        <w:bidi w:val="0"/>
        <w:adjustRightInd/>
        <w:snapToGrid/>
        <w:ind w:firstLine="400"/>
        <w:jc w:val="both"/>
        <w:textAlignment w:val="auto"/>
        <w:rPr>
          <w:rFonts w:ascii="仿宋_GB2312" w:hAnsi="仿宋_GB2312" w:eastAsia="仿宋_GB2312" w:cs="仿宋_GB2312"/>
          <w:color w:val="auto"/>
        </w:rPr>
      </w:pPr>
      <w:r>
        <w:rPr>
          <w:rFonts w:ascii="仿宋_GB2312" w:hAnsi="仿宋_GB2312" w:eastAsia="仿宋_GB2312" w:cs="仿宋_GB2312"/>
          <w:color w:val="auto"/>
        </w:rPr>
        <w:t>(四)开展临潼区全域实地现场普查，现场踏勘</w:t>
      </w:r>
      <w:r>
        <w:rPr>
          <w:rFonts w:hint="eastAsia" w:ascii="仿宋_GB2312" w:hAnsi="仿宋_GB2312" w:eastAsia="仿宋_GB2312" w:cs="仿宋_GB2312"/>
          <w:color w:val="auto"/>
          <w:lang w:val="en-US" w:eastAsia="zh-CN"/>
        </w:rPr>
        <w:t>测量</w:t>
      </w:r>
      <w:r>
        <w:rPr>
          <w:rFonts w:ascii="仿宋_GB2312" w:hAnsi="仿宋_GB2312" w:eastAsia="仿宋_GB2312" w:cs="仿宋_GB2312"/>
          <w:color w:val="auto"/>
        </w:rPr>
        <w:t>核实资源点位，采集资源坐标、影像、现状信息，力争新发现一批优质文旅资源。</w:t>
      </w:r>
    </w:p>
    <w:p w14:paraId="4B537082">
      <w:pPr>
        <w:pStyle w:val="4"/>
        <w:keepNext w:val="0"/>
        <w:keepLines/>
        <w:pageBreakBefore w:val="0"/>
        <w:widowControl/>
        <w:kinsoku/>
        <w:wordWrap w:val="0"/>
        <w:overflowPunct/>
        <w:topLinePunct/>
        <w:autoSpaceDE/>
        <w:autoSpaceDN/>
        <w:bidi w:val="0"/>
        <w:adjustRightInd/>
        <w:snapToGrid/>
        <w:ind w:firstLine="400"/>
        <w:jc w:val="both"/>
        <w:textAlignment w:val="auto"/>
        <w:rPr>
          <w:color w:val="auto"/>
        </w:rPr>
      </w:pPr>
      <w:r>
        <w:rPr>
          <w:rFonts w:ascii="仿宋_GB2312" w:hAnsi="仿宋_GB2312" w:eastAsia="仿宋_GB2312" w:cs="仿宋_GB2312"/>
          <w:color w:val="auto"/>
        </w:rPr>
        <w:t>(五)资源评价分级：按照国家及省级标准，对全部文化、旅游资源单体客观开展评价、归类、等级划分。</w:t>
      </w:r>
    </w:p>
    <w:p w14:paraId="33414111">
      <w:pPr>
        <w:pStyle w:val="4"/>
        <w:keepNext w:val="0"/>
        <w:keepLines/>
        <w:pageBreakBefore w:val="0"/>
        <w:widowControl/>
        <w:kinsoku/>
        <w:wordWrap w:val="0"/>
        <w:overflowPunct/>
        <w:topLinePunct/>
        <w:autoSpaceDE/>
        <w:autoSpaceDN/>
        <w:bidi w:val="0"/>
        <w:adjustRightInd/>
        <w:snapToGrid/>
        <w:ind w:firstLine="400"/>
        <w:jc w:val="both"/>
        <w:textAlignment w:val="auto"/>
        <w:rPr>
          <w:rFonts w:ascii="仿宋_GB2312" w:hAnsi="仿宋_GB2312" w:eastAsia="仿宋_GB2312" w:cs="仿宋_GB2312"/>
          <w:color w:val="auto"/>
          <w:highlight w:val="none"/>
        </w:rPr>
      </w:pPr>
      <w:r>
        <w:rPr>
          <w:rFonts w:ascii="仿宋_GB2312" w:hAnsi="仿宋_GB2312" w:eastAsia="仿宋_GB2312" w:cs="仿宋_GB2312"/>
          <w:color w:val="auto"/>
        </w:rPr>
        <w:t>(六)依托陕西省文化和旅游资源信息管理平台，建设临潼区文化和旅游资源数据库，完成数据标准化录入</w:t>
      </w:r>
      <w:r>
        <w:rPr>
          <w:rFonts w:hint="eastAsia" w:ascii="仿宋_GB2312" w:hAnsi="仿宋_GB2312" w:eastAsia="仿宋_GB2312" w:cs="仿宋_GB2312"/>
          <w:color w:val="auto"/>
          <w:lang w:eastAsia="zh-CN"/>
        </w:rPr>
        <w:t>，</w:t>
      </w:r>
      <w:r>
        <w:rPr>
          <w:rFonts w:ascii="仿宋_GB2312" w:hAnsi="仿宋_GB2312" w:eastAsia="仿宋_GB2312" w:cs="仿宋_GB2312"/>
          <w:color w:val="auto"/>
        </w:rPr>
        <w:t>编制调查图集、全套普查报告资料，按</w:t>
      </w:r>
      <w:r>
        <w:rPr>
          <w:rFonts w:ascii="仿宋_GB2312" w:hAnsi="仿宋_GB2312" w:eastAsia="仿宋_GB2312" w:cs="仿宋_GB2312"/>
          <w:color w:val="auto"/>
          <w:highlight w:val="none"/>
        </w:rPr>
        <w:t>要求逐级汇总上报，形成完整普查成果。</w:t>
      </w:r>
    </w:p>
    <w:p w14:paraId="0FA3F0B2">
      <w:pPr>
        <w:pStyle w:val="4"/>
        <w:keepNext w:val="0"/>
        <w:keepLines/>
        <w:pageBreakBefore w:val="0"/>
        <w:widowControl/>
        <w:kinsoku/>
        <w:wordWrap w:val="0"/>
        <w:overflowPunct/>
        <w:topLinePunct/>
        <w:autoSpaceDE/>
        <w:autoSpaceDN/>
        <w:bidi w:val="0"/>
        <w:adjustRightInd/>
        <w:snapToGrid/>
        <w:jc w:val="both"/>
        <w:textAlignment w:val="auto"/>
        <w:rPr>
          <w:rFonts w:hint="default" w:eastAsia="仿宋_GB2312"/>
          <w:color w:val="auto"/>
          <w:highlight w:val="none"/>
          <w:lang w:val="en-US" w:eastAsia="zh-CN"/>
        </w:rPr>
      </w:pPr>
      <w:r>
        <w:rPr>
          <w:rFonts w:hint="eastAsia" w:ascii="仿宋_GB2312" w:hAnsi="仿宋_GB2312" w:eastAsia="仿宋_GB2312" w:cs="仿宋_GB2312"/>
          <w:b/>
          <w:color w:val="auto"/>
          <w:highlight w:val="none"/>
          <w:lang w:val="en-US" w:eastAsia="zh-CN"/>
        </w:rPr>
        <w:t>六</w:t>
      </w:r>
      <w:r>
        <w:rPr>
          <w:rFonts w:ascii="仿宋_GB2312" w:hAnsi="仿宋_GB2312" w:eastAsia="仿宋_GB2312" w:cs="仿宋_GB2312"/>
          <w:b/>
          <w:color w:val="auto"/>
          <w:highlight w:val="none"/>
        </w:rPr>
        <w:t>、成果要求</w:t>
      </w:r>
      <w:r>
        <w:rPr>
          <w:rFonts w:hint="eastAsia" w:ascii="仿宋_GB2312" w:hAnsi="仿宋_GB2312" w:eastAsia="仿宋_GB2312" w:cs="仿宋_GB2312"/>
          <w:b/>
          <w:color w:val="auto"/>
          <w:highlight w:val="none"/>
          <w:lang w:eastAsia="zh-CN"/>
        </w:rPr>
        <w:t>（</w:t>
      </w:r>
      <w:r>
        <w:rPr>
          <w:rFonts w:hint="eastAsia" w:ascii="仿宋_GB2312" w:hAnsi="仿宋_GB2312" w:eastAsia="仿宋_GB2312" w:cs="仿宋_GB2312"/>
          <w:b/>
          <w:color w:val="auto"/>
          <w:highlight w:val="none"/>
          <w:lang w:val="en-US" w:eastAsia="zh-CN"/>
        </w:rPr>
        <w:t>至少包含）</w:t>
      </w:r>
    </w:p>
    <w:p w14:paraId="01339B9D">
      <w:pPr>
        <w:pStyle w:val="4"/>
        <w:ind w:firstLine="400"/>
        <w:jc w:val="both"/>
        <w:rPr>
          <w:rFonts w:ascii="仿宋_GB2312" w:hAnsi="仿宋_GB2312" w:eastAsia="仿宋_GB2312" w:cs="仿宋_GB2312"/>
          <w:color w:val="auto"/>
          <w:highlight w:val="none"/>
        </w:rPr>
      </w:pPr>
      <w:r>
        <w:rPr>
          <w:rFonts w:ascii="仿宋_GB2312" w:hAnsi="仿宋_GB2312" w:eastAsia="仿宋_GB2312" w:cs="仿宋_GB2312"/>
          <w:color w:val="auto"/>
          <w:highlight w:val="none"/>
        </w:rPr>
        <w:t>所有成果</w:t>
      </w:r>
      <w:r>
        <w:rPr>
          <w:rFonts w:hint="eastAsia" w:ascii="仿宋_GB2312" w:hAnsi="仿宋_GB2312" w:eastAsia="仿宋_GB2312" w:cs="仿宋_GB2312"/>
          <w:color w:val="auto"/>
          <w:highlight w:val="none"/>
          <w:lang w:val="en-US" w:eastAsia="zh-CN"/>
        </w:rPr>
        <w:t>经评审修改通过后，</w:t>
      </w:r>
      <w:r>
        <w:rPr>
          <w:rFonts w:ascii="仿宋_GB2312" w:hAnsi="仿宋_GB2312" w:eastAsia="仿宋_GB2312" w:cs="仿宋_GB2312"/>
          <w:color w:val="auto"/>
          <w:highlight w:val="none"/>
        </w:rPr>
        <w:t>提供纸质版</w:t>
      </w:r>
      <w:r>
        <w:rPr>
          <w:rFonts w:hint="eastAsia" w:ascii="仿宋_GB2312" w:hAnsi="仿宋_GB2312" w:eastAsia="仿宋_GB2312" w:cs="仿宋_GB2312"/>
          <w:color w:val="auto"/>
          <w:highlight w:val="none"/>
          <w:lang w:val="en-US" w:eastAsia="zh-CN"/>
        </w:rPr>
        <w:t>两份</w:t>
      </w:r>
      <w:r>
        <w:rPr>
          <w:rFonts w:ascii="仿宋_GB2312" w:hAnsi="仿宋_GB2312" w:eastAsia="仿宋_GB2312" w:cs="仿宋_GB2312"/>
          <w:color w:val="auto"/>
          <w:highlight w:val="none"/>
        </w:rPr>
        <w:t>、可编辑电子版本、PDF 固化版本；数据库需符合省级平台入库格式，能够正常导入陕西省文化和旅游资源信息管理平台。</w:t>
      </w:r>
    </w:p>
    <w:p w14:paraId="3DB56BB3">
      <w:pPr>
        <w:pStyle w:val="4"/>
        <w:ind w:firstLine="400"/>
        <w:jc w:val="both"/>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（一）文字成果</w:t>
      </w:r>
    </w:p>
    <w:p w14:paraId="6EFC0456">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1、</w:t>
      </w:r>
      <w:r>
        <w:rPr>
          <w:rFonts w:ascii="仿宋_GB2312" w:hAnsi="仿宋_GB2312" w:eastAsia="仿宋_GB2312" w:cs="仿宋_GB2312"/>
          <w:color w:val="auto"/>
          <w:highlight w:val="none"/>
        </w:rPr>
        <w:t>《临潼区文化和旅游资源普查实施方案》</w:t>
      </w:r>
    </w:p>
    <w:p w14:paraId="6F11A4C5">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2、</w:t>
      </w:r>
      <w:r>
        <w:rPr>
          <w:rFonts w:ascii="仿宋_GB2312" w:hAnsi="仿宋_GB2312" w:eastAsia="仿宋_GB2312" w:cs="仿宋_GB2312"/>
          <w:color w:val="auto"/>
          <w:highlight w:val="none"/>
        </w:rPr>
        <w:t>《临潼区文化和旅游资源普查技术方案》</w:t>
      </w:r>
    </w:p>
    <w:p w14:paraId="387D0541">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3、</w:t>
      </w:r>
      <w:r>
        <w:rPr>
          <w:rFonts w:ascii="仿宋_GB2312" w:hAnsi="仿宋_GB2312" w:eastAsia="仿宋_GB2312" w:cs="仿宋_GB2312"/>
          <w:color w:val="auto"/>
          <w:highlight w:val="none"/>
        </w:rPr>
        <w:t>《临潼区文化和旅游资源普查报告》（含附图、</w:t>
      </w:r>
      <w:r>
        <w:rPr>
          <w:rFonts w:hint="eastAsia" w:ascii="仿宋_GB2312" w:hAnsi="仿宋_GB2312" w:eastAsia="仿宋_GB2312" w:cs="仿宋_GB2312"/>
          <w:color w:val="auto"/>
          <w:highlight w:val="none"/>
          <w:lang w:val="en-US" w:eastAsia="zh-CN"/>
        </w:rPr>
        <w:t>旅游</w:t>
      </w:r>
      <w:r>
        <w:rPr>
          <w:rFonts w:ascii="仿宋_GB2312" w:hAnsi="仿宋_GB2312" w:eastAsia="仿宋_GB2312" w:cs="仿宋_GB2312"/>
          <w:color w:val="auto"/>
          <w:highlight w:val="none"/>
        </w:rPr>
        <w:t>资源名录）</w:t>
      </w:r>
    </w:p>
    <w:p w14:paraId="20037AE6">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4、</w:t>
      </w:r>
      <w:r>
        <w:rPr>
          <w:rFonts w:ascii="仿宋_GB2312" w:hAnsi="仿宋_GB2312" w:eastAsia="仿宋_GB2312" w:cs="仿宋_GB2312"/>
          <w:color w:val="auto"/>
          <w:highlight w:val="none"/>
        </w:rPr>
        <w:t>《临潼区文化和旅游资源普查工作</w:t>
      </w:r>
      <w:r>
        <w:rPr>
          <w:rFonts w:hint="eastAsia" w:ascii="仿宋_GB2312" w:hAnsi="仿宋_GB2312" w:eastAsia="仿宋_GB2312" w:cs="仿宋_GB2312"/>
          <w:color w:val="auto"/>
          <w:highlight w:val="none"/>
          <w:lang w:val="en-US" w:eastAsia="zh-CN"/>
        </w:rPr>
        <w:t>报告</w:t>
      </w:r>
      <w:r>
        <w:rPr>
          <w:rFonts w:ascii="仿宋_GB2312" w:hAnsi="仿宋_GB2312" w:eastAsia="仿宋_GB2312" w:cs="仿宋_GB2312"/>
          <w:color w:val="auto"/>
          <w:highlight w:val="none"/>
        </w:rPr>
        <w:t>》</w:t>
      </w:r>
    </w:p>
    <w:p w14:paraId="60E0F704">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 xml:space="preserve">5、 </w:t>
      </w:r>
      <w:r>
        <w:rPr>
          <w:rFonts w:ascii="仿宋_GB2312" w:hAnsi="仿宋_GB2312" w:eastAsia="仿宋_GB2312" w:cs="仿宋_GB2312"/>
          <w:color w:val="auto"/>
          <w:highlight w:val="none"/>
        </w:rPr>
        <w:t>普查档案归档资料（过程文件、培训资料、</w:t>
      </w:r>
      <w:r>
        <w:rPr>
          <w:rFonts w:hint="eastAsia" w:ascii="仿宋_GB2312" w:hAnsi="仿宋_GB2312" w:eastAsia="仿宋_GB2312" w:cs="仿宋_GB2312"/>
          <w:color w:val="auto"/>
          <w:highlight w:val="none"/>
          <w:lang w:val="en-US" w:eastAsia="zh-CN"/>
        </w:rPr>
        <w:t>专家验收</w:t>
      </w:r>
      <w:r>
        <w:rPr>
          <w:rFonts w:ascii="仿宋_GB2312" w:hAnsi="仿宋_GB2312" w:eastAsia="仿宋_GB2312" w:cs="仿宋_GB2312"/>
          <w:color w:val="auto"/>
          <w:highlight w:val="none"/>
        </w:rPr>
        <w:t>整改材料等）</w:t>
      </w:r>
    </w:p>
    <w:p w14:paraId="6BFDCCBA">
      <w:pPr>
        <w:pStyle w:val="4"/>
        <w:ind w:firstLine="400"/>
        <w:jc w:val="both"/>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（二）图件成果</w:t>
      </w:r>
    </w:p>
    <w:p w14:paraId="42B1B5D6">
      <w:pPr>
        <w:pStyle w:val="4"/>
        <w:ind w:firstLine="400"/>
        <w:jc w:val="both"/>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临潼区文旅资源调查系列图集，包含资源分布图、类型分布图、资源评价分级图等。</w:t>
      </w:r>
    </w:p>
    <w:p w14:paraId="68D4E6BF">
      <w:pPr>
        <w:pStyle w:val="4"/>
        <w:ind w:firstLine="400"/>
        <w:jc w:val="both"/>
        <w:rPr>
          <w:rFonts w:ascii="仿宋_GB2312" w:hAnsi="仿宋_GB2312" w:eastAsia="仿宋_GB2312" w:cs="仿宋_GB2312"/>
          <w:color w:val="auto"/>
          <w:highlight w:val="none"/>
        </w:rPr>
      </w:pPr>
      <w:r>
        <w:rPr>
          <w:rFonts w:ascii="仿宋_GB2312" w:hAnsi="仿宋_GB2312" w:eastAsia="仿宋_GB2312" w:cs="仿宋_GB2312"/>
          <w:color w:val="auto"/>
          <w:highlight w:val="none"/>
        </w:rPr>
        <w:t>（三）数据成果</w:t>
      </w:r>
    </w:p>
    <w:p w14:paraId="14757396">
      <w:pPr>
        <w:pStyle w:val="4"/>
        <w:ind w:firstLine="40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1、</w:t>
      </w:r>
      <w:r>
        <w:rPr>
          <w:rFonts w:ascii="仿宋_GB2312" w:hAnsi="仿宋_GB2312" w:eastAsia="仿宋_GB2312" w:cs="仿宋_GB2312"/>
          <w:color w:val="auto"/>
          <w:highlight w:val="none"/>
        </w:rPr>
        <w:t>临潼区文化和旅游资源数据库；</w:t>
      </w:r>
    </w:p>
    <w:p w14:paraId="455733D9">
      <w:pPr>
        <w:pStyle w:val="4"/>
        <w:ind w:firstLine="400"/>
        <w:jc w:val="both"/>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val="en-US" w:eastAsia="zh-CN"/>
        </w:rPr>
        <w:t>2、</w:t>
      </w:r>
      <w:r>
        <w:rPr>
          <w:rFonts w:ascii="仿宋_GB2312" w:hAnsi="仿宋_GB2312" w:eastAsia="仿宋_GB2312" w:cs="仿宋_GB2312"/>
          <w:color w:val="auto"/>
          <w:highlight w:val="none"/>
        </w:rPr>
        <w:t>资源名录数据表、普查表单数据集、资源影像图集（现场实拍照片、点位坐标信息等</w:t>
      </w:r>
      <w:r>
        <w:rPr>
          <w:rFonts w:hint="eastAsia" w:ascii="仿宋_GB2312" w:hAnsi="仿宋_GB2312" w:eastAsia="仿宋_GB2312" w:cs="仿宋_GB2312"/>
          <w:color w:val="auto"/>
          <w:highlight w:val="none"/>
          <w:lang w:val="en-US" w:eastAsia="zh-CN"/>
        </w:rPr>
        <w:t>录入</w:t>
      </w:r>
      <w:r>
        <w:rPr>
          <w:rFonts w:ascii="仿宋_GB2312" w:hAnsi="仿宋_GB2312" w:eastAsia="仿宋_GB2312" w:cs="仿宋_GB2312"/>
          <w:color w:val="auto"/>
          <w:highlight w:val="none"/>
        </w:rPr>
        <w:t>陕西省</w:t>
      </w:r>
      <w:r>
        <w:rPr>
          <w:rFonts w:hint="eastAsia" w:ascii="仿宋_GB2312" w:hAnsi="仿宋_GB2312" w:eastAsia="仿宋_GB2312" w:cs="仿宋_GB2312"/>
          <w:color w:val="auto"/>
          <w:highlight w:val="none"/>
          <w:lang w:val="en-US" w:eastAsia="zh-CN"/>
        </w:rPr>
        <w:t>文化和旅游资源信息管理</w:t>
      </w:r>
      <w:r>
        <w:rPr>
          <w:rFonts w:ascii="仿宋_GB2312" w:hAnsi="仿宋_GB2312" w:eastAsia="仿宋_GB2312" w:cs="仿宋_GB2312"/>
          <w:color w:val="auto"/>
          <w:highlight w:val="none"/>
        </w:rPr>
        <w:t>平台</w:t>
      </w:r>
      <w:r>
        <w:rPr>
          <w:rFonts w:hint="eastAsia" w:ascii="仿宋_GB2312" w:hAnsi="仿宋_GB2312" w:eastAsia="仿宋_GB2312" w:cs="仿宋_GB2312"/>
          <w:color w:val="auto"/>
          <w:highlight w:val="none"/>
          <w:lang w:eastAsia="zh-CN"/>
        </w:rPr>
        <w:t>）。</w:t>
      </w:r>
    </w:p>
    <w:p w14:paraId="14106EE8">
      <w:pPr>
        <w:pStyle w:val="4"/>
        <w:jc w:val="both"/>
        <w:rPr>
          <w:rFonts w:hint="eastAsia"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七</w:t>
      </w:r>
      <w:r>
        <w:rPr>
          <w:rFonts w:ascii="仿宋_GB2312" w:hAnsi="仿宋_GB2312" w:eastAsia="仿宋_GB2312" w:cs="仿宋_GB2312"/>
          <w:b/>
          <w:bCs/>
          <w:color w:val="auto"/>
          <w:highlight w:val="none"/>
        </w:rPr>
        <w:t>、</w:t>
      </w:r>
      <w:r>
        <w:rPr>
          <w:rFonts w:hint="eastAsia" w:ascii="仿宋_GB2312" w:hAnsi="仿宋_GB2312" w:eastAsia="仿宋_GB2312" w:cs="仿宋_GB2312"/>
          <w:b/>
          <w:bCs/>
          <w:color w:val="auto"/>
          <w:highlight w:val="none"/>
          <w:lang w:val="en-US" w:eastAsia="zh-CN"/>
        </w:rPr>
        <w:t>档案、知识产权与保密要求</w:t>
      </w:r>
    </w:p>
    <w:p w14:paraId="62237BF2">
      <w:pPr>
        <w:pStyle w:val="4"/>
        <w:ind w:firstLine="400"/>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本项目全部普查原始资料、调查数据、报告、图件、数据库成果知识产权归采购人所有；成交人仅享有编制署名权，未经采购人书面许可，不得对外泄露、发表、转让本项目任何普查成果数据。</w:t>
      </w:r>
    </w:p>
    <w:p w14:paraId="54FDCD6B">
      <w:pPr>
        <w:pStyle w:val="4"/>
        <w:ind w:firstLine="400"/>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成交人对普查中涉及的地方资料、非遗、藏品等涉密信息严格履行保密义务，建立保密管理，项目结束全部原始资料完整移交采购人，不得私自留存。</w:t>
      </w:r>
    </w:p>
    <w:p w14:paraId="41E32E85">
      <w:pPr>
        <w:pStyle w:val="4"/>
        <w:jc w:val="both"/>
        <w:rPr>
          <w:rFonts w:hint="default" w:ascii="仿宋_GB2312" w:hAnsi="仿宋_GB2312" w:eastAsia="仿宋_GB2312" w:cs="仿宋_GB2312"/>
          <w:b/>
          <w:bCs/>
          <w:color w:val="auto"/>
          <w:lang w:val="en-US" w:eastAsia="zh-CN"/>
        </w:rPr>
      </w:pPr>
      <w:r>
        <w:rPr>
          <w:rFonts w:hint="eastAsia" w:ascii="仿宋_GB2312" w:hAnsi="仿宋_GB2312" w:eastAsia="仿宋_GB2312" w:cs="仿宋_GB2312"/>
          <w:b/>
          <w:bCs/>
          <w:color w:val="auto"/>
          <w:lang w:val="en-US" w:eastAsia="zh-CN"/>
        </w:rPr>
        <w:t>八、其他要求</w:t>
      </w:r>
    </w:p>
    <w:p w14:paraId="3F86A1C0">
      <w:pPr>
        <w:pStyle w:val="4"/>
        <w:ind w:firstLine="400"/>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lang w:val="en-US" w:eastAsia="zh-CN"/>
        </w:rPr>
        <w:t>1、项目实施过程中，主动对接临</w:t>
      </w:r>
      <w:r>
        <w:rPr>
          <w:rFonts w:hint="eastAsia" w:ascii="仿宋_GB2312" w:hAnsi="仿宋_GB2312" w:eastAsia="仿宋_GB2312" w:cs="仿宋_GB2312"/>
          <w:color w:val="auto"/>
          <w:highlight w:val="none"/>
          <w:lang w:val="en-US" w:eastAsia="zh-CN"/>
        </w:rPr>
        <w:t>潼区各相关部门、街办，配合采购人组织协调、宣传动员、群众参与相关工作；</w:t>
      </w:r>
    </w:p>
    <w:p w14:paraId="665A0DF6">
      <w:pPr>
        <w:pStyle w:val="4"/>
        <w:ind w:firstLine="400"/>
        <w:jc w:val="both"/>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2、项目实施产生外业交通、设备、影像采集、专家咨询、</w:t>
      </w:r>
      <w:r>
        <w:rPr>
          <w:rFonts w:hint="default" w:ascii="仿宋_GB2312" w:hAnsi="仿宋_GB2312" w:eastAsia="仿宋_GB2312" w:cs="仿宋_GB2312"/>
          <w:color w:val="auto"/>
          <w:highlight w:val="none"/>
          <w:lang w:eastAsia="zh-CN"/>
        </w:rPr>
        <w:t>评审</w:t>
      </w:r>
      <w:r>
        <w:rPr>
          <w:rFonts w:hint="eastAsia" w:ascii="仿宋_GB2312" w:hAnsi="仿宋_GB2312" w:eastAsia="仿宋_GB2312" w:cs="仿宋_GB2312"/>
          <w:color w:val="auto"/>
          <w:highlight w:val="none"/>
          <w:lang w:val="en-US" w:eastAsia="zh-CN"/>
        </w:rPr>
        <w:t>、报告排版印刷、平台调试等全部相关费用均包含在</w:t>
      </w:r>
      <w:r>
        <w:rPr>
          <w:rFonts w:hint="default" w:ascii="仿宋_GB2312" w:hAnsi="仿宋_GB2312" w:eastAsia="仿宋_GB2312" w:cs="仿宋_GB2312"/>
          <w:color w:val="auto"/>
          <w:highlight w:val="none"/>
          <w:lang w:eastAsia="zh-CN"/>
        </w:rPr>
        <w:t>响应</w:t>
      </w:r>
      <w:r>
        <w:rPr>
          <w:rFonts w:hint="eastAsia" w:ascii="仿宋_GB2312" w:hAnsi="仿宋_GB2312" w:eastAsia="仿宋_GB2312" w:cs="仿宋_GB2312"/>
          <w:color w:val="auto"/>
          <w:highlight w:val="none"/>
          <w:lang w:val="en-US" w:eastAsia="zh-CN"/>
        </w:rPr>
        <w:t>报价内，采购人不再另行付费。</w:t>
      </w:r>
    </w:p>
    <w:p w14:paraId="588D0B7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DE08FD"/>
    <w:rsid w:val="1FDE08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2026-09-04T08:46:00Z</dcterms:created>
  <dc:creator>左左</dc:creator>
  <cp:lastModifiedBy>左左</cp:lastModifiedBy>
  <dcterms:modified xsi:type="dcterms:W3CDTF">2026-09-04T08:46:29Z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A7871DCF9D744731941844994C883FF3_11</vt:lpwstr>
  </property>
  <property fmtid="{D5CDD505-2E9C-101B-9397-08002B2CF9AE}" pid="4" name="KSOTemplateDocerSaveRecord">
    <vt:lpwstr>eyJoZGlkIjoiZGZlYjlmYzU0NTZkNzRhYTRiMjM2MDkxNzQwYjkxNjQiLCJ1c2VySWQiOiI1NzY5ODc4MzkifQ==</vt:lpwstr>
  </property>
</Properties>
</file>