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版本号：SXBH-ZFCG-2026-04420260702001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铜川王益区王家河小学校车申购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SXBH-ZFCG-2026-044</w:t>
      </w:r>
      <w:r>
        <w:br/>
      </w:r>
      <w:r>
        <w:br/>
      </w:r>
      <w:r>
        <w:br/>
      </w:r>
    </w:p>
    <w:p>
      <w:pPr>
        <w:pStyle w:val="null3"/>
        <w:jc w:val="center"/>
        <w:outlineLvl w:val="2"/>
      </w:pPr>
      <w:r>
        <w:rPr>
          <w:rFonts w:ascii="仿宋_GB2312" w:hAnsi="仿宋_GB2312" w:cs="仿宋_GB2312" w:eastAsia="仿宋_GB2312"/>
          <w:sz w:val="28"/>
          <w:b/>
        </w:rPr>
        <w:t>铜川市王益区王家河小学</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铜川市王益区王家河小学</w:t>
      </w:r>
      <w:r>
        <w:rPr>
          <w:rFonts w:ascii="仿宋_GB2312" w:hAnsi="仿宋_GB2312" w:cs="仿宋_GB2312" w:eastAsia="仿宋_GB2312"/>
        </w:rPr>
        <w:t>委托，拟对</w:t>
      </w:r>
      <w:r>
        <w:rPr>
          <w:rFonts w:ascii="仿宋_GB2312" w:hAnsi="仿宋_GB2312" w:cs="仿宋_GB2312" w:eastAsia="仿宋_GB2312"/>
        </w:rPr>
        <w:t>铜川王益区王家河小学校车申购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铜川王益区王家河小学校车申购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王益区王家河小学校车采购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p>
      <w:pPr>
        <w:pStyle w:val="null3"/>
      </w:pPr>
      <w:r>
        <w:rPr>
          <w:rFonts w:ascii="仿宋_GB2312" w:hAnsi="仿宋_GB2312" w:cs="仿宋_GB2312" w:eastAsia="仿宋_GB2312"/>
        </w:rPr>
        <w:t>2、具有良好的商业信誉：提供中国裁判文书网（https://wenshu.court.gov.cn/）无行贿犯罪行为记录的查询截图，并附良好商业信誉声明函（格式自拟，加盖单位公章）；投标人需在项目电子化交易系统中按要求上传相应证明文件并进行电子签章。</w:t>
      </w:r>
    </w:p>
    <w:p>
      <w:pPr>
        <w:pStyle w:val="null3"/>
      </w:pPr>
      <w:r>
        <w:rPr>
          <w:rFonts w:ascii="仿宋_GB2312" w:hAnsi="仿宋_GB2312" w:cs="仿宋_GB2312" w:eastAsia="仿宋_GB2312"/>
        </w:rPr>
        <w:t>3、具有良好的财务制度：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投标人需在项目电子化交易系统中按要求上传相应证明文件并进行电子签章。</w:t>
      </w:r>
    </w:p>
    <w:p>
      <w:pPr>
        <w:pStyle w:val="null3"/>
      </w:pPr>
      <w:r>
        <w:rPr>
          <w:rFonts w:ascii="仿宋_GB2312" w:hAnsi="仿宋_GB2312" w:cs="仿宋_GB2312" w:eastAsia="仿宋_GB2312"/>
        </w:rPr>
        <w:t>4、依法缴纳税收的证明材料：提供2025年8月1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5、依法缴纳社会保障资金的证明材料：提供2025年8月1日至今已缴存的至少一个月的社会保障资金缴存单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6、法定代表人或法定代表授权人：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8、参加本次政府采购活动前3年内在经营活动中没有重大违法记录或被起诉：提供参加本次政府采购活动前3年内在经营活动中没有重大违法记录或被起诉的声明；投标人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10、非联合体投标：提供非联合体投标的承诺书；投标人需在项目电子化交易系统中按要求上传相应证明文件并进行电子签章。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铜川市王益区王家河小学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陕西省铜川市王益区王家河南路31号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铜川市王益区王家河小学经办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13571598553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陕西省铜川市印台区陕西省铜川市印台区城关街道办事处南苑社区惠民佳苑8号楼2楼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18091953010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铜川市王益区王家河小学</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铜川市王益区王家河小学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铜川市王益区王家河小学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采购人在使用本项目任何产品和服务（包括部分使用）时，不会产生因第三方提出侵犯其专利权、商标权或其它知识产权而引起的法律和经济纠纷，如因专利权、商标权或其它知识产权而引起法律和经济纠纷，由中标单位承担所有相关责任。 2.采购人享有本项目实施过程中产生的知识成果及知识产权，并依据实际情况对采购标的涉及的知识产权的进行处理。 3.中标单位如欲在项目实施过程中采用自有知识成果，需在响应文件中声明，并提供相关知识产权证明文件。使用该知识成果后，中标单位需提供相关技术文档，并承诺提供无限期技术支持，采购人享有永久使用权。 4.如采用中标单位所不拥有的知识产权，则在报价中必须包括合法获取该知识产权的相关费用。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王益区王家河小学校车采购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铜川市王益区王家河小学校车申购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标的名称：铜川市王益区王家河小学校车申购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left="360"/>
            </w:pPr>
            <w:r>
              <w:rPr>
                <w:rFonts w:ascii="仿宋_GB2312" w:hAnsi="仿宋_GB2312" w:cs="仿宋_GB2312" w:eastAsia="仿宋_GB2312"/>
                <w:sz w:val="21"/>
              </w:rPr>
              <w:t>1、</w:t>
            </w:r>
            <w:r>
              <w:rPr>
                <w:rFonts w:ascii="仿宋_GB2312" w:hAnsi="仿宋_GB2312" w:cs="仿宋_GB2312" w:eastAsia="仿宋_GB2312"/>
                <w:sz w:val="21"/>
              </w:rPr>
              <w:t>1、车型应为中小学生专用校车，座位数为39座（包含司机以及照管人员）。</w:t>
            </w:r>
          </w:p>
          <w:p>
            <w:pPr>
              <w:pStyle w:val="null3"/>
              <w:ind w:left="360"/>
            </w:pPr>
            <w:r>
              <w:rPr>
                <w:rFonts w:ascii="仿宋_GB2312" w:hAnsi="仿宋_GB2312" w:cs="仿宋_GB2312" w:eastAsia="仿宋_GB2312"/>
                <w:sz w:val="21"/>
              </w:rPr>
              <w:t>2、</w:t>
            </w:r>
            <w:r>
              <w:rPr>
                <w:rFonts w:ascii="仿宋_GB2312" w:hAnsi="仿宋_GB2312" w:cs="仿宋_GB2312" w:eastAsia="仿宋_GB2312"/>
                <w:sz w:val="21"/>
              </w:rPr>
              <w:t>车长为</w:t>
            </w:r>
            <w:r>
              <w:rPr>
                <w:rFonts w:ascii="仿宋_GB2312" w:hAnsi="仿宋_GB2312" w:cs="仿宋_GB2312" w:eastAsia="仿宋_GB2312"/>
                <w:sz w:val="21"/>
              </w:rPr>
              <w:t>8</w:t>
            </w:r>
            <w:r>
              <w:rPr>
                <w:rFonts w:ascii="仿宋_GB2312" w:hAnsi="仿宋_GB2312" w:cs="仿宋_GB2312" w:eastAsia="仿宋_GB2312"/>
                <w:sz w:val="21"/>
              </w:rPr>
              <w:t>.4</w:t>
            </w:r>
            <w:r>
              <w:rPr>
                <w:rFonts w:ascii="仿宋_GB2312" w:hAnsi="仿宋_GB2312" w:cs="仿宋_GB2312" w:eastAsia="仿宋_GB2312"/>
                <w:sz w:val="21"/>
              </w:rPr>
              <w:t>米</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米之间，满足舒适度以及通过性。</w:t>
            </w:r>
          </w:p>
          <w:p>
            <w:pPr>
              <w:pStyle w:val="null3"/>
              <w:ind w:left="360"/>
            </w:pPr>
            <w:r>
              <w:rPr>
                <w:rFonts w:ascii="仿宋_GB2312" w:hAnsi="仿宋_GB2312" w:cs="仿宋_GB2312" w:eastAsia="仿宋_GB2312"/>
                <w:sz w:val="21"/>
              </w:rPr>
              <w:t>3、</w:t>
            </w:r>
            <w:r>
              <w:rPr>
                <w:rFonts w:ascii="仿宋_GB2312" w:hAnsi="仿宋_GB2312" w:cs="仿宋_GB2312" w:eastAsia="仿宋_GB2312"/>
                <w:sz w:val="21"/>
              </w:rPr>
              <w:t>发动机采用柴油发动机，排量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.9L</w:t>
            </w:r>
            <w:r>
              <w:rPr>
                <w:rFonts w:ascii="仿宋_GB2312" w:hAnsi="仿宋_GB2312" w:cs="仿宋_GB2312" w:eastAsia="仿宋_GB2312"/>
                <w:sz w:val="21"/>
              </w:rPr>
              <w:t>。</w:t>
            </w:r>
          </w:p>
          <w:p>
            <w:pPr>
              <w:pStyle w:val="null3"/>
              <w:ind w:left="360"/>
            </w:pPr>
            <w:r>
              <w:rPr>
                <w:rFonts w:ascii="仿宋_GB2312" w:hAnsi="仿宋_GB2312" w:cs="仿宋_GB2312" w:eastAsia="仿宋_GB2312"/>
                <w:sz w:val="21"/>
              </w:rPr>
              <w:t>4、</w:t>
            </w:r>
            <w:r>
              <w:rPr>
                <w:rFonts w:ascii="仿宋_GB2312" w:hAnsi="仿宋_GB2312" w:cs="仿宋_GB2312" w:eastAsia="仿宋_GB2312"/>
                <w:sz w:val="21"/>
              </w:rPr>
              <w:t>标配</w:t>
            </w:r>
            <w:r>
              <w:rPr>
                <w:rFonts w:ascii="仿宋_GB2312" w:hAnsi="仿宋_GB2312" w:cs="仿宋_GB2312" w:eastAsia="仿宋_GB2312"/>
                <w:sz w:val="21"/>
              </w:rPr>
              <w:t>A</w:t>
            </w:r>
            <w:r>
              <w:rPr>
                <w:rFonts w:ascii="仿宋_GB2312" w:hAnsi="仿宋_GB2312" w:cs="仿宋_GB2312" w:eastAsia="仿宋_GB2312"/>
                <w:sz w:val="21"/>
              </w:rPr>
              <w:t>BS</w:t>
            </w:r>
          </w:p>
          <w:p>
            <w:pPr>
              <w:pStyle w:val="null3"/>
              <w:ind w:left="360"/>
            </w:pPr>
            <w:r>
              <w:rPr>
                <w:rFonts w:ascii="仿宋_GB2312" w:hAnsi="仿宋_GB2312" w:cs="仿宋_GB2312" w:eastAsia="仿宋_GB2312"/>
                <w:sz w:val="21"/>
              </w:rPr>
              <w:t>5、</w:t>
            </w:r>
            <w:r>
              <w:rPr>
                <w:rFonts w:ascii="仿宋_GB2312" w:hAnsi="仿宋_GB2312" w:cs="仿宋_GB2312" w:eastAsia="仿宋_GB2312"/>
                <w:sz w:val="21"/>
              </w:rPr>
              <w:t>变速器采用手动变速器</w:t>
            </w:r>
          </w:p>
          <w:p>
            <w:pPr>
              <w:pStyle w:val="null3"/>
              <w:ind w:left="360"/>
            </w:pPr>
            <w:r>
              <w:rPr>
                <w:rFonts w:ascii="仿宋_GB2312" w:hAnsi="仿宋_GB2312" w:cs="仿宋_GB2312" w:eastAsia="仿宋_GB2312"/>
                <w:sz w:val="21"/>
              </w:rPr>
              <w:t>6、</w:t>
            </w:r>
            <w:r>
              <w:rPr>
                <w:rFonts w:ascii="仿宋_GB2312" w:hAnsi="仿宋_GB2312" w:cs="仿宋_GB2312" w:eastAsia="仿宋_GB2312"/>
                <w:sz w:val="21"/>
              </w:rPr>
              <w:t>需安装缓速器</w:t>
            </w:r>
          </w:p>
          <w:p>
            <w:pPr>
              <w:pStyle w:val="null3"/>
              <w:ind w:left="360"/>
            </w:pPr>
            <w:r>
              <w:rPr>
                <w:rFonts w:ascii="仿宋_GB2312" w:hAnsi="仿宋_GB2312" w:cs="仿宋_GB2312" w:eastAsia="仿宋_GB2312"/>
                <w:sz w:val="21"/>
              </w:rPr>
              <w:t>7、</w:t>
            </w:r>
            <w:r>
              <w:rPr>
                <w:rFonts w:ascii="仿宋_GB2312" w:hAnsi="仿宋_GB2312" w:cs="仿宋_GB2312" w:eastAsia="仿宋_GB2312"/>
                <w:sz w:val="21"/>
              </w:rPr>
              <w:t>需携带备胎、随车工具、千斤顶</w:t>
            </w:r>
          </w:p>
          <w:p>
            <w:pPr>
              <w:pStyle w:val="null3"/>
              <w:ind w:left="360"/>
            </w:pPr>
            <w:r>
              <w:rPr>
                <w:rFonts w:ascii="仿宋_GB2312" w:hAnsi="仿宋_GB2312" w:cs="仿宋_GB2312" w:eastAsia="仿宋_GB2312"/>
                <w:sz w:val="21"/>
              </w:rPr>
              <w:t>8、</w:t>
            </w:r>
            <w:r>
              <w:rPr>
                <w:rFonts w:ascii="仿宋_GB2312" w:hAnsi="仿宋_GB2312" w:cs="仿宋_GB2312" w:eastAsia="仿宋_GB2312"/>
                <w:sz w:val="21"/>
              </w:rPr>
              <w:t>安装冷凝器</w:t>
            </w:r>
          </w:p>
          <w:p>
            <w:pPr>
              <w:pStyle w:val="null3"/>
              <w:ind w:left="360"/>
            </w:pPr>
            <w:r>
              <w:rPr>
                <w:rFonts w:ascii="仿宋_GB2312" w:hAnsi="仿宋_GB2312" w:cs="仿宋_GB2312" w:eastAsia="仿宋_GB2312"/>
                <w:sz w:val="21"/>
              </w:rPr>
              <w:t>9、</w:t>
            </w:r>
            <w:r>
              <w:rPr>
                <w:rFonts w:ascii="仿宋_GB2312" w:hAnsi="仿宋_GB2312" w:cs="仿宋_GB2312" w:eastAsia="仿宋_GB2312"/>
                <w:sz w:val="21"/>
              </w:rPr>
              <w:t>有前轮轮胎爆胎应急安全装置以及单胎轴轮胎的胎压报警器</w:t>
            </w:r>
          </w:p>
          <w:p>
            <w:pPr>
              <w:pStyle w:val="null3"/>
              <w:ind w:left="360"/>
            </w:pPr>
            <w:r>
              <w:rPr>
                <w:rFonts w:ascii="仿宋_GB2312" w:hAnsi="仿宋_GB2312" w:cs="仿宋_GB2312" w:eastAsia="仿宋_GB2312"/>
                <w:sz w:val="21"/>
              </w:rPr>
              <w:t>10、</w:t>
            </w:r>
            <w:r>
              <w:rPr>
                <w:rFonts w:ascii="仿宋_GB2312" w:hAnsi="仿宋_GB2312" w:cs="仿宋_GB2312" w:eastAsia="仿宋_GB2312"/>
                <w:sz w:val="21"/>
              </w:rPr>
              <w:t>车外警示装置需安装带灯的停车指示牌。</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、需有防遗忘装置，形式不限。</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、需有应急门</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、司机窗需为推拉司机窗，安装带换气扇的顶风窗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、第一乘客门采用遥控式的钢化玻璃外摆门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、保暖配置需配备发动机进气预热、发动机燃油加热系统、独立水暖等，散热器总数量</w:t>
            </w:r>
            <w:r>
              <w:rPr>
                <w:rFonts w:ascii="仿宋_GB2312" w:hAnsi="仿宋_GB2312" w:cs="仿宋_GB2312" w:eastAsia="仿宋_GB2312"/>
                <w:sz w:val="21"/>
              </w:rPr>
              <w:t>≥</w:t>
            </w:r>
            <w:r>
              <w:rPr>
                <w:rFonts w:ascii="仿宋_GB2312" w:hAnsi="仿宋_GB2312" w:cs="仿宋_GB2312" w:eastAsia="仿宋_GB2312"/>
                <w:sz w:val="21"/>
              </w:rPr>
              <w:t>五个，壁挂盒式均可，除霜器采用大功率的水暖除霜，同时安装驾驶区取暖器以及前门踏步取暖器，满足冬季需求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、安装空调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、安装彩色道监设备、车内安装电子钟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、安装校车终端视频记录仪一体机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、国六车型</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进度款，车辆完整安全交付，通过检验，达到采购人使用标准后，达到付款条件起30个工作日内，支付合同总金额的100.0%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校车采购验收须符合 GB24407 国标、采购合同约定，车辆安全配置、整车性能、随车资料全部核验合格方可验收。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整车质保3年，不限制里程。</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常多多，联系电话：18091953010）。3、若电子投标文件与纸质投标文件不一致的，以电子投标文件为准。4、本项目《中小企业声明函》须逐项完整响应；若存在缺项响应，则供应商在本项目中无权享受中小企业扶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2025年8月1日至今已缴纳的至少一个月的纳税证明或完税证明（提供增值税、营业税、企业所得税中的至少一种），纳税证明或完税证明上应有代收机构或税务机关的公章或业务专用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提供2025年8月1日至今已缴存的至少一个月的社会保障资金缴存单据或社保机构开具的社会保险参保缴费情况证明；投标人需在项目电子化交易系统中按要求上传相应证明文件并进行电子签章。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负责人）授权代表参加投标的，须出具法定代表人（负责人）授权书及授权代表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提供非联合体投标的承诺书；投标人需在项目电子化交易系统中按要求上传相应证明文件并进行电子签章。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K、不符合法律、法规规定的其它实质性要求的；L：所提供证明材料在有效期内。</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评审内容（最高得5分，负偏离一处扣0.5分） 拟提交货物完全符合、满足招标文件技术要求或者优于招标文件的要求，需附佐证材料：官网截图、产品彩页、车辆外观照片、所投车辆及生产厂家在工信部发布的《道路机动车辆生产企业及产品公告》内的截图；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经过有效性和符合性审核合格的单位，对付款、交货期、质量、服务等方面进行响应，完全响应的计 4 分，未响应或未做详细响应的得 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产品来源渠道合法</w:t>
            </w:r>
          </w:p>
        </w:tc>
        <w:tc>
          <w:tcPr>
            <w:tcW w:type="dxa" w:w="2492"/>
          </w:tcPr>
          <w:p>
            <w:pPr>
              <w:pStyle w:val="null3"/>
            </w:pPr>
            <w:r>
              <w:rPr>
                <w:rFonts w:ascii="仿宋_GB2312" w:hAnsi="仿宋_GB2312" w:cs="仿宋_GB2312" w:eastAsia="仿宋_GB2312"/>
              </w:rPr>
              <w:t>供应商所提供产品货源渠道合法：提供所投产品来源渠道合法的承诺函（承诺函格式自拟），提供的得 1 分，未提供不得分；提供所投产品厂家授权书，提供的得 2 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车辆材质及工艺</w:t>
            </w:r>
          </w:p>
        </w:tc>
        <w:tc>
          <w:tcPr>
            <w:tcW w:type="dxa" w:w="2492"/>
          </w:tcPr>
          <w:p>
            <w:pPr>
              <w:pStyle w:val="null3"/>
            </w:pPr>
            <w:r>
              <w:rPr>
                <w:rFonts w:ascii="仿宋_GB2312" w:hAnsi="仿宋_GB2312" w:cs="仿宋_GB2312" w:eastAsia="仿宋_GB2312"/>
              </w:rPr>
              <w:t>一、评审内容（每提供一项计2 分，最高得4 分；未提供不计分） 1、关键部件工艺及材质：列明发动机缸体、变速箱壳体、底盘车架等关键部件材质及加工工艺；同时提供佐证材料（例如原材料合格证、材质检测报告、第三方材质符合性检测报告等）； 2、配件耐久性：列明核心配件（如轴承、密封件、传动部件等）的选型，详细说明配件耐久性，体现配件选型的合理性及耐久性优势；同时提供佐证材料（例如配件原厂规格书、寿命参数、原厂供货授权等）。二、扣分规则 1、未提供文字说明核心响应点，扣1分；2、未提供佐证材料，扣1分。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 3 分，最高得 12 分，未提供不计分） 1、备货、供货进度及保证措施：明确各阶段时间节点、备货数量、供货批次，完全匹配本项目需求，无延误风险； 2、拟投入本项目的人员安排：明确技术人员、操作人员、后勤保障人员等岗位职责、数量及配置标准，人员资质符合项目要求，分工清晰、衔接顺畅，提供人员名单； 3、车辆检测、调试措施：明确检测调试流程、项目、标准及时间节点，配备专业检测调试设备及人员，涵盖车辆性能、安全、外观等全方面检测； 4、车辆运行安全保障措施：涵盖车辆日常维护、故障排查、应急处置、安全培训等内容。 二、扣分规则（累计扣分不超过对应评审内容分值，四项内容总扣分无上限，扣完对应分项分值即止） 专门针对本项目编制，切合本项目实际情况及实施要求， 内容与要点相符、每个要点均有展开详细的阐述且能够适用于本项目的计8 分；以上评审内容每项有缺项扣4 分；存在缺陷，每个缺陷扣 0.5 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 2 分，最高得 4 分，未提供不计分） 1、具有售后服务机构及人员配置方案； 2、提供保修期外至全寿命周期内零配件及备品备件供应方案（包括：供应时间、安装更换方式）。 二、扣分规则（累计扣分不超过对应评审内容分值，三项内容总扣分无上限，扣完对应分项分值即止） 专门针对本项目编制，切合本项目实际情况及实施要求， 内容与要点相符、每个要点均有展开详细的阐述且能够适用于本项目的计6 分；以上评审内容每项有缺项扣2 分；存在缺陷，每个缺陷扣 0.5 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 2 分，最高得 4 分，未提供不计分）针对本项目突发事件的应急响应处理方案： 1、设备故障应急预案； 2、运输途中突发交通事故； 二、扣分规则（累计扣分不超过对应评审内容分值，三项内容总扣分无上限，扣完对应分项分值即止） 专门针对本项目编制，切合本项目实际情况及实施要求， 内容与要点相符、每个要点均有展开详细的阐述且能够适用于本项目的计4 分；以上评审内容有缺项，每缺少一项扣 2 分；存在缺陷，每个缺陷扣 0.5 分。（缺陷是指：是指内容不完整或缺少关键点；逻辑混乱、前后表述矛盾；非专门针对本项目或不适用本项目特性、套用其他项目内容；逻辑漏洞、 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评审内容（每项计 2 分，最高得 4 分，未提供不计分） 1、故障响应：接到甲方故障通知后，1 小时内作出响应并可赶至现场得2分，2 小时内响应得 1 分，超过 2 小时响应不计分；仅文字表述未提供响应时长，扣1分； 2、佐证材料：提供售后服务网点/驻点地址及售后联系电话、专属售后人员名单（姓名，岗位等关键信息），得 2分，未提供/提供不完整不计分。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一、评审内容（每提供一项计 3 分，最高得6 分；未提供不计分） 1、产品质量问题退货方案：（明确退货判定标准、退货申请流程、退货时限、退货验收、退款流程及相关责任划分）； 2、产品质量问题换货方案：（明确换货判定标准、换货申请流程、换货时限、换货产品质量要求、物流保障及能保障换货及时、产品合格）。 二、扣分规则 未提供文字说明核心响应点，每缺少一项，扣0.5分。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评审内容：（每提供一项计2 分，最高得8 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评审内容：（每提供一份计2 分，最高得6 分，未提供不计分） 项目业绩：提供2022 年 1 月 1 日以来投标人或制造商已完成同类项目业绩。请提供合同复印件（同时提供合同首页、内容页、盖章页复印件并加盖供应商公章），未按要求完整提供证明文件不得分。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同类项目业绩一览表.docx</w:t>
            </w:r>
          </w:p>
        </w:tc>
      </w:tr>
      <w:tr>
        <w:tc>
          <w:tcPr>
            <w:tcW w:type="dxa" w:w="831"/>
            <w:vMerge/>
          </w:tcPr>
          <w:p/>
        </w:tc>
        <w:tc>
          <w:tcPr>
            <w:tcW w:type="dxa" w:w="1661"/>
          </w:tcPr>
          <w:p>
            <w:pPr>
              <w:pStyle w:val="null3"/>
            </w:pPr>
            <w:r>
              <w:rPr>
                <w:rFonts w:ascii="仿宋_GB2312" w:hAnsi="仿宋_GB2312" w:cs="仿宋_GB2312" w:eastAsia="仿宋_GB2312"/>
              </w:rPr>
              <w:t>所投产品实力</w:t>
            </w:r>
          </w:p>
        </w:tc>
        <w:tc>
          <w:tcPr>
            <w:tcW w:type="dxa" w:w="2492"/>
          </w:tcPr>
          <w:p>
            <w:pPr>
              <w:pStyle w:val="null3"/>
            </w:pPr>
            <w:r>
              <w:rPr>
                <w:rFonts w:ascii="仿宋_GB2312" w:hAnsi="仿宋_GB2312" w:cs="仿宋_GB2312" w:eastAsia="仿宋_GB2312"/>
              </w:rPr>
              <w:t>评审内容：（每提供一项计2 分，最高得6 分，未提供不计分） 提供同类产品已供货运营，客车销量，生产厂家售后服务站点的相关证明材料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100 计算分数时四舍五入取小数点后两位。特别说明：投标人报价明显低于其他实质性响应投标人报价，有可能影响产品质量或不能诚信履约的，须提交相关成本证明材料，无法提供的按无效投标处理。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