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版本号：GHZC2026-07-01520260807001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陕西省公安厅交通管理总队车载AI智能巡检设备采购项目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GHZC2026-07-015</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陕西国华项目管理有限公司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陕西省公安厅交通管理总队车载AI智能巡检设备采购项目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GHZC2026-07-015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陕西省公安厅交通管理总队车载AI智能巡检设备采购项目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基层公安交通管理大队的日常勤务车辆搭载9套车载AI智能巡检设备，每套设备包含1个视频采集终端、1个AI计算主机以及1个平板电脑显示终端；设备主要有两项功能，一是自动测算急弯半径、纵坡坡度等道路线形参数，对照道路交通安全相关标准规范，自动识别标注不符合规范要求的隐患；二是对平交路口、弯坡路段、穿村过镇路段、临水临崖路段、高速公路出口路段共5大类、52项道路安全风险点开展全覆盖的自动化排查识别。</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2、提供①2024年或2025年度财务审计报告（成立时间至提交响应文件截止时间不足一年的可提供成立后任意时段的资产负债表）或②其基本存款账户开户银行出具的资信证明及基本存款账户的开户证明；</w:t>
      </w:r>
    </w:p>
    <w:p>
      <w:pPr>
        <w:pStyle w:val="null3"/>
      </w:pPr>
      <w:r>
        <w:rPr>
          <w:rFonts w:ascii="仿宋_GB2312" w:hAnsi="仿宋_GB2312" w:cs="仿宋_GB2312" w:eastAsia="仿宋_GB2312"/>
        </w:rPr>
        <w:t>3、税收缴纳证明：3、提供2026年1月至今至少一个月纳税证明或完税证明，纳税证明或完税证明上应有代收机构或税务机关的公章，依法免税的供应商应提供相关文件证明；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4、社会保障资金缴纳证明：4、提供2026年1月至今至少一个月的社会保障资金缴存单据或社保机构开具的社会保险参保缴费情况证明，依法不需要缴纳社会保障资金的单位应提供相关证明材料；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5、无重大违法记录声明：5、提供参加本次政府采购活动前三年内在经营活动中没有重大违法记录（提供书面声明）；</w:t>
      </w:r>
    </w:p>
    <w:p>
      <w:pPr>
        <w:pStyle w:val="null3"/>
      </w:pPr>
      <w:r>
        <w:rPr>
          <w:rFonts w:ascii="仿宋_GB2312" w:hAnsi="仿宋_GB2312" w:cs="仿宋_GB2312" w:eastAsia="仿宋_GB2312"/>
        </w:rPr>
        <w:t>6、专业技术能力证明：6、提供具有履行合同所必须的设备和专业技术能力的承诺书；</w:t>
      </w:r>
    </w:p>
    <w:p>
      <w:pPr>
        <w:pStyle w:val="null3"/>
      </w:pPr>
      <w:r>
        <w:rPr>
          <w:rFonts w:ascii="仿宋_GB2312" w:hAnsi="仿宋_GB2312" w:cs="仿宋_GB2312" w:eastAsia="仿宋_GB2312"/>
        </w:rPr>
        <w:t>7、“信用中国”网站和中国政府采购网 （www.ccgp.gov.cn）查询记录：未被列入“信用中国”网站(www.creditchina.gov.cn)失信被执行人名单、重大税收违法失信主体、未被列入“中国政府采购网”（www.ccgp.gov.cn）政府采购严重违法失信行为记录名单（以现场查询为准）；</w:t>
      </w:r>
    </w:p>
    <w:p>
      <w:pPr>
        <w:pStyle w:val="null3"/>
      </w:pPr>
      <w:r>
        <w:rPr>
          <w:rFonts w:ascii="仿宋_GB2312" w:hAnsi="仿宋_GB2312" w:cs="仿宋_GB2312" w:eastAsia="仿宋_GB2312"/>
        </w:rPr>
        <w:t>8、法定代表人授权书：法定代表人授权书及被授权人身份证。（法定代表人直接投标只须提供其身份证明）；供应商需在项目电子化交易系统中按要求上传相应证明文件并进行电子签章。</w:t>
      </w:r>
    </w:p>
    <w:p>
      <w:pPr>
        <w:pStyle w:val="null3"/>
      </w:pPr>
      <w:r>
        <w:rPr>
          <w:rFonts w:ascii="仿宋_GB2312" w:hAnsi="仿宋_GB2312" w:cs="仿宋_GB2312" w:eastAsia="仿宋_GB2312"/>
        </w:rPr>
        <w:t>9、非联合体：本项目不允许联合体投标（提供承诺函）；供应商需在项目电子化交易系统中按要求上传相应证明文件并进行电子签章。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029-87680153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陕西省西安市未央区白桦林国际A座1901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赵仲康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029-86269925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采购包1：3,235,500.00元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开户名称：陕西国华项目管理有限公司</w:t>
            </w:r>
          </w:p>
          <w:p>
            <w:pPr>
              <w:pStyle w:val="null3"/>
            </w:pPr>
            <w:r>
              <w:rPr>
                <w:rFonts w:ascii="仿宋_GB2312" w:hAnsi="仿宋_GB2312" w:cs="仿宋_GB2312" w:eastAsia="仿宋_GB2312"/>
              </w:rPr>
              <w:t>开户银行：陕西秦农农村商业银行股份有限公司丈八支行</w:t>
            </w:r>
          </w:p>
          <w:p>
            <w:pPr>
              <w:pStyle w:val="null3"/>
            </w:pPr>
            <w:r>
              <w:rPr>
                <w:rFonts w:ascii="仿宋_GB2312" w:hAnsi="仿宋_GB2312" w:cs="仿宋_GB2312" w:eastAsia="仿宋_GB2312"/>
              </w:rPr>
              <w:t>银行账号：2701020201201000091385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代理服务费收费标准：参照《招标代理服务收费暂行办法》（计价格[2002]1980号）文件的规定标准收取。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陕西国华项目管理有限公司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间：到货验收、阶段验收、终验。验收合格条件：1、到货验收：满足招标文件及合同要求，设备型号、数量、完好无损一致，并提交《培训签到表》及《培训总结报告》；2、投标人完成“第一阶段：场景完善及模型验证期。交付成果：提交《系统功能优化测试报告》《阶段验收报告》，重点验证模型在不同路况下的识别准确率与平台响应时效。考核指标：系统功能模块开发完毕，基础识别率达到合同要求90％以上，移动端APP上线运行。”的全部建设任务，且经招标人组织专家评审验收合格；3、投标人完成“第二阶段：模型迭代与性能调优期。交付成果：提交《年度系统效能评估报告》及《模型优化日志》《阶段验收报告》。考核指标：在完成全量数据回流与模型二次训练基础上，实现隐患识别准确率≥98.5％，复杂场景误报率≤0.5％，系统连续无故障工作时间72小时”任务，系统具备与现有公安交管业务系统的无缝对接能力，各项性能指标达到合同约定标准，开展第二次培训提交《培训签到表》及《培训总结报告》招标人组织第二阶段验收；4、终验：全面实现实战要求。交付成果：建立长效运行机制，形成“一路一档”数字化台账，根据各类隐患等级，完成隐患排查成效的量化评估和跟踪闭环。考核指标：识别率、准确率全面达标，数字档案要素完整无误，研判准确，提供《季度隐患排查治理报告》《指标测评表》《用户使用意见书》《数据安全测试报告》《设备性能稳定性测试报告》《阶段验收报告》《终验报告》《共有软著权登记证书》，全面实现实战要求”任务，三年服务期满，系统运行稳定，且投标人全面履行了合同约定的维保与技术支持义务。经招标人最终考核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联系人：赵仲康</w:t>
      </w:r>
    </w:p>
    <w:p>
      <w:pPr>
        <w:pStyle w:val="null3"/>
      </w:pPr>
      <w:r>
        <w:rPr>
          <w:rFonts w:ascii="仿宋_GB2312" w:hAnsi="仿宋_GB2312" w:cs="仿宋_GB2312" w:eastAsia="仿宋_GB2312"/>
        </w:rPr>
        <w:t>联系电话：029-86269925</w:t>
      </w:r>
    </w:p>
    <w:p>
      <w:pPr>
        <w:pStyle w:val="null3"/>
      </w:pPr>
      <w:r>
        <w:rPr>
          <w:rFonts w:ascii="仿宋_GB2312" w:hAnsi="仿宋_GB2312" w:cs="仿宋_GB2312" w:eastAsia="仿宋_GB2312"/>
        </w:rPr>
        <w:t>地址：陕西省西安市未央区白桦林国际A座1901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基层公安交通管理大队的日常勤务车辆搭载9套车载AI智能巡检设备，每套设备包含1个视频采集终端、1个AI计算主机以及1个平板电脑显示终端；设备主要有两项功能，一是自动测算急弯半径、纵坡坡度等道路线形参数，对照道路交通安全相关标准规范，自动识别标注不符合规范要求的隐患；二是对平交路口、弯坡路段、穿村过镇路段、临水临崖路段、高速公路出口路段共5大类、52项道路安全风险点开展全覆盖的自动化排查识别</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3,235,500.00</w:t>
      </w:r>
    </w:p>
    <w:p>
      <w:pPr>
        <w:pStyle w:val="null3"/>
      </w:pPr>
      <w:r>
        <w:rPr>
          <w:rFonts w:ascii="仿宋_GB2312" w:hAnsi="仿宋_GB2312" w:cs="仿宋_GB2312" w:eastAsia="仿宋_GB2312"/>
        </w:rPr>
        <w:t>采购包最高限价（元）: 3,235,500.00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车载AI巡检设备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3,235,500.00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标的名称：车载AI巡检设备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7"/>
              <w:gridCol w:w="164"/>
              <w:gridCol w:w="306"/>
              <w:gridCol w:w="786"/>
              <w:gridCol w:w="791"/>
              <w:gridCol w:w="282"/>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系统组成</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具体内容</w:t>
                  </w:r>
                </w:p>
              </w:tc>
              <w:tc>
                <w:tcPr>
                  <w:tcW w:type="dxa" w:w="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技术要求</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功能要求</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参数标识</w:t>
                  </w:r>
                  <w:r>
                    <w:rPr>
                      <w:rFonts w:ascii="仿宋_GB2312" w:hAnsi="仿宋_GB2312" w:cs="仿宋_GB2312" w:eastAsia="仿宋_GB2312"/>
                      <w:sz w:val="20"/>
                      <w:b/>
                      <w:color w:val="000000"/>
                    </w:rPr>
                    <w:t>★/▲</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车载</w:t>
                  </w:r>
                  <w:r>
                    <w:rPr>
                      <w:rFonts w:ascii="仿宋_GB2312" w:hAnsi="仿宋_GB2312" w:cs="仿宋_GB2312" w:eastAsia="仿宋_GB2312"/>
                      <w:sz w:val="20"/>
                      <w:color w:val="000000"/>
                    </w:rPr>
                    <w:t>AI智能巡检设备</w:t>
                  </w:r>
                </w:p>
              </w:tc>
              <w:tc>
                <w:tcPr>
                  <w:tcW w:type="dxa" w:w="1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硬件部分</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高精度采集终端</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4核及以上；</w:t>
                  </w:r>
                </w:p>
              </w:tc>
              <w:tc>
                <w:tcPr>
                  <w:tcW w:type="dxa" w:w="7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1.在高速路上不限速运行时，高清晰、高频率、低运动模糊地拍摄道路影像。实验显示，在时速≤140km／h，逆光条件下，依然可以以每秒20张照片的频率拍摄1080p的照片，并且能识别路面3mm以上的裂缝；</w:t>
                  </w:r>
                </w:p>
                <w:p>
                  <w:pPr>
                    <w:pStyle w:val="null3"/>
                    <w:jc w:val="left"/>
                  </w:pPr>
                  <w:r>
                    <w:rPr>
                      <w:rFonts w:ascii="仿宋_GB2312" w:hAnsi="仿宋_GB2312" w:cs="仿宋_GB2312" w:eastAsia="仿宋_GB2312"/>
                      <w:sz w:val="20"/>
                      <w:color w:val="000000"/>
                    </w:rPr>
                    <w:t>2.支持高精度定位及4G高速流量，保证巡查轨迹的精准记录，保证海量数据及时回传至平台。</w:t>
                  </w: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、运行内存</w:t>
                  </w:r>
                  <w:r>
                    <w:rPr>
                      <w:rFonts w:ascii="仿宋_GB2312" w:hAnsi="仿宋_GB2312" w:cs="仿宋_GB2312" w:eastAsia="仿宋_GB2312"/>
                      <w:sz w:val="20"/>
                      <w:color w:val="000000"/>
                    </w:rPr>
                    <w:t>≥4GB;</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≥32GB;</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、显卡算力</w:t>
                  </w:r>
                  <w:r>
                    <w:rPr>
                      <w:rFonts w:ascii="仿宋_GB2312" w:hAnsi="仿宋_GB2312" w:cs="仿宋_GB2312" w:eastAsia="仿宋_GB2312"/>
                      <w:sz w:val="20"/>
                      <w:color w:val="000000"/>
                    </w:rPr>
                    <w:t>≥65tops;</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、网络制式支持国内运营商</w:t>
                  </w:r>
                  <w:r>
                    <w:rPr>
                      <w:rFonts w:ascii="仿宋_GB2312" w:hAnsi="仿宋_GB2312" w:cs="仿宋_GB2312" w:eastAsia="仿宋_GB2312"/>
                      <w:sz w:val="20"/>
                      <w:color w:val="000000"/>
                    </w:rPr>
                    <w:t>4G及以上/Wi-Fi支持2.4G及以上；</w:t>
                  </w:r>
                </w:p>
              </w:tc>
              <w:tc>
                <w:tcPr>
                  <w:tcW w:type="dxa" w:w="791"/>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-20℃~60℃</w:t>
                  </w:r>
                </w:p>
              </w:tc>
              <w:tc>
                <w:tcPr>
                  <w:tcW w:type="dxa" w:w="791"/>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、储存温度</w:t>
                  </w:r>
                  <w:r>
                    <w:rPr>
                      <w:rFonts w:ascii="仿宋_GB2312" w:hAnsi="仿宋_GB2312" w:cs="仿宋_GB2312" w:eastAsia="仿宋_GB2312"/>
                      <w:sz w:val="20"/>
                      <w:color w:val="000000"/>
                    </w:rPr>
                    <w:t>-30℃~85℃;</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≥IP66；</w:t>
                  </w:r>
                </w:p>
              </w:tc>
              <w:tc>
                <w:tcPr>
                  <w:tcW w:type="dxa" w:w="791"/>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、行驶速度</w:t>
                  </w:r>
                  <w:r>
                    <w:rPr>
                      <w:rFonts w:ascii="仿宋_GB2312" w:hAnsi="仿宋_GB2312" w:cs="仿宋_GB2312" w:eastAsia="仿宋_GB2312"/>
                      <w:sz w:val="20"/>
                      <w:color w:val="000000"/>
                    </w:rPr>
                    <w:t>≤140km/h状态下正常作业；</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≥200万高清像素；</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PAD显示交互终端</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1、系统内存：运行内存（RAM）≥4GB、存储容量（ROM）≥512GB；</w:t>
                  </w:r>
                </w:p>
              </w:tc>
              <w:tc>
                <w:tcPr>
                  <w:tcW w:type="dxa" w:w="7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手持终端，包含定制</w:t>
                  </w:r>
                  <w:r>
                    <w:rPr>
                      <w:rFonts w:ascii="仿宋_GB2312" w:hAnsi="仿宋_GB2312" w:cs="仿宋_GB2312" w:eastAsia="仿宋_GB2312"/>
                      <w:sz w:val="20"/>
                      <w:color w:val="000000"/>
                    </w:rPr>
                    <w:t>app，巡检员在巡检过程中可实时观看前方影像及隐患、路面道路交通风险隐患的识别情况。</w:t>
                  </w: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2、屏幕分辨率：≥2000×1200；</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3、屏幕尺寸：≥13英寸；</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4、网络：WIFI/WLAN；</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5、摄像头：前置1200万像素，后置800万像素；</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6、包含定制app，并能接入边缘主机，实时查看巡查影像或图样</w:t>
                  </w:r>
                </w:p>
              </w:tc>
              <w:tc>
                <w:tcPr>
                  <w:tcW w:type="dxa" w:w="791"/>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AI算法模块</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平台系统</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1、供应商需配套提供路面巡查平台系统，并提供多个账号，满足查看需求；</w:t>
                  </w:r>
                </w:p>
              </w:tc>
              <w:tc>
                <w:tcPr>
                  <w:tcW w:type="dxa" w:w="7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1.边缘计算用于识别、分析道路安全隐患数据，最高65tops；</w:t>
                  </w:r>
                </w:p>
                <w:p>
                  <w:pPr>
                    <w:pStyle w:val="null3"/>
                    <w:jc w:val="left"/>
                  </w:pPr>
                  <w:r>
                    <w:rPr>
                      <w:rFonts w:ascii="仿宋_GB2312" w:hAnsi="仿宋_GB2312" w:cs="仿宋_GB2312" w:eastAsia="仿宋_GB2312"/>
                      <w:sz w:val="20"/>
                      <w:color w:val="000000"/>
                    </w:rPr>
                    <w:t>2.突出点段及交安设施必要治理要素AI排查。</w:t>
                  </w:r>
                </w:p>
                <w:p>
                  <w:pPr>
                    <w:pStyle w:val="null3"/>
                    <w:jc w:val="left"/>
                  </w:pPr>
                  <w:r>
                    <w:rPr>
                      <w:rFonts w:ascii="仿宋_GB2312" w:hAnsi="仿宋_GB2312" w:cs="仿宋_GB2312" w:eastAsia="仿宋_GB2312"/>
                      <w:sz w:val="20"/>
                      <w:color w:val="000000"/>
                    </w:rPr>
                    <w:t>3.路面坑槽及抛撒物等突发性隐患巡检</w:t>
                  </w:r>
                </w:p>
                <w:p>
                  <w:pPr>
                    <w:pStyle w:val="null3"/>
                    <w:jc w:val="left"/>
                  </w:pPr>
                  <w:r>
                    <w:rPr>
                      <w:rFonts w:ascii="仿宋_GB2312" w:hAnsi="仿宋_GB2312" w:cs="仿宋_GB2312" w:eastAsia="仿宋_GB2312"/>
                      <w:sz w:val="20"/>
                      <w:color w:val="000000"/>
                    </w:rPr>
                    <w:t>重点识别对行车安全构成直接威胁的坑槽、路面抛洒物等突发性隐患。</w:t>
                  </w:r>
                </w:p>
                <w:p>
                  <w:pPr>
                    <w:pStyle w:val="null3"/>
                    <w:jc w:val="left"/>
                  </w:pPr>
                  <w:r>
                    <w:rPr>
                      <w:rFonts w:ascii="仿宋_GB2312" w:hAnsi="仿宋_GB2312" w:cs="仿宋_GB2312" w:eastAsia="仿宋_GB2312"/>
                      <w:sz w:val="20"/>
                      <w:color w:val="000000"/>
                    </w:rPr>
                    <w:t>4.可对巡检路段进行“桩号平铺建档”，能将识别的道路交通风险隐患、隐患等内容精确关联至具体桩号；</w:t>
                  </w:r>
                </w:p>
                <w:p>
                  <w:pPr>
                    <w:pStyle w:val="null3"/>
                    <w:jc w:val="left"/>
                  </w:pPr>
                  <w:r>
                    <w:rPr>
                      <w:rFonts w:ascii="仿宋_GB2312" w:hAnsi="仿宋_GB2312" w:cs="仿宋_GB2312" w:eastAsia="仿宋_GB2312"/>
                      <w:sz w:val="20"/>
                      <w:color w:val="000000"/>
                    </w:rPr>
                    <w:t>5.季度出具一次本辖区全部路段的数据报告，单台设备不少于6000km／季度，单台设备三年累计排查不少于72000km。</w:t>
                  </w:r>
                </w:p>
                <w:p>
                  <w:pPr>
                    <w:pStyle w:val="null3"/>
                    <w:jc w:val="left"/>
                  </w:pPr>
                  <w:r>
                    <w:rPr>
                      <w:rFonts w:ascii="仿宋_GB2312" w:hAnsi="仿宋_GB2312" w:cs="仿宋_GB2312" w:eastAsia="仿宋_GB2312"/>
                      <w:sz w:val="20"/>
                      <w:color w:val="000000"/>
                    </w:rPr>
                    <w:t>6.三年流量；</w:t>
                  </w:r>
                </w:p>
                <w:p>
                  <w:pPr>
                    <w:pStyle w:val="null3"/>
                    <w:jc w:val="left"/>
                  </w:pPr>
                  <w:r>
                    <w:rPr>
                      <w:rFonts w:ascii="仿宋_GB2312" w:hAnsi="仿宋_GB2312" w:cs="仿宋_GB2312" w:eastAsia="仿宋_GB2312"/>
                      <w:sz w:val="20"/>
                      <w:color w:val="000000"/>
                    </w:rPr>
                    <w:t>7.三年服务器数据存储；</w:t>
                  </w:r>
                </w:p>
                <w:p>
                  <w:pPr>
                    <w:pStyle w:val="null3"/>
                    <w:jc w:val="left"/>
                  </w:pPr>
                  <w:r>
                    <w:rPr>
                      <w:rFonts w:ascii="仿宋_GB2312" w:hAnsi="仿宋_GB2312" w:cs="仿宋_GB2312" w:eastAsia="仿宋_GB2312"/>
                      <w:sz w:val="20"/>
                      <w:color w:val="000000"/>
                    </w:rPr>
                    <w:t>8.三年RTK定位；</w:t>
                  </w:r>
                </w:p>
                <w:p>
                  <w:pPr>
                    <w:pStyle w:val="null3"/>
                    <w:jc w:val="left"/>
                  </w:pPr>
                  <w:r>
                    <w:rPr>
                      <w:rFonts w:ascii="仿宋_GB2312" w:hAnsi="仿宋_GB2312" w:cs="仿宋_GB2312" w:eastAsia="仿宋_GB2312"/>
                      <w:sz w:val="20"/>
                      <w:color w:val="000000"/>
                    </w:rPr>
                    <w:t>9.移动APP须支持无信号区域离线采集，网络恢复后自动回传；具备北斗自动打点、图文即时上传功能；</w:t>
                  </w:r>
                </w:p>
                <w:p>
                  <w:pPr>
                    <w:pStyle w:val="null3"/>
                    <w:jc w:val="left"/>
                  </w:pPr>
                  <w:r>
                    <w:rPr>
                      <w:rFonts w:ascii="仿宋_GB2312" w:hAnsi="仿宋_GB2312" w:cs="仿宋_GB2312" w:eastAsia="仿宋_GB2312"/>
                      <w:sz w:val="20"/>
                      <w:color w:val="000000"/>
                    </w:rPr>
                    <w:t>10.三年AI模型搭建更新升级迭代服务；</w:t>
                  </w:r>
                </w:p>
                <w:p>
                  <w:pPr>
                    <w:pStyle w:val="null3"/>
                    <w:jc w:val="left"/>
                  </w:pPr>
                  <w:r>
                    <w:rPr>
                      <w:rFonts w:ascii="仿宋_GB2312" w:hAnsi="仿宋_GB2312" w:cs="仿宋_GB2312" w:eastAsia="仿宋_GB2312"/>
                      <w:sz w:val="20"/>
                      <w:color w:val="000000"/>
                    </w:rPr>
                    <w:t>11.三年服务维保；</w:t>
                  </w:r>
                </w:p>
                <w:p>
                  <w:pPr>
                    <w:pStyle w:val="null3"/>
                    <w:jc w:val="left"/>
                  </w:pPr>
                  <w:r>
                    <w:rPr>
                      <w:rFonts w:ascii="仿宋_GB2312" w:hAnsi="仿宋_GB2312" w:cs="仿宋_GB2312" w:eastAsia="仿宋_GB2312"/>
                      <w:sz w:val="20"/>
                      <w:color w:val="000000"/>
                    </w:rPr>
                    <w:t>12.设备安装及调试、二次免费培训</w:t>
                  </w: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2、平台系统需支持前方景观图像回传功能；</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3、可对巡检路段进行桩号平铺建档，能对隐患、病害等巡查内容进行桩号定位，满足对巡检内容的重复性筛查。</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巡查识别内容物</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1、安全隐患排查：</w:t>
                  </w:r>
                </w:p>
              </w:tc>
              <w:tc>
                <w:tcPr>
                  <w:tcW w:type="dxa" w:w="791"/>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1）平交路口识别；</w:t>
                  </w:r>
                </w:p>
              </w:tc>
              <w:tc>
                <w:tcPr>
                  <w:tcW w:type="dxa" w:w="791"/>
                  <w:vMerge/>
                  <w:tcBorders>
                    <w:top w:val="none" w:color="000000" w:sz="4"/>
                    <w:left w:val="single" w:color="000000" w:sz="4"/>
                    <w:bottom w:val="single" w:color="000000" w:sz="4"/>
                    <w:right w:val="single" w:color="000000" w:sz="4"/>
                  </w:tcBorders>
                </w:tcP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2）弯坡路段识别；</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3）平面交叉安全隐患识别；</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4）穿村镇路段安全隐患识别；</w:t>
                  </w:r>
                </w:p>
              </w:tc>
              <w:tc>
                <w:tcPr>
                  <w:tcW w:type="dxa" w:w="791"/>
                  <w:vMerge/>
                  <w:tcBorders>
                    <w:top w:val="none" w:color="000000" w:sz="4"/>
                    <w:left w:val="single" w:color="000000" w:sz="4"/>
                    <w:bottom w:val="single" w:color="000000" w:sz="4"/>
                    <w:right w:val="single" w:color="000000" w:sz="4"/>
                  </w:tcBorders>
                </w:tcPr>
                <w:p/>
              </w:tc>
              <w:tc>
                <w:tcPr>
                  <w:tcW w:type="dxa" w:w="282"/>
                  <w:vMerge/>
                  <w:tcBorders>
                    <w:top w:val="none" w:color="000000" w:sz="4"/>
                    <w:left w:val="singl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5）临水、临崖路段安全隐患识别；</w:t>
                  </w:r>
                </w:p>
              </w:tc>
              <w:tc>
                <w:tcPr>
                  <w:tcW w:type="dxa" w:w="791"/>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6）高速公路出口路段安全隐患识别</w:t>
                  </w:r>
                </w:p>
              </w:tc>
              <w:tc>
                <w:tcPr>
                  <w:tcW w:type="dxa" w:w="791"/>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2、路面病害：坑槽、抛洒物；</w:t>
                  </w:r>
                </w:p>
              </w:tc>
              <w:tc>
                <w:tcPr>
                  <w:tcW w:type="dxa" w:w="791"/>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07"/>
                  <w:vMerge/>
                  <w:tcBorders>
                    <w:top w:val="none" w:color="000000" w:sz="4"/>
                    <w:left w:val="single" w:color="000000" w:sz="4"/>
                    <w:bottom w:val="single" w:color="000000" w:sz="4"/>
                    <w:right w:val="single" w:color="000000" w:sz="4"/>
                  </w:tcBorders>
                </w:tcPr>
                <w:p/>
              </w:tc>
              <w:tc>
                <w:tcPr>
                  <w:tcW w:type="dxa" w:w="164"/>
                  <w:vMerge/>
                  <w:tcBorders>
                    <w:top w:val="none" w:color="000000" w:sz="4"/>
                    <w:left w:val="single" w:color="000000" w:sz="4"/>
                    <w:bottom w:val="single" w:color="000000" w:sz="4"/>
                    <w:right w:val="single" w:color="000000" w:sz="4"/>
                  </w:tcBorders>
                </w:tcP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数据服务</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供应商需承诺：所有采集的数据可实时接入招标人要求的管理平台。（提供承诺书，格式自拟）</w:t>
                  </w:r>
                </w:p>
              </w:tc>
              <w:tc>
                <w:tcPr>
                  <w:tcW w:type="dxa" w:w="791"/>
                  <w:vMerge/>
                  <w:tcBorders>
                    <w:top w:val="none" w:color="000000" w:sz="4"/>
                    <w:left w:val="single" w:color="000000" w:sz="4"/>
                    <w:bottom w:val="single" w:color="000000" w:sz="4"/>
                    <w:right w:val="single" w:color="000000" w:sz="4"/>
                  </w:tcBorders>
                </w:tc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53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服务内容及频次：</w:t>
                  </w:r>
                </w:p>
                <w:p>
                  <w:pPr>
                    <w:pStyle w:val="null3"/>
                    <w:jc w:val="left"/>
                  </w:pPr>
                  <w:r>
                    <w:rPr>
                      <w:rFonts w:ascii="仿宋_GB2312" w:hAnsi="仿宋_GB2312" w:cs="仿宋_GB2312" w:eastAsia="仿宋_GB2312"/>
                      <w:sz w:val="20"/>
                      <w:color w:val="000000"/>
                    </w:rPr>
                    <w:t>1）安全隐患排查类型：平交路口、弯坡路段、穿村过镇路段、临水、临崖路段、高速公路出口路段共</w:t>
                  </w:r>
                  <w:r>
                    <w:rPr>
                      <w:rFonts w:ascii="仿宋_GB2312" w:hAnsi="仿宋_GB2312" w:cs="仿宋_GB2312" w:eastAsia="仿宋_GB2312"/>
                      <w:sz w:val="20"/>
                      <w:color w:val="000000"/>
                    </w:rPr>
                    <w:t>5</w:t>
                  </w:r>
                  <w:r>
                    <w:rPr>
                      <w:rFonts w:ascii="仿宋_GB2312" w:hAnsi="仿宋_GB2312" w:cs="仿宋_GB2312" w:eastAsia="仿宋_GB2312"/>
                      <w:sz w:val="20"/>
                      <w:color w:val="000000"/>
                    </w:rPr>
                    <w:t>大类、</w:t>
                  </w:r>
                  <w:r>
                    <w:rPr>
                      <w:rFonts w:ascii="仿宋_GB2312" w:hAnsi="仿宋_GB2312" w:cs="仿宋_GB2312" w:eastAsia="仿宋_GB2312"/>
                      <w:sz w:val="20"/>
                      <w:color w:val="000000"/>
                    </w:rPr>
                    <w:t>52</w:t>
                  </w:r>
                  <w:r>
                    <w:rPr>
                      <w:rFonts w:ascii="仿宋_GB2312" w:hAnsi="仿宋_GB2312" w:cs="仿宋_GB2312" w:eastAsia="仿宋_GB2312"/>
                      <w:sz w:val="20"/>
                      <w:color w:val="000000"/>
                    </w:rPr>
                    <w:t>项道路安全风险点开展全覆盖的自动化排查识别。</w:t>
                  </w:r>
                </w:p>
                <w:p>
                  <w:pPr>
                    <w:pStyle w:val="null3"/>
                    <w:jc w:val="left"/>
                  </w:pPr>
                  <w:r>
                    <w:rPr>
                      <w:rFonts w:ascii="仿宋_GB2312" w:hAnsi="仿宋_GB2312" w:cs="仿宋_GB2312" w:eastAsia="仿宋_GB2312"/>
                      <w:sz w:val="20"/>
                      <w:color w:val="000000"/>
                    </w:rPr>
                    <w:t>2）紧急病害：坑槽、抛洒物，月度服务里程范围，巡检次数不限，巡检后及时输出结果；</w:t>
                  </w:r>
                </w:p>
                <w:p>
                  <w:pPr>
                    <w:pStyle w:val="null3"/>
                    <w:jc w:val="left"/>
                  </w:pPr>
                  <w:r>
                    <w:rPr>
                      <w:rFonts w:ascii="仿宋_GB2312" w:hAnsi="仿宋_GB2312" w:cs="仿宋_GB2312" w:eastAsia="仿宋_GB2312"/>
                      <w:sz w:val="20"/>
                      <w:color w:val="000000"/>
                    </w:rPr>
                    <w:t>3）对应功能包含工作内容：</w:t>
                  </w:r>
                </w:p>
                <w:p>
                  <w:pPr>
                    <w:pStyle w:val="null3"/>
                    <w:jc w:val="left"/>
                  </w:pPr>
                  <w:r>
                    <w:rPr>
                      <w:rFonts w:ascii="仿宋_GB2312" w:hAnsi="仿宋_GB2312" w:cs="仿宋_GB2312" w:eastAsia="仿宋_GB2312"/>
                      <w:sz w:val="20"/>
                      <w:color w:val="000000"/>
                    </w:rPr>
                    <w:t>a)可对巡检路段进行“桩号平铺建档”，能将识别的道路交通风险隐患、隐患等内容精确关联至具体桩号；</w:t>
                  </w:r>
                </w:p>
                <w:p>
                  <w:pPr>
                    <w:pStyle w:val="null3"/>
                    <w:jc w:val="left"/>
                  </w:pPr>
                  <w:r>
                    <w:rPr>
                      <w:rFonts w:ascii="仿宋_GB2312" w:hAnsi="仿宋_GB2312" w:cs="仿宋_GB2312" w:eastAsia="仿宋_GB2312"/>
                      <w:sz w:val="20"/>
                      <w:color w:val="000000"/>
                    </w:rPr>
                    <w:t>b)季度出具一次本辖区全部路段的数据报告，单台设备不少于6000km／季度，单台设备三年累计排查不少于72000km。</w:t>
                  </w:r>
                </w:p>
                <w:p>
                  <w:pPr>
                    <w:pStyle w:val="null3"/>
                    <w:jc w:val="left"/>
                  </w:pPr>
                  <w:r>
                    <w:rPr>
                      <w:rFonts w:ascii="仿宋_GB2312" w:hAnsi="仿宋_GB2312" w:cs="仿宋_GB2312" w:eastAsia="仿宋_GB2312"/>
                      <w:sz w:val="20"/>
                      <w:color w:val="000000"/>
                    </w:rPr>
                    <w:t>c)三年流量；</w:t>
                  </w:r>
                </w:p>
                <w:p>
                  <w:pPr>
                    <w:pStyle w:val="null3"/>
                    <w:jc w:val="left"/>
                  </w:pPr>
                  <w:r>
                    <w:rPr>
                      <w:rFonts w:ascii="仿宋_GB2312" w:hAnsi="仿宋_GB2312" w:cs="仿宋_GB2312" w:eastAsia="仿宋_GB2312"/>
                      <w:sz w:val="20"/>
                      <w:color w:val="000000"/>
                    </w:rPr>
                    <w:t>d)三年服务器数据存储；</w:t>
                  </w:r>
                </w:p>
                <w:p>
                  <w:pPr>
                    <w:pStyle w:val="null3"/>
                    <w:jc w:val="left"/>
                  </w:pPr>
                  <w:r>
                    <w:rPr>
                      <w:rFonts w:ascii="仿宋_GB2312" w:hAnsi="仿宋_GB2312" w:cs="仿宋_GB2312" w:eastAsia="仿宋_GB2312"/>
                      <w:sz w:val="20"/>
                      <w:color w:val="000000"/>
                    </w:rPr>
                    <w:t>e)三年RTK定位；</w:t>
                  </w:r>
                </w:p>
                <w:p>
                  <w:pPr>
                    <w:pStyle w:val="null3"/>
                    <w:jc w:val="left"/>
                  </w:pPr>
                  <w:r>
                    <w:rPr>
                      <w:rFonts w:ascii="仿宋_GB2312" w:hAnsi="仿宋_GB2312" w:cs="仿宋_GB2312" w:eastAsia="仿宋_GB2312"/>
                      <w:sz w:val="20"/>
                      <w:color w:val="000000"/>
                    </w:rPr>
                    <w:t>f)移动APP须支持无信号区域人工离线采集，网络恢复后自动回传；具备北斗自动打点、图文即时上传功能；</w:t>
                  </w:r>
                </w:p>
                <w:p>
                  <w:pPr>
                    <w:pStyle w:val="null3"/>
                    <w:jc w:val="left"/>
                  </w:pPr>
                  <w:r>
                    <w:rPr>
                      <w:rFonts w:ascii="仿宋_GB2312" w:hAnsi="仿宋_GB2312" w:cs="仿宋_GB2312" w:eastAsia="仿宋_GB2312"/>
                      <w:sz w:val="20"/>
                      <w:color w:val="000000"/>
                    </w:rPr>
                    <w:t>g).三年AI模型搭建更新升级迭代服务；</w:t>
                  </w:r>
                </w:p>
                <w:p>
                  <w:pPr>
                    <w:pStyle w:val="null3"/>
                    <w:jc w:val="left"/>
                  </w:pPr>
                  <w:r>
                    <w:rPr>
                      <w:rFonts w:ascii="仿宋_GB2312" w:hAnsi="仿宋_GB2312" w:cs="仿宋_GB2312" w:eastAsia="仿宋_GB2312"/>
                      <w:sz w:val="20"/>
                      <w:color w:val="000000"/>
                    </w:rPr>
                    <w:t>h)三年服务维保；</w:t>
                  </w:r>
                </w:p>
                <w:p>
                  <w:pPr>
                    <w:pStyle w:val="null3"/>
                    <w:jc w:val="left"/>
                  </w:pPr>
                  <w:r>
                    <w:rPr>
                      <w:rFonts w:ascii="仿宋_GB2312" w:hAnsi="仿宋_GB2312" w:cs="仿宋_GB2312" w:eastAsia="仿宋_GB2312"/>
                      <w:sz w:val="20"/>
                      <w:color w:val="000000"/>
                    </w:rPr>
                    <w:t>j).设备安装及调试、二次免费培训；</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合同签订后7个工作日内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预付款，采购合同正式签订并生效，且投标人按招标人要求开具等额、合法、有效的增值税专用发票后，，达到付款条件起15个工作日内，支付合同总金额的40.0%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投标人完成全部硬件设备的到货、安装与调试，经招标人初步验收合格；且投标人完成针对招标人业务人员的“首次系统操作与基础维护培训”，并提交《培训签到表》及《培训总结报告》后，达到付款条件起15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投标人完成“第一阶段：场景完善及模型验证期”的全部建设任务，系统上线试运行，且经招标人组织专家评审验收合格，出具《第一阶段验收合格报告》后，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投标人完成“第二阶段：模型迭代与性能调优期”任务，系统具备与现有公安交管业务系统的无缝对接能力，各项性能指标达到合同约定标准，开展第二次培训提交《培训签到表》及《培训总结报告》招标人组织第二阶段验收，验收合格出具《第二阶段验收合格报告》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投标人完成“第三阶段：全面实现实战要求”任务，三年服务期满，系统运行稳定，且投标人全面履行了合同约定的维保与技术支持义务。经招标人最终考核验收合格，出具《项目终验报告》后，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间：到货验收、阶段验收、终验。验收合格条件：1、到货验收：满足招标文件及合同要求，设备型号、数量、完好无损一致，并提交《培训签到表》及《培训总结报告》；2、投标人完成“第一阶段：场景完善及模型验证期。交付成果：提交《系统功能优化测试报告》《阶段验收报告》，重点验证模型在不同路况下的识别准确率与平台响应时效。考核指标：系统功能模块开发完毕，基础识别率达到合同要求90％以上，移动端APP上线运行。”的全部建设任务，且经招标人组织专家评审验收合格；3、投标人完成“第二阶段：模型迭代与性能调优期。交付成果：提交《年度系统效能评估报告》及《模型优化日志》《阶段验收报告》。考核指标：在完成全量数据回流与模型二次训练基础上，实现隐患识别准确率≥98.5％，复杂场景误报率≤0.5％，系统连续无故障工作时间72小时”任务，系统具备与现有公安交管业务系统的无缝对接能力，各项性能指标达到合同约定标准，开展第二次培训提交《培训签到表》及《培训总结报告》招标人组织第二阶段验收；4、终验：全面实现实战要求。交付成果：建立长效运行机制，形成“一路一档”数字化台账，根据各类隐患等级，完成隐患排查成效的量化评估和跟踪闭环。考核指标：识别率、准确率全面达标，数字档案要素完整无误，研判准确，提供《季度隐患排查治理报告》《指标测评表》《用户使用意见书》《数据安全测试报告》《设备性能稳定性测试报告》《阶段验收报告》《终验报告》《共有软著权登记证书》，全面实现实战要求”任务，三年服务期满，系统运行稳定，且投标人全面履行了合同约定的维保与技术支持义务。经招标人最终考核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招标人在签署设备到货验收单即视为到货验收通过，验收通过当日起服务满三年即为保修期结束。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2.未按合同或招标文件要求提供服务，质量不能满足采购方技术要求，甲方有权终止合同，甚至对乙方违约行为进行追究。 3.乙方由于自身过错，延误按本合同规定的交付时间，每延误一天，应减收本合同总额的2‰作为延误违约金。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特别注意：（1）质量标准：符合国家及行业有关现行规范、标准的要求。 （2）投标人需要在线提交所有通过电子化交易平台实施的政府采购项目的响应文件，同时，线下提交响应文件正本壹份、副本贰套、电子版壹套（U盘一套标明供应商名称）。 线下纸质文件递交截止时间：同在线递交电子响应文件截止时间一致；线下纸质文件递交地点： 陕西省西安市未央区白桦林国际A座1901。 （6）根据《陕西省财政厅关于进一步优化政府采购营商环境有关事项的通知》（陕财办采〔2023〕4号）规定，采购人应在成交通知书发出之日起25日与成交供应商签订采购合同，因采购系统文件编制有所限制，文件前后不一致以此处为准。（4）投标保证金退还： A．未中标投标人：自中标通知书发出之日起5个工作日内退还未中标投标人的投标保证金，无需亲自前来办理； B.中标投标人：自采购合同签订之日起5个工作日内退还中标投标人的投标保证金。（须携带或邮寄合同原件或合同复印件（加盖单位鲜章）各一份，同时将合同扫描件发送至联系人邮箱），但因中标投标人自身原因导致无法及时退还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AI投标人资格证明文件.docx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①2024年或2025年度财务审计报告（成立时间至提交响应文件截止时间不足一年的可提供成立后任意时段的资产负债表）或②其基本存款账户开户银行出具的资信证明及基本存款账户的开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提供法人代表、控股股东、控股企业及管理、被管理单位情况声明且各供应商之间不存在单位负责人为同一人或者存在控股、管理关系情形的承诺函。2、提供为本项目提供整体设计、规范编制或者项目管理、监理、检测等服务的供应商，不得再参加该采购项目的其他采购活动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AI投标人资格证明文件.docx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2、提供①2024年或2025年度财务审计报告（成立时间至提交响应文件截止时间不足一年的可提供成立后任意时段的资产负债表）或②其基本存款账户开户银行出具的资信证明及基本存款账户的开户证明；</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3、提供2026年1月至今至少一个月纳税证明或完税证明，纳税证明或完税证明上应有代收机构或税务机关的公章，依法免税的供应商应提供相关文件证明；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4、提供2026年1月至今至少一个月的社会保障资金缴存单据或社保机构开具的社会保险参保缴费情况证明，依法不需要缴纳社会保障资金的单位应提供相关证明材料；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5、提供参加本次政府采购活动前三年内在经营活动中没有重大违法记录（提供书面声明）；</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6、提供具有履行合同所必须的设备和专业技术能力的承诺书；</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“信用中国”网站和中国政府采购网 （www.ccgp.gov.cn）查询记录</w:t>
            </w:r>
          </w:p>
        </w:tc>
        <w:tc>
          <w:tcPr>
            <w:tcW w:type="dxa" w:w="3322"/>
          </w:tcPr>
          <w:p>
            <w:pPr>
              <w:pStyle w:val="null3"/>
            </w:pPr>
            <w:r>
              <w:rPr>
                <w:rFonts w:ascii="仿宋_GB2312" w:hAnsi="仿宋_GB2312" w:cs="仿宋_GB2312" w:eastAsia="仿宋_GB2312"/>
              </w:rPr>
              <w:t>未被列入“信用中国”网站(www.creditchina.gov.cn)失信被执行人名单、重大税收违法失信主体、未被列入“中国政府采购网”（www.ccgp.gov.cn）政府采购严重违法失信行为记录名单（以现场查询为准）；</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AI投标人资格证明文件.docx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AI投标人资格证明文件.docx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（1）投标报价表填写符合要求；（2）投标报价未超出采购预算（招标文件有最高限价的，报价未超过最高限价）。</w:t>
            </w:r>
          </w:p>
        </w:tc>
        <w:tc>
          <w:tcPr>
            <w:tcW w:type="dxa" w:w="1661"/>
          </w:tcPr>
          <w:p>
            <w:pPr>
              <w:pStyle w:val="null3"/>
            </w:pPr>
            <w:r>
              <w:rPr>
                <w:rFonts w:ascii="仿宋_GB2312" w:hAnsi="仿宋_GB2312" w:cs="仿宋_GB2312" w:eastAsia="仿宋_GB2312"/>
              </w:rPr>
              <w:t>分项报价表.docx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投标函 中小企业声明函 残疾人福利性单位声明函 标的清单 关于符合本国产品标准的声明函 投标文件封面 投标人承诺书.docx 服务方案.docx 监狱企业的证明文件 技术指标偏差表.docx 商务条款响应说明.docx AI投标人资格证明文件.docx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标的清单 关于符合本国产品标准的声明函 投标文件封面 投标人承诺书.docx 服务方案.docx 监狱企业的证明文件 技术指标偏差表.docx 商务条款响应说明.docx AI投标人资格证明文件.docx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制定实施方案，方案内容包括但不限于：项目实施范围、项目实施总体目标、项目实施阶段性目标、项目实施阶段性措施、项目实施进度保障措施、项目实施保密措施、项目实施服务团队配备等。 ①总体方案全面、思路清晰、科学合理、切实可行，完全满足采购人需求的得 5分； ②方案具有整体框架，未对分项内容进行详细描述或方案合理性、针对性欠佳的得3分； ③方案内容与本项目实际情况不符合的，或方案未针对本项目实际情况 进行编制的或内容有严重欠缺的得1分； ④未提供相关内容的不计分。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质量与服务保证</w:t>
            </w:r>
          </w:p>
        </w:tc>
        <w:tc>
          <w:tcPr>
            <w:tcW w:type="dxa" w:w="2492"/>
          </w:tcPr>
          <w:p>
            <w:pPr>
              <w:pStyle w:val="null3"/>
            </w:pPr>
            <w:r>
              <w:rPr>
                <w:rFonts w:ascii="仿宋_GB2312" w:hAnsi="仿宋_GB2312" w:cs="仿宋_GB2312" w:eastAsia="仿宋_GB2312"/>
              </w:rPr>
              <w:t>供应商针对本项目制定质量与服务保证方案，方案内容包括但不限于：质量保障措施及数据安全承诺、服务目标、质保期限、违约情况的承诺等 ①总体方案全面、思路清晰、科学合理、切实可行，完全满足采购人需求的得5分； ②方案具有整体内容，未对分项内容进行详细描述或方案合理性、针对 性欠佳的得3分； ③方案内容与本项目实际情况不符合的，或方案未针对本项目实际情况 进行编制的或内容有严重欠缺的得1分； ④未提供相关内容的不得分。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投标人针对本项目制定售后服务方案，方案内容包括但不限于：（1）提供售后服务体系、售后服务目标、售后服务内容、售后服务方式； ①总体方案全面、思路清晰、科学合理、切实可行，完全满足采购人需求的得 5分； ②方案具有整体框架，未对分项内容进行详细描述或方案合理性、针对性欠佳的得 4； ③方案简单，内容空泛，不利于项目实施的得3分； ④方案内容与本项目实际情况不符合的，或方案未针对本项目实际情况 进行编制的或内容有严重欠缺的得2分； ⑤未提供相关内容的不得分。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制定合理、可行的各种突发情况（包含现场秩序调节、响应时间、现场服务、定期巡查、应急方案）的应急预案。 应急预案内容完善，应对措施全面 、可行性强、考虑充分，能够确保活动顺利开展，得5分； 1.应急预案内容基本完善， 应对措施的可行性较强，考虑得当，基本能够确保活动顺利开展，得3分；2.应急预案 内容基本完善，应对措施有一定可行性，考虑不足，得1分； 3.其他或未提供不得分。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硬件设计1</w:t>
            </w:r>
          </w:p>
        </w:tc>
        <w:tc>
          <w:tcPr>
            <w:tcW w:type="dxa" w:w="2492"/>
          </w:tcPr>
          <w:p>
            <w:pPr>
              <w:pStyle w:val="null3"/>
            </w:pPr>
            <w:r>
              <w:rPr>
                <w:rFonts w:ascii="仿宋_GB2312" w:hAnsi="仿宋_GB2312" w:cs="仿宋_GB2312" w:eastAsia="仿宋_GB2312"/>
              </w:rPr>
              <w:t>1、集成度高、安装简便、无需车改即可使用，厘米级定位精度，内置RTK高精度定位；视野可以覆盖4车道；提供证明材料（包括但不限于：产品彩页、检测报告、说明书、第三方检测报告均可），得2分，无相关材料不得分； 2、不限制巡查车车速，支持车速在120km/h，保持采集密度，且无运动模糊、逆光条件下清晰成像、可识别宽度3mm以上裂缝。提供技术承诺文件，得2分，无承诺文件不得分。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硬件设计2</w:t>
            </w:r>
          </w:p>
        </w:tc>
        <w:tc>
          <w:tcPr>
            <w:tcW w:type="dxa" w:w="2492"/>
          </w:tcPr>
          <w:p>
            <w:pPr>
              <w:pStyle w:val="null3"/>
            </w:pPr>
            <w:r>
              <w:rPr>
                <w:rFonts w:ascii="仿宋_GB2312" w:hAnsi="仿宋_GB2312" w:cs="仿宋_GB2312" w:eastAsia="仿宋_GB2312"/>
              </w:rPr>
              <w:t>1、支持无网络情况下连续采集不丢数据、支持断点续传； 2、至少3m一张采集照片，且回传积压低于30分钟； 上述两项内容需提供承诺文件材料，提供一项得2分，无相关材料不得分。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算法能力1</w:t>
            </w:r>
          </w:p>
        </w:tc>
        <w:tc>
          <w:tcPr>
            <w:tcW w:type="dxa" w:w="2492"/>
          </w:tcPr>
          <w:p>
            <w:pPr>
              <w:pStyle w:val="null3"/>
            </w:pPr>
            <w:r>
              <w:rPr>
                <w:rFonts w:ascii="仿宋_GB2312" w:hAnsi="仿宋_GB2312" w:cs="仿宋_GB2312" w:eastAsia="仿宋_GB2312"/>
              </w:rPr>
              <w:t>识别并标记相关路段的交安设施应设未设情况，共52种算法能力： 在满足基础算法能力的基础上，每多3种算法能力加5分，最高15分（提供证明材料，无相关材料不得分）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算法能力2</w:t>
            </w:r>
          </w:p>
        </w:tc>
        <w:tc>
          <w:tcPr>
            <w:tcW w:type="dxa" w:w="2492"/>
          </w:tcPr>
          <w:p>
            <w:pPr>
              <w:pStyle w:val="null3"/>
            </w:pPr>
            <w:r>
              <w:rPr>
                <w:rFonts w:ascii="仿宋_GB2312" w:hAnsi="仿宋_GB2312" w:cs="仿宋_GB2312" w:eastAsia="仿宋_GB2312"/>
              </w:rPr>
              <w:t>支持回放巡检前方影像，按照时间、设备、道路名称筛选得3分（提供证明材料，无相关材料不得分）。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算法能力3</w:t>
            </w:r>
          </w:p>
        </w:tc>
        <w:tc>
          <w:tcPr>
            <w:tcW w:type="dxa" w:w="2492"/>
          </w:tcPr>
          <w:p>
            <w:pPr>
              <w:pStyle w:val="null3"/>
            </w:pPr>
            <w:r>
              <w:rPr>
                <w:rFonts w:ascii="仿宋_GB2312" w:hAnsi="仿宋_GB2312" w:cs="仿宋_GB2312" w:eastAsia="仿宋_GB2312"/>
              </w:rPr>
              <w:t>利用AI智能体，给出每一个隐患点的规范处置方案得2分（提供相关证明文件，无相关材料不得分）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投入本项目服务团队总人数：5人以上得2分，5人以下不得分（投标人需提供人员清单及社保证明（或劳动合同））（以上人员均提供身份证、本单位缴纳社保及个人简历，未提供或提供不全的均不计分，以上人员不重复计分）； 2、其中4人及以上有中级职称证书（交通工程、计算机技术、计算机应用、电子信息、智能交通、自动化等相关专业）或发明专利人得3分；3人-2人有中级职称证书（交通工程、计算机技术、计算机应用、电子信息、智能交通、自动化等相关专业）或发明专利人得1分；2人及以下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质保年限承诺</w:t>
            </w:r>
          </w:p>
        </w:tc>
        <w:tc>
          <w:tcPr>
            <w:tcW w:type="dxa" w:w="2492"/>
          </w:tcPr>
          <w:p>
            <w:pPr>
              <w:pStyle w:val="null3"/>
            </w:pPr>
            <w:r>
              <w:rPr>
                <w:rFonts w:ascii="仿宋_GB2312" w:hAnsi="仿宋_GB2312" w:cs="仿宋_GB2312" w:eastAsia="仿宋_GB2312"/>
              </w:rPr>
              <w:t>承诺交货验收之前起满3年得2分，最高得2分，不满3年不得分；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供货周期</w:t>
            </w:r>
          </w:p>
        </w:tc>
        <w:tc>
          <w:tcPr>
            <w:tcW w:type="dxa" w:w="2492"/>
          </w:tcPr>
          <w:p>
            <w:pPr>
              <w:pStyle w:val="null3"/>
            </w:pPr>
            <w:r>
              <w:rPr>
                <w:rFonts w:ascii="仿宋_GB2312" w:hAnsi="仿宋_GB2312" w:cs="仿宋_GB2312" w:eastAsia="仿宋_GB2312"/>
              </w:rPr>
              <w:t>合同生效后7日历天完成设备到货： 7天内到货2分；10 天内到货1分；15天内到货0.5分。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1、投标人提供具有 ISO9001 质量管理体系认证、ISO27001 信息安全管理体系认证、信息技术服务管理体系认证提供3个得1分，少一项扣0.5分，未提供不得分。 2、发明专利：拥有道路巡检设备项目相关发明专利，一项得0.5分，最高得1分 3、软著：拥有15项以及以上数量软著得1分，15项以下得0分； 提供相关证明材料，未提供不得分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投标人针对本项目提供有利于本项目开展的其它承诺如下： 1、著作权共有； 2、三年运维期满后，每台设备每年支付合同中单台设备价款15%，负责对原有设备升级更新及服务； 3、增加对原有一台设备享受同本次招标方案同等服务； 4、配合甲方申报交通行业或者公安行业等奖项； 每提供一项承诺，经评标专家一致认定得1分，满分4分，无承诺不得分。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产品具有国家级检测机构认证的计量证书，得1分，未提供不得分。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免费上门集中培训场次、培训时长承诺不少于 2 次现场实操培训，单次培训不少于 4 小时；得1分（提供书面承诺） 质保期内每年免费复训次数承诺，提供永久线上技术答疑、操作视频资料库承诺得0.5分（提供书面承诺），未提供不得分。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提供2023年1月1日起智慧巡检类似业绩，每提供1份得1分，最高得4分；（以合同为准，投标人在投标文件中附合同扫描件或复印件加盖单位公章）。注：合同须包括合同内容，日期，签字盖章等关键页。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详见附件：AI投标人资格证明文件.docx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