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版本号：HWHZ-202603720260702002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1-4号实验实训楼公共区域墙地面维修项目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HWHZ-2026037</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1-4号实验实训楼公共区域墙地面维修项目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1-4号实验实训楼公共区域墙地面维修项目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1-4号实验实训楼公共区域墙地面维修项目 ，建设地点：汉中职业技术学院，项目主要建设内容：1.1-4#实验实训楼整个公共部分墙面、顶面原面层进行铲除，重新刮腻子、喷涂环保乳胶漆,室内设1.2m墙裙；2.楼梯间扶手栏杆刷银粉漆；3.公共走廊防盗门内外重新刷漆，观察窗贴磨砂膜；4.走廊更换LED平板灯300*600，隔一布一，声控灯。（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采购包1（1-4号实验实训楼公共区域墙地面维修项目）：属于专门面向中小企业采购。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3、企业资质要求：供应商须具备建设行政主管部门核发的建筑装修装饰工程专业承包二级（含二级）及以上资质或建筑工程施工总承包三级（含三级）及以上资质，具有有效的安全生产许可证；</w:t>
      </w:r>
    </w:p>
    <w:p>
      <w:pPr>
        <w:pStyle w:val="null3"/>
      </w:pPr>
      <w:r>
        <w:rPr>
          <w:rFonts w:ascii="仿宋_GB2312" w:hAnsi="仿宋_GB2312" w:cs="仿宋_GB2312" w:eastAsia="仿宋_GB2312"/>
        </w:rPr>
        <w:t>4、项目经理资质要求：拟派的项目经理须具备建筑工程专业注册建造师二级（含二级）及以上资格和有效的安全生产考核合格证（建安B 证），且无在建工程、无不良记录（提供无在建工程、无不良记录承诺书）；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采购包1：1,152,400.00元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1,152,400.00</w:t>
      </w:r>
    </w:p>
    <w:p>
      <w:pPr>
        <w:pStyle w:val="null3"/>
      </w:pPr>
      <w:r>
        <w:rPr>
          <w:rFonts w:ascii="仿宋_GB2312" w:hAnsi="仿宋_GB2312" w:cs="仿宋_GB2312" w:eastAsia="仿宋_GB2312"/>
        </w:rPr>
        <w:t>采购包最高限价（元）: 1,038,451.77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1,152,400.00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sz w:val="19"/>
              </w:rPr>
              <w:t>工程概况：</w:t>
            </w:r>
            <w:r>
              <w:rPr>
                <w:rFonts w:ascii="仿宋_GB2312" w:hAnsi="仿宋_GB2312" w:cs="仿宋_GB2312" w:eastAsia="仿宋_GB2312"/>
                <w:sz w:val="19"/>
              </w:rPr>
              <w:t xml:space="preserve">1-4号实验实训楼公共区域墙地面维修项目 </w:t>
            </w:r>
            <w:r>
              <w:rPr>
                <w:rFonts w:ascii="仿宋_GB2312" w:hAnsi="仿宋_GB2312" w:cs="仿宋_GB2312" w:eastAsia="仿宋_GB2312"/>
                <w:sz w:val="19"/>
              </w:rPr>
              <w:t>，</w:t>
            </w:r>
            <w:r>
              <w:rPr>
                <w:rFonts w:ascii="仿宋_GB2312" w:hAnsi="仿宋_GB2312" w:cs="仿宋_GB2312" w:eastAsia="仿宋_GB2312"/>
                <w:sz w:val="19"/>
              </w:rPr>
              <w:t>建设地点：汉中职业技术学院，</w:t>
            </w:r>
            <w:r>
              <w:rPr>
                <w:rFonts w:ascii="仿宋_GB2312" w:hAnsi="仿宋_GB2312" w:cs="仿宋_GB2312" w:eastAsia="仿宋_GB2312"/>
                <w:sz w:val="19"/>
              </w:rPr>
              <w:t>项目主要建设内容：</w:t>
            </w:r>
          </w:p>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1-4#实验实训楼整个公共部分墙面、顶面原面层进行铲除，重新刮腻子、喷涂环保乳胶漆</w:t>
            </w:r>
            <w:r>
              <w:rPr>
                <w:rFonts w:ascii="仿宋_GB2312" w:hAnsi="仿宋_GB2312" w:cs="仿宋_GB2312" w:eastAsia="仿宋_GB2312"/>
                <w:sz w:val="19"/>
              </w:rPr>
              <w:t>,</w:t>
            </w:r>
            <w:r>
              <w:rPr>
                <w:rFonts w:ascii="仿宋_GB2312" w:hAnsi="仿宋_GB2312" w:cs="仿宋_GB2312" w:eastAsia="仿宋_GB2312"/>
                <w:sz w:val="19"/>
              </w:rPr>
              <w:t>室内设</w:t>
            </w:r>
            <w:r>
              <w:rPr>
                <w:rFonts w:ascii="仿宋_GB2312" w:hAnsi="仿宋_GB2312" w:cs="仿宋_GB2312" w:eastAsia="仿宋_GB2312"/>
                <w:sz w:val="19"/>
              </w:rPr>
              <w:t>1.2m墙裙；</w:t>
            </w:r>
            <w:r>
              <w:rPr>
                <w:rFonts w:ascii="仿宋_GB2312" w:hAnsi="仿宋_GB2312" w:cs="仿宋_GB2312" w:eastAsia="仿宋_GB2312"/>
                <w:sz w:val="19"/>
              </w:rPr>
              <w:t>2.</w:t>
            </w:r>
            <w:r>
              <w:rPr>
                <w:rFonts w:ascii="仿宋_GB2312" w:hAnsi="仿宋_GB2312" w:cs="仿宋_GB2312" w:eastAsia="仿宋_GB2312"/>
                <w:sz w:val="19"/>
              </w:rPr>
              <w:t>楼梯间扶手栏杆刷银粉漆；</w:t>
            </w:r>
            <w:r>
              <w:rPr>
                <w:rFonts w:ascii="仿宋_GB2312" w:hAnsi="仿宋_GB2312" w:cs="仿宋_GB2312" w:eastAsia="仿宋_GB2312"/>
                <w:sz w:val="19"/>
              </w:rPr>
              <w:t>3.</w:t>
            </w:r>
            <w:r>
              <w:rPr>
                <w:rFonts w:ascii="仿宋_GB2312" w:hAnsi="仿宋_GB2312" w:cs="仿宋_GB2312" w:eastAsia="仿宋_GB2312"/>
                <w:sz w:val="19"/>
              </w:rPr>
              <w:t>公共走廊防盗门内外重新刷漆，观察窗贴磨砂膜；</w:t>
            </w:r>
            <w:r>
              <w:rPr>
                <w:rFonts w:ascii="仿宋_GB2312" w:hAnsi="仿宋_GB2312" w:cs="仿宋_GB2312" w:eastAsia="仿宋_GB2312"/>
                <w:sz w:val="19"/>
              </w:rPr>
              <w:t>4.走廊更换LED平板灯300*600，隔一布一，声控灯</w:t>
            </w:r>
            <w:r>
              <w:rPr>
                <w:rFonts w:ascii="仿宋_GB2312" w:hAnsi="仿宋_GB2312" w:cs="仿宋_GB2312" w:eastAsia="仿宋_GB2312"/>
                <w:sz w:val="19"/>
              </w:rPr>
              <w:t>。（具体以工程量清单为准）</w:t>
            </w:r>
            <w:r>
              <w:rPr>
                <w:rFonts w:ascii="仿宋_GB2312" w:hAnsi="仿宋_GB2312" w:cs="仿宋_GB2312" w:eastAsia="仿宋_GB2312"/>
                <w:sz w:val="19"/>
              </w:rPr>
              <w:t>；</w:t>
            </w:r>
          </w:p>
          <w:p>
            <w:pPr>
              <w:pStyle w:val="null3"/>
            </w:pPr>
            <w:r>
              <w:rPr>
                <w:rFonts w:ascii="仿宋_GB2312" w:hAnsi="仿宋_GB2312" w:cs="仿宋_GB2312" w:eastAsia="仿宋_GB2312"/>
                <w:sz w:val="20"/>
              </w:rPr>
              <w:t>二、施工要求：</w:t>
            </w:r>
          </w:p>
          <w:p>
            <w:pPr>
              <w:pStyle w:val="null3"/>
            </w:pPr>
            <w:r>
              <w:rPr>
                <w:rFonts w:ascii="仿宋_GB2312" w:hAnsi="仿宋_GB2312" w:cs="仿宋_GB2312" w:eastAsia="仿宋_GB2312"/>
                <w:sz w:val="20"/>
              </w:rPr>
              <w:t>1.涂料、腻子、乳胶漆、油漆必须符合国家现行标准，严禁使用三无产品。施工完成后，室内空气质量必须符合规范要求。</w:t>
            </w:r>
          </w:p>
          <w:p>
            <w:pPr>
              <w:pStyle w:val="null3"/>
            </w:pPr>
            <w:r>
              <w:rPr>
                <w:rFonts w:ascii="仿宋_GB2312" w:hAnsi="仿宋_GB2312" w:cs="仿宋_GB2312" w:eastAsia="仿宋_GB2312"/>
                <w:sz w:val="20"/>
              </w:rPr>
              <w:t>三</w:t>
            </w:r>
            <w:r>
              <w:rPr>
                <w:rFonts w:ascii="仿宋_GB2312" w:hAnsi="仿宋_GB2312" w:cs="仿宋_GB2312" w:eastAsia="仿宋_GB2312"/>
                <w:sz w:val="20"/>
              </w:rPr>
              <w:t>、编制依据：详见附件。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w:t>
            </w:r>
            <w:r>
              <w:rPr>
                <w:rFonts w:ascii="仿宋_GB2312" w:hAnsi="仿宋_GB2312" w:cs="仿宋_GB2312" w:eastAsia="仿宋_GB2312"/>
                <w:sz w:val="20"/>
              </w:rPr>
              <w:t>商务要求（本项为实质性响应要求，不得负偏离）</w:t>
            </w:r>
          </w:p>
          <w:p>
            <w:pPr>
              <w:pStyle w:val="null3"/>
              <w:jc w:val="left"/>
            </w:pPr>
            <w:r>
              <w:rPr>
                <w:rFonts w:ascii="仿宋_GB2312" w:hAnsi="仿宋_GB2312" w:cs="仿宋_GB2312" w:eastAsia="仿宋_GB2312"/>
                <w:sz w:val="20"/>
                <w:color w:val="000000"/>
              </w:rPr>
              <w:t>1.工期：</w:t>
            </w:r>
            <w:r>
              <w:rPr>
                <w:rFonts w:ascii="仿宋_GB2312" w:hAnsi="仿宋_GB2312" w:cs="仿宋_GB2312" w:eastAsia="仿宋_GB2312"/>
                <w:sz w:val="20"/>
                <w:color w:val="000000"/>
              </w:rPr>
              <w:t>30日历天。</w:t>
            </w:r>
          </w:p>
          <w:p>
            <w:pPr>
              <w:pStyle w:val="null3"/>
              <w:jc w:val="left"/>
            </w:pPr>
            <w:r>
              <w:rPr>
                <w:rFonts w:ascii="仿宋_GB2312" w:hAnsi="仿宋_GB2312" w:cs="仿宋_GB2312" w:eastAsia="仿宋_GB2312"/>
                <w:sz w:val="20"/>
                <w:color w:val="000000"/>
              </w:rPr>
              <w:t>2.质量要求：</w:t>
            </w:r>
            <w:r>
              <w:rPr>
                <w:rFonts w:ascii="仿宋_GB2312" w:hAnsi="仿宋_GB2312" w:cs="仿宋_GB2312" w:eastAsia="仿宋_GB2312"/>
              </w:rPr>
              <w:t>符合国家现行有关施工质量验收规范</w:t>
            </w:r>
            <w:r>
              <w:rPr>
                <w:rFonts w:ascii="仿宋_GB2312" w:hAnsi="仿宋_GB2312" w:cs="仿宋_GB2312" w:eastAsia="仿宋_GB2312"/>
              </w:rPr>
              <w:t>“合格”要求</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.质</w:t>
            </w:r>
            <w:r>
              <w:rPr>
                <w:rFonts w:ascii="仿宋_GB2312" w:hAnsi="仿宋_GB2312" w:cs="仿宋_GB2312" w:eastAsia="仿宋_GB2312"/>
                <w:sz w:val="20"/>
                <w:color w:val="000000"/>
              </w:rPr>
              <w:t>保</w:t>
            </w:r>
            <w:r>
              <w:rPr>
                <w:rFonts w:ascii="仿宋_GB2312" w:hAnsi="仿宋_GB2312" w:cs="仿宋_GB2312" w:eastAsia="仿宋_GB2312"/>
                <w:sz w:val="20"/>
                <w:color w:val="000000"/>
              </w:rPr>
              <w:t>期：</w:t>
            </w:r>
            <w:r>
              <w:rPr>
                <w:rFonts w:ascii="仿宋_GB2312" w:hAnsi="仿宋_GB2312" w:cs="仿宋_GB2312" w:eastAsia="仿宋_GB2312"/>
              </w:rPr>
              <w:t>2</w:t>
            </w:r>
            <w:r>
              <w:rPr>
                <w:rFonts w:ascii="仿宋_GB2312" w:hAnsi="仿宋_GB2312" w:cs="仿宋_GB2312" w:eastAsia="仿宋_GB2312"/>
              </w:rPr>
              <w:t>年。</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.漏项处理：施工过程中发现工程量清单中存在漏项工程的，该漏项工程作为本项目采购的组成部分，采购人和供应商可以按照双方合同的规定协商解决。</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.支付方式及合同支付约定：</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.1支付方式：分期付款</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.2合同支付约定：</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 预付款，所有项目进场，达到付款条件起15个工作日内，支付合同总金额的30.0%</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 进度款，竣工验收审计结束后，达到付款条件起15个工作日内，支付合同总金额的70.0%</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.施工要求</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.1遵守国家相关法律、法规，遵守国家相关技术规范；</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.2所选材料必须保证 质量可靠、进货渠道正常，符合国家环保等相关标准，满足施工要求；</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.3工程质量符合国家有关规范，确保达到合格；</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.4遵守有关施工规范和安全操作规程，采取有效的安全保障措施，确保施工安全，包括悬挂警示标牌、装设围栏、配备安全人员等，并承担事故的全部费用和责任；</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.5施工单位必须服从当地对治安、卫生、环保、社会保险等工程建设的统一管理，并按有关规定交纳费用以及因违反相关规定而造成的罚款；</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.6爱护采购方设施设备，不能为施工方便未经采购单位书面同意损坏采购方设施设备；</w:t>
            </w:r>
          </w:p>
          <w:p>
            <w:pPr>
              <w:pStyle w:val="null3"/>
              <w:ind w:firstLine="400"/>
              <w:jc w:val="both"/>
            </w:pPr>
            <w:r>
              <w:rPr>
                <w:rFonts w:ascii="仿宋_GB2312" w:hAnsi="仿宋_GB2312" w:cs="仿宋_GB2312" w:eastAsia="仿宋_GB2312"/>
                <w:sz w:val="20"/>
                <w:color w:val="333333"/>
              </w:rPr>
              <w:t>6</w:t>
            </w:r>
            <w:r>
              <w:rPr>
                <w:rFonts w:ascii="仿宋_GB2312" w:hAnsi="仿宋_GB2312" w:cs="仿宋_GB2312" w:eastAsia="仿宋_GB2312"/>
                <w:sz w:val="20"/>
                <w:color w:val="333333"/>
              </w:rPr>
              <w:t>.7成交供应商自行办理垃圾清理手续，遵守当地政府垃圾分类处理有关规定，承担自行处置不当导致的全部费用和责任；</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333333"/>
              </w:rPr>
              <w:t>6</w:t>
            </w:r>
            <w:r>
              <w:rPr>
                <w:rFonts w:ascii="仿宋_GB2312" w:hAnsi="仿宋_GB2312" w:cs="仿宋_GB2312" w:eastAsia="仿宋_GB2312"/>
                <w:sz w:val="20"/>
                <w:color w:val="333333"/>
              </w:rPr>
              <w:t>.8在施工期间，成交供应商必须注意校院内人员安全，加强安全措施，并对施工人员进行安全教育，施工人员必须持证上岗；</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.质量验收标准或规范。</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.1国家现行有关法律、法规、环保和技术指标。</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.2本项目施工合同。</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.3经批准的设计文件及工程变更文件。</w:t>
            </w:r>
          </w:p>
          <w:p>
            <w:pPr>
              <w:pStyle w:val="null3"/>
              <w:ind w:firstLine="400"/>
              <w:jc w:val="both"/>
            </w:pPr>
            <w:r>
              <w:rPr>
                <w:rFonts w:ascii="仿宋_GB2312" w:hAnsi="仿宋_GB2312" w:cs="仿宋_GB2312" w:eastAsia="仿宋_GB2312"/>
                <w:sz w:val="20"/>
                <w:color w:val="333333"/>
              </w:rPr>
              <w:t>7</w:t>
            </w:r>
            <w:r>
              <w:rPr>
                <w:rFonts w:ascii="仿宋_GB2312" w:hAnsi="仿宋_GB2312" w:cs="仿宋_GB2312" w:eastAsia="仿宋_GB2312"/>
                <w:sz w:val="20"/>
                <w:color w:val="333333"/>
              </w:rPr>
              <w:t>.4有关部政府部门的规定。</w:t>
            </w:r>
          </w:p>
          <w:p>
            <w:pPr>
              <w:pStyle w:val="null3"/>
              <w:ind w:firstLine="400"/>
              <w:jc w:val="both"/>
            </w:pPr>
            <w:r>
              <w:rPr>
                <w:rFonts w:ascii="仿宋_GB2312" w:hAnsi="仿宋_GB2312" w:cs="仿宋_GB2312" w:eastAsia="仿宋_GB2312"/>
                <w:sz w:val="20"/>
                <w:color w:val="333333"/>
              </w:rPr>
              <w:t>8</w:t>
            </w:r>
            <w:r>
              <w:rPr>
                <w:rFonts w:ascii="仿宋_GB2312" w:hAnsi="仿宋_GB2312" w:cs="仿宋_GB2312" w:eastAsia="仿宋_GB2312"/>
                <w:sz w:val="20"/>
                <w:color w:val="333333"/>
              </w:rPr>
              <w:t>.项目检验与验收</w:t>
            </w:r>
          </w:p>
          <w:p>
            <w:pPr>
              <w:pStyle w:val="null3"/>
              <w:ind w:firstLine="400"/>
              <w:jc w:val="both"/>
            </w:pPr>
            <w:r>
              <w:rPr>
                <w:rFonts w:ascii="仿宋_GB2312" w:hAnsi="仿宋_GB2312" w:cs="仿宋_GB2312" w:eastAsia="仿宋_GB2312"/>
                <w:sz w:val="20"/>
                <w:color w:val="333333"/>
              </w:rPr>
              <w:t>8</w:t>
            </w:r>
            <w:r>
              <w:rPr>
                <w:rFonts w:ascii="仿宋_GB2312" w:hAnsi="仿宋_GB2312" w:cs="仿宋_GB2312" w:eastAsia="仿宋_GB2312"/>
                <w:sz w:val="20"/>
                <w:color w:val="333333"/>
              </w:rPr>
              <w:t>.1成交供应商向采购人提交项目实施过程中的所有资料。</w:t>
            </w:r>
          </w:p>
          <w:p>
            <w:pPr>
              <w:pStyle w:val="null3"/>
              <w:ind w:firstLine="400"/>
              <w:jc w:val="both"/>
            </w:pPr>
            <w:r>
              <w:rPr>
                <w:rFonts w:ascii="仿宋_GB2312" w:hAnsi="仿宋_GB2312" w:cs="仿宋_GB2312" w:eastAsia="仿宋_GB2312"/>
                <w:sz w:val="20"/>
                <w:color w:val="333333"/>
              </w:rPr>
              <w:t>8</w:t>
            </w:r>
            <w:r>
              <w:rPr>
                <w:rFonts w:ascii="仿宋_GB2312" w:hAnsi="仿宋_GB2312" w:cs="仿宋_GB2312" w:eastAsia="仿宋_GB2312"/>
                <w:sz w:val="20"/>
                <w:color w:val="333333"/>
              </w:rPr>
              <w:t>.2验收须以合同、磋商文件及响应文件、澄清、及国家相应的标准、规范等为依据。</w:t>
            </w:r>
          </w:p>
          <w:p>
            <w:pPr>
              <w:pStyle w:val="null3"/>
              <w:ind w:firstLine="400"/>
              <w:jc w:val="both"/>
            </w:pPr>
            <w:r>
              <w:rPr>
                <w:rFonts w:ascii="仿宋_GB2312" w:hAnsi="仿宋_GB2312" w:cs="仿宋_GB2312" w:eastAsia="仿宋_GB2312"/>
                <w:sz w:val="20"/>
                <w:color w:val="333333"/>
              </w:rPr>
              <w:t>9</w:t>
            </w:r>
            <w:r>
              <w:rPr>
                <w:rFonts w:ascii="仿宋_GB2312" w:hAnsi="仿宋_GB2312" w:cs="仿宋_GB2312" w:eastAsia="仿宋_GB2312"/>
                <w:sz w:val="20"/>
                <w:color w:val="333333"/>
              </w:rPr>
              <w:t>.合同的变更、中止、终止。</w:t>
            </w:r>
          </w:p>
          <w:p>
            <w:pPr>
              <w:pStyle w:val="null3"/>
              <w:ind w:firstLine="400"/>
              <w:jc w:val="both"/>
            </w:pPr>
            <w:r>
              <w:rPr>
                <w:rFonts w:ascii="仿宋_GB2312" w:hAnsi="仿宋_GB2312" w:cs="仿宋_GB2312" w:eastAsia="仿宋_GB2312"/>
                <w:sz w:val="20"/>
                <w:color w:val="333333"/>
              </w:rPr>
              <w:t>合同一经签订，不得擅自变更、中止或者终止合同。对确需变更、调整或者中止、终止合同的，由双方协商解决。</w:t>
            </w:r>
          </w:p>
          <w:p>
            <w:pPr>
              <w:pStyle w:val="null3"/>
              <w:ind w:firstLine="400"/>
              <w:jc w:val="both"/>
            </w:pPr>
            <w:r>
              <w:rPr>
                <w:rFonts w:ascii="仿宋_GB2312" w:hAnsi="仿宋_GB2312" w:cs="仿宋_GB2312" w:eastAsia="仿宋_GB2312"/>
                <w:sz w:val="20"/>
                <w:color w:val="333333"/>
              </w:rPr>
              <w:t>1</w:t>
            </w:r>
            <w:r>
              <w:rPr>
                <w:rFonts w:ascii="仿宋_GB2312" w:hAnsi="仿宋_GB2312" w:cs="仿宋_GB2312" w:eastAsia="仿宋_GB2312"/>
                <w:sz w:val="20"/>
                <w:color w:val="333333"/>
              </w:rPr>
              <w:t>0</w:t>
            </w:r>
            <w:r>
              <w:rPr>
                <w:rFonts w:ascii="仿宋_GB2312" w:hAnsi="仿宋_GB2312" w:cs="仿宋_GB2312" w:eastAsia="仿宋_GB2312"/>
                <w:sz w:val="20"/>
                <w:color w:val="333333"/>
              </w:rPr>
              <w:t>.合同争议的处理</w:t>
            </w:r>
          </w:p>
          <w:p>
            <w:pPr>
              <w:pStyle w:val="null3"/>
              <w:ind w:firstLine="400"/>
              <w:jc w:val="both"/>
            </w:pPr>
            <w:r>
              <w:rPr>
                <w:rFonts w:ascii="仿宋_GB2312" w:hAnsi="仿宋_GB2312" w:cs="仿宋_GB2312" w:eastAsia="仿宋_GB2312"/>
                <w:sz w:val="20"/>
                <w:color w:val="333333"/>
              </w:rPr>
              <w:t>合同在履行过程中发生的争议，当事人双方应协商解决，协商达不成一致时，可向采购方所在地仲裁委员会申请仲裁或者向人民法院提请诉讼。</w:t>
            </w:r>
          </w:p>
          <w:p>
            <w:pPr>
              <w:pStyle w:val="null3"/>
              <w:ind w:firstLine="400"/>
              <w:jc w:val="both"/>
            </w:pPr>
            <w:r>
              <w:rPr>
                <w:rFonts w:ascii="仿宋_GB2312" w:hAnsi="仿宋_GB2312" w:cs="仿宋_GB2312" w:eastAsia="仿宋_GB2312"/>
                <w:sz w:val="20"/>
                <w:color w:val="333333"/>
              </w:rPr>
              <w:t>1</w:t>
            </w:r>
            <w:r>
              <w:rPr>
                <w:rFonts w:ascii="仿宋_GB2312" w:hAnsi="仿宋_GB2312" w:cs="仿宋_GB2312" w:eastAsia="仿宋_GB2312"/>
                <w:sz w:val="20"/>
                <w:color w:val="333333"/>
              </w:rPr>
              <w:t>1</w:t>
            </w:r>
            <w:r>
              <w:rPr>
                <w:rFonts w:ascii="仿宋_GB2312" w:hAnsi="仿宋_GB2312" w:cs="仿宋_GB2312" w:eastAsia="仿宋_GB2312"/>
                <w:sz w:val="20"/>
                <w:color w:val="333333"/>
              </w:rPr>
              <w:t>.违约责任</w:t>
            </w:r>
          </w:p>
          <w:p>
            <w:pPr>
              <w:pStyle w:val="null3"/>
              <w:ind w:firstLine="400"/>
              <w:jc w:val="both"/>
            </w:pPr>
            <w:r>
              <w:rPr>
                <w:rFonts w:ascii="仿宋_GB2312" w:hAnsi="仿宋_GB2312" w:cs="仿宋_GB2312" w:eastAsia="仿宋_GB2312"/>
                <w:sz w:val="20"/>
                <w:color w:val="333333"/>
              </w:rPr>
              <w:t>1</w:t>
            </w:r>
            <w:r>
              <w:rPr>
                <w:rFonts w:ascii="仿宋_GB2312" w:hAnsi="仿宋_GB2312" w:cs="仿宋_GB2312" w:eastAsia="仿宋_GB2312"/>
                <w:sz w:val="20"/>
                <w:color w:val="333333"/>
              </w:rPr>
              <w:t>1</w:t>
            </w:r>
            <w:r>
              <w:rPr>
                <w:rFonts w:ascii="仿宋_GB2312" w:hAnsi="仿宋_GB2312" w:cs="仿宋_GB2312" w:eastAsia="仿宋_GB2312"/>
                <w:sz w:val="20"/>
                <w:color w:val="333333"/>
              </w:rPr>
              <w:t>.1按《中华人民共和国政府采购法》《中华人民共和国民法典》中的相关条款执行。</w:t>
            </w:r>
          </w:p>
          <w:p>
            <w:pPr>
              <w:pStyle w:val="null3"/>
              <w:jc w:val="left"/>
            </w:pPr>
            <w:r>
              <w:rPr>
                <w:rFonts w:ascii="仿宋_GB2312" w:hAnsi="仿宋_GB2312" w:cs="仿宋_GB2312" w:eastAsia="仿宋_GB2312"/>
                <w:sz w:val="20"/>
                <w:color w:val="333333"/>
              </w:rPr>
              <w:t xml:space="preserve">    </w:t>
            </w:r>
            <w:r>
              <w:rPr>
                <w:rFonts w:ascii="仿宋_GB2312" w:hAnsi="仿宋_GB2312" w:cs="仿宋_GB2312" w:eastAsia="仿宋_GB2312"/>
                <w:sz w:val="20"/>
                <w:color w:val="333333"/>
              </w:rPr>
              <w:t>1</w:t>
            </w:r>
            <w:r>
              <w:rPr>
                <w:rFonts w:ascii="仿宋_GB2312" w:hAnsi="仿宋_GB2312" w:cs="仿宋_GB2312" w:eastAsia="仿宋_GB2312"/>
                <w:sz w:val="20"/>
                <w:color w:val="333333"/>
              </w:rPr>
              <w:t>1</w:t>
            </w:r>
            <w:r>
              <w:rPr>
                <w:rFonts w:ascii="仿宋_GB2312" w:hAnsi="仿宋_GB2312" w:cs="仿宋_GB2312" w:eastAsia="仿宋_GB2312"/>
                <w:sz w:val="20"/>
                <w:color w:val="333333"/>
              </w:rPr>
              <w:t>.2未按要求提供货物、质量、环保标准不能满足技术要求的，施工方必须无条件更换，否则，采购单位有权终止合同，并对施工方的违约行为报监管机构进行相应的处罚。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 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供应商须具备建设行政主管部门核发的建筑装修装饰工程专业承包二级（含二级）及以上资质或建筑工程施工总承包三级（含三级）及以上资质，具有有效的安全生产许可证；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拟派的项目经理须具备建筑工程专业注册建造师二级（含二级）及以上资格和有效的安全生产考核合格证（建安B 证），且无在建工程、无不良记录（提供无在建工程、无不良记录承诺书）；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⼀、评审内容：供应商针对本项目编制完善的施工方案，内容包含:①工程重难点及解决措施;②工程施工方法; ③施工质量通病防治措施。二、评审标准： 1、完整性：⽅案内容全⾯，对评审内容中的各项要求有详细描述、⽆遗漏；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三、赋分标准：完全满⾜评审内容及评审标准得满分9分；每缺一项评审内容扣3分，每一项内容存在缺陷，扣1分，扣完为止。 注：“缺陷”是指①内容缺项、不完整或缺少关键点；②非专门针对本项目或不适用本项目特性、套用其他项目内容与本项目需求不匹配、或凭空编造；③对同一问题前后表述矛盾，存在逻辑漏洞、科学原理或常识错误；④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⼀、评审内容：供应商针对本项目编制完善的资源配置计划，内容包含:①劳动力资源配置计划;②施工工具及设备投入计划;③主要施工材料供应计划。 二、评审标准： 1、完整性：配置计划⽅案内容全⾯，对评审内容中的各项要求有详细描述、⽆遗漏； 2、可实施性：配置计划清晰明确，与项⽬实际条件匹配，可直接落地执⾏； 3、针对性：配置计划紧扣项⽬实际需求结合本项目特点，不泛⽤模板，能有效解决项⽬实际问题。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⼀、评审内容：供应商针对本项目编制完善的施工进度计划，内容包含：①施工进度计划横道图②进度计划保证措施③工期保证措施。 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⼀、评审内容：供应商针对本项目编制完善的质量保证措施，内容包含：①质量目标管理体系②确保质量的技术组织措施③施工质量控制措施。二、评审标准：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评审内容：供应商针对本项目编制完整的安全施工措施，内容包含：①安全生产管理制度（含严禁非施工人员、留校值守人员擅自进入作业区域、人员财产安全、现有设施设备完好）②安全施工措施（含施工区域封闭围挡、生活学习区域与施工区域物理隔离、设施成品保护、施工噪音时段管控等）③安全应急预案。 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3、针对性：措施紧扣项⽬实际需求与特点，措施具体，不泛⽤模板，能有效解决项⽬实际问题，适配项⽬场景。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⼀、评审内容：供应商针对本项目编制完整的文明施工措施，内容包含：①文明施工管理目标、技术措施及材料管理。②噪音与扬尘控制管理制度（含监测、巡查、报备、整改等）。 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三、赋分标准：完全满⾜评审内容及评审标准得满分4分；每缺一项评审内容扣2分，每一项内容存在缺陷，扣1分，扣完为止。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⼀、评审内容：结合本项目的实际，供应商应提供详细、完善的施工保修承诺，内容包含: ①保修范围及措施;②保修责任;③保修承诺。 二、评审标准： 1、完整性：⽅案内容全⾯，对评审内容中的各项要求有详细描述、⽆遗漏； 2、可实施性：⽅案步骤清晰、流程明确，与项⽬实际条件匹配，可直接落地执⾏； 3、针对性：⽅案紧扣项⽬实际需求结合本项目特点，不泛⽤模板，能有效解决项⽬实际问题。 三、赋分标准：完全满⾜评审内容及评审标准得满分6分；每缺一项评审内容扣2分，每一项内容存在缺陷，扣1分，扣完为止。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一、评审内容：供应商针对本项目特点提供切实可行的施工安全承诺、文明施工承诺、施工质量保证承诺、工期保证承诺、施工环境承诺等，保证按时按质按量完成本项目。 二、赋分标准：每提供一项承诺得1分，满分5分。未提供此项内容或缺项不得分。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拟派项目经理具有中级及以上职称（建筑工程相关专业）。 中级职称，得2分；具有高级职称，得4分；中级以下或未提供均不得分；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所配备施工员、安全员、质量员、资料员、材料员的，每有一个得2分，最多得10分。注：上述人员均需具有专业执业证书证件，否则不得分，且同类人员只计算一次；2.上述人员能够按要求全程在岗到岗、常驻施工现场，在岗履职，未经建设单位及监理单位同意不得擅自离岗、脱岗或擅自更换人员，提供承诺书得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供应商提供2023年1月1日起至今已完成的类似业绩证明材料（包括：墙地面维修工程、室内装饰装修工程、老旧改造或综合修缮工程等），每提供1项得1.5分，最多得3分。 评审依据：业绩以合同和（中标）成交通知书加盖公章的复印件为依据（时间以合同签订时间为准），未提供或提</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