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版本号：SX-JSZB(2026)-01120260706001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蒲城县陕西省重点野生动植物保护项目(含野生鸟类监测保护任务)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SX-JSZB(2026)-011</w:t>
      </w:r>
      <w:r>
        <w:br/>
      </w:r>
      <w:r>
        <w:br/>
      </w:r>
      <w:r>
        <w:br/>
      </w:r>
    </w:p>
    <w:p>
      <w:pPr>
        <w:pStyle w:val="null3"/>
        <w:jc w:val="center"/>
        <w:outlineLvl w:val="2"/>
      </w:pPr>
      <w:r>
        <w:rPr>
          <w:rFonts w:ascii="仿宋_GB2312" w:hAnsi="仿宋_GB2312" w:cs="仿宋_GB2312" w:eastAsia="仿宋_GB2312"/>
          <w:sz w:val="28"/>
          <w:b/>
        </w:rPr>
        <w:t>蒲城县林业局</w:t>
      </w:r>
    </w:p>
    <w:p>
      <w:pPr>
        <w:pStyle w:val="null3"/>
        <w:jc w:val="center"/>
        <w:outlineLvl w:val="2"/>
      </w:pPr>
      <w:r>
        <w:rPr>
          <w:rFonts w:ascii="仿宋_GB2312" w:hAnsi="仿宋_GB2312" w:cs="仿宋_GB2312" w:eastAsia="仿宋_GB2312"/>
          <w:sz w:val="28"/>
          <w:b/>
        </w:rPr>
        <w:t>陕西巨思项目管理有限公司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陕西巨思项目管理有限公司</w:t>
      </w:r>
      <w:r>
        <w:rPr>
          <w:rFonts w:ascii="仿宋_GB2312" w:hAnsi="仿宋_GB2312" w:cs="仿宋_GB2312" w:eastAsia="仿宋_GB2312"/>
        </w:rPr>
        <w:t>（以下简称“代理机构”）受</w:t>
      </w:r>
      <w:r>
        <w:rPr>
          <w:rFonts w:ascii="仿宋_GB2312" w:hAnsi="仿宋_GB2312" w:cs="仿宋_GB2312" w:eastAsia="仿宋_GB2312"/>
        </w:rPr>
        <w:t>蒲城县林业局</w:t>
      </w:r>
      <w:r>
        <w:rPr>
          <w:rFonts w:ascii="仿宋_GB2312" w:hAnsi="仿宋_GB2312" w:cs="仿宋_GB2312" w:eastAsia="仿宋_GB2312"/>
        </w:rPr>
        <w:t>委托，拟对</w:t>
      </w:r>
      <w:r>
        <w:rPr>
          <w:rFonts w:ascii="仿宋_GB2312" w:hAnsi="仿宋_GB2312" w:cs="仿宋_GB2312" w:eastAsia="仿宋_GB2312"/>
        </w:rPr>
        <w:t>蒲城县陕西省重点野生动植物保护项目(含野生鸟类监测保护任务)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SX-JSZB(2026)-011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蒲城县陕西省重点野生动植物保护项目(含野生鸟类监测保护任务)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一是在蒲城洛河国家湿地公园、重泉水库、大峪河水库重点区域布设监测样线7条，开展蒲城县陕西省重点保护野生鸟类野外监测、形成调查监测报告;二是开展野生鸟类保护宣传，制作宣传画1.5万张、宣传帆布袋500个、笔袋500个;三是开展伤病野生动物救助，救助药品购置、饲料购置、救助饲养费用等内容。</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采购包1（蒲城县陕西省重点野生动植物保护项目(含野生鸟类监测保护任务)）：属于专门面向中小企业采购。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提供合格有效的法人或者其他组织的营业执照等证明文件，自然人的身份证明；供应商是法人或其他组织的应提供营业执照等证明文件，供应商是自然人的应提供有效的自然人身份证明；</w:t>
      </w:r>
    </w:p>
    <w:p>
      <w:pPr>
        <w:pStyle w:val="null3"/>
      </w:pPr>
      <w:r>
        <w:rPr>
          <w:rFonts w:ascii="仿宋_GB2312" w:hAnsi="仿宋_GB2312" w:cs="仿宋_GB2312" w:eastAsia="仿宋_GB2312"/>
        </w:rPr>
        <w:t>2、财务状况报告：提供2024年度或2025年度经审计的财务报告（包括“三表一注”，即资产负债表、利润表、现金流量表及其附注，成立时间至提交投标文件截止时间不足一年的可提供成立后任意时段的资产负债表），或其基本存款账户开户银行出具的资信证明及基本存款账户证明；</w:t>
      </w:r>
    </w:p>
    <w:p>
      <w:pPr>
        <w:pStyle w:val="null3"/>
      </w:pPr>
      <w:r>
        <w:rPr>
          <w:rFonts w:ascii="仿宋_GB2312" w:hAnsi="仿宋_GB2312" w:cs="仿宋_GB2312" w:eastAsia="仿宋_GB2312"/>
        </w:rPr>
        <w:t>3、税收缴纳证明：提供投标截止日前6个月内已缴纳的至少一个月的纳税证明或完税证明（增值税或印花税等税种），依法免税的单位应提供相关证明材料；</w:t>
      </w:r>
    </w:p>
    <w:p>
      <w:pPr>
        <w:pStyle w:val="null3"/>
      </w:pPr>
      <w:r>
        <w:rPr>
          <w:rFonts w:ascii="仿宋_GB2312" w:hAnsi="仿宋_GB2312" w:cs="仿宋_GB2312" w:eastAsia="仿宋_GB2312"/>
        </w:rPr>
        <w:t>4、社会保障资金缴纳证明：提供投标截止日前6个月内已缴存的至少一个月的社会保障资金缴存单据或社保机构开具的社会保险参保缴费情况证明，依法不需要缴纳社会保障资金的单位应提供相关证明材料；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5、专业技术能力证明：提供具有履行合同所必需的设备和专业技术能力的承诺；</w:t>
      </w:r>
    </w:p>
    <w:p>
      <w:pPr>
        <w:pStyle w:val="null3"/>
      </w:pPr>
      <w:r>
        <w:rPr>
          <w:rFonts w:ascii="仿宋_GB2312" w:hAnsi="仿宋_GB2312" w:cs="仿宋_GB2312" w:eastAsia="仿宋_GB2312"/>
        </w:rPr>
        <w:t>6、无重大违法记录声明：参加政府采购活动前3年内，在经营活动中没有重大违法记录的书面声明；</w:t>
      </w:r>
    </w:p>
    <w:p>
      <w:pPr>
        <w:pStyle w:val="null3"/>
      </w:pPr>
      <w:r>
        <w:rPr>
          <w:rFonts w:ascii="仿宋_GB2312" w:hAnsi="仿宋_GB2312" w:cs="仿宋_GB2312" w:eastAsia="仿宋_GB2312"/>
        </w:rPr>
        <w:t>7、法定代表人证明书或授权委托书：非法定代表人参加投标，须提供法定代表人授权委托书及被授权人身份证原件；法定代表人参加投标时,须提供法人身份证明书及法定代表人身份证原件；</w:t>
      </w:r>
    </w:p>
    <w:p>
      <w:pPr>
        <w:pStyle w:val="null3"/>
      </w:pPr>
      <w:r>
        <w:rPr>
          <w:rFonts w:ascii="仿宋_GB2312" w:hAnsi="仿宋_GB2312" w:cs="仿宋_GB2312" w:eastAsia="仿宋_GB2312"/>
        </w:rPr>
        <w:t>8、中小企业声明：本项目为专门面向中小企业采购项目须根据《政府采购促进中小企业发展管理办法》（财库﹝2020﹞46 号）的规定提供《中小企业声明函》；</w:t>
      </w:r>
    </w:p>
    <w:p>
      <w:pPr>
        <w:pStyle w:val="null3"/>
      </w:pPr>
      <w:r>
        <w:rPr>
          <w:rFonts w:ascii="仿宋_GB2312" w:hAnsi="仿宋_GB2312" w:cs="仿宋_GB2312" w:eastAsia="仿宋_GB2312"/>
        </w:rPr>
        <w:t>9、信用查询：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10、资质要求：供应商须具备林业调查规划设计丙级及以上资质。</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蒲城县林业局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蒲城县迎宾路南段广电大楼三楼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715500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徐丹</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17795906105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陕西巨思项目管理有限公司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陕西省西安市经济技术开发区凤城八路158号20幢1单元6楼609室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董星、郑凌汐、宋雯静</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19992817810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蒲城县政府采购管理股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惠娜娜</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13892323567</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采购包1保证金金额：5,000.00元</w:t>
            </w:r>
          </w:p>
          <w:p>
            <w:pPr>
              <w:pStyle w:val="null3"/>
            </w:pPr>
            <w:r>
              <w:rPr>
                <w:rFonts w:ascii="仿宋_GB2312" w:hAnsi="仿宋_GB2312" w:cs="仿宋_GB2312" w:eastAsia="仿宋_GB2312"/>
              </w:rPr>
              <w:t>缴交渠道：转账、支票、汇票等（需通过实体账户、户名及开户行信息）,电子保函</w:t>
            </w:r>
          </w:p>
          <w:p>
            <w:pPr>
              <w:pStyle w:val="null3"/>
            </w:pPr>
            <w:r>
              <w:rPr>
                <w:rFonts w:ascii="仿宋_GB2312" w:hAnsi="仿宋_GB2312" w:cs="仿宋_GB2312" w:eastAsia="仿宋_GB2312"/>
              </w:rPr>
              <w:t>开户名称：陕西巨思项目管理有限公司</w:t>
            </w:r>
          </w:p>
          <w:p>
            <w:pPr>
              <w:pStyle w:val="null3"/>
            </w:pPr>
            <w:r>
              <w:rPr>
                <w:rFonts w:ascii="仿宋_GB2312" w:hAnsi="仿宋_GB2312" w:cs="仿宋_GB2312" w:eastAsia="仿宋_GB2312"/>
              </w:rPr>
              <w:t>开户银行：中国建设银行股份有限公司西安中央领郡支行</w:t>
            </w:r>
          </w:p>
          <w:p>
            <w:pPr>
              <w:pStyle w:val="null3"/>
            </w:pPr>
            <w:r>
              <w:rPr>
                <w:rFonts w:ascii="仿宋_GB2312" w:hAnsi="仿宋_GB2312" w:cs="仿宋_GB2312" w:eastAsia="仿宋_GB2312"/>
              </w:rPr>
              <w:t>银行账号：6105 0190 0042 0000 0459</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招标代理服务收费管理暂行办法》的通知（计价格〔2002〕1980号）、《国家发展和改革委员会办公厅关于招标代理服务收费有关问题的通知》（发改办价格〔2003〕857号）规定收费标准计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蒲城县林业局</w:t>
      </w:r>
      <w:r>
        <w:rPr>
          <w:rFonts w:ascii="仿宋_GB2312" w:hAnsi="仿宋_GB2312" w:cs="仿宋_GB2312" w:eastAsia="仿宋_GB2312"/>
        </w:rPr>
        <w:t>和</w:t>
      </w:r>
      <w:r>
        <w:rPr>
          <w:rFonts w:ascii="仿宋_GB2312" w:hAnsi="仿宋_GB2312" w:cs="仿宋_GB2312" w:eastAsia="仿宋_GB2312"/>
        </w:rPr>
        <w:t>陕西巨思项目管理有限公司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蒲城县林业局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陕西巨思项目管理有限公司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蒲城县林业局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陕西巨思项目管理有限公司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 三、如采用供应商所不拥有的知识产权，则在报价中必须包括合法使用该知识产权的相关费用。 四、构成本磋商文件的各组成部分，未经采购人书面同意，供应商不得擅自复印或用于非本磋商项目所需的其他目的。</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国家相关的规范及行业验收规范、标准执行及《财政部关于进一步加强政府采购需求和覆约验收管理的指导意见》(财库[2016]205号)文件的规定、验收由采购人组织相关单位及专家组成验收组进行。验收标准按采购文件规定的要求和响应文件及合同承诺的内容进行验收。</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陕西巨思项目管理有限公司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陕西巨思项目管理有限公司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陕西巨思项目管理有限公司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联系人：董星</w:t>
      </w:r>
    </w:p>
    <w:p>
      <w:pPr>
        <w:pStyle w:val="null3"/>
      </w:pPr>
      <w:r>
        <w:rPr>
          <w:rFonts w:ascii="仿宋_GB2312" w:hAnsi="仿宋_GB2312" w:cs="仿宋_GB2312" w:eastAsia="仿宋_GB2312"/>
        </w:rPr>
        <w:t>联系电话：19992817810</w:t>
      </w:r>
    </w:p>
    <w:p>
      <w:pPr>
        <w:pStyle w:val="null3"/>
      </w:pPr>
      <w:r>
        <w:rPr>
          <w:rFonts w:ascii="仿宋_GB2312" w:hAnsi="仿宋_GB2312" w:cs="仿宋_GB2312" w:eastAsia="仿宋_GB2312"/>
        </w:rPr>
        <w:t>地址：陕西省西安市经济技术开发区凤城八路158号20幢1单元6楼609室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一是在蒲城洛河国家湿地公园、重泉水库、大峪河水库重点区域布设监测样线7条，开展蒲城县陕西省重点保护野生鸟类野外监测、形成调查监测报告;二是开展野生鸟类保护宣传，制作宣传画1.5万张、宣传帆布袋500个、笔袋500个;三是开展伤病野生动物救助，救助药品购置、饲料购置、救助饲养费用等内容。</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300,000.00</w:t>
      </w:r>
    </w:p>
    <w:p>
      <w:pPr>
        <w:pStyle w:val="null3"/>
      </w:pPr>
      <w:r>
        <w:rPr>
          <w:rFonts w:ascii="仿宋_GB2312" w:hAnsi="仿宋_GB2312" w:cs="仿宋_GB2312" w:eastAsia="仿宋_GB2312"/>
        </w:rPr>
        <w:t>采购包最高限价（元）: 300,000.00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蒲城县陕西省重点野生动植物保护项目(含野生鸟类监测保护任务)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农、林、牧、渔业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标的名称：蒲城县陕西省重点野生动植物保护项目(含野生鸟类监测保护任务)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560"/>
              <w:jc w:val="both"/>
            </w:pPr>
            <w:r>
              <w:rPr>
                <w:rFonts w:ascii="仿宋_GB2312" w:hAnsi="仿宋_GB2312" w:cs="仿宋_GB2312" w:eastAsia="仿宋_GB2312"/>
              </w:rPr>
              <w:t>一、项目概况</w:t>
            </w:r>
          </w:p>
          <w:p>
            <w:pPr>
              <w:pStyle w:val="null3"/>
            </w:pPr>
            <w:r>
              <w:rPr>
                <w:rFonts w:ascii="仿宋_GB2312" w:hAnsi="仿宋_GB2312" w:cs="仿宋_GB2312" w:eastAsia="仿宋_GB2312"/>
              </w:rPr>
              <w:t>一是在蒲城洛河国家湿地公园、重泉水库、大峪河水库重点区域布设监测样线7条，开展蒲城县陕西省重点保护野生鸟类野外监测、形成调查监测报告;</w:t>
            </w:r>
          </w:p>
          <w:p>
            <w:pPr>
              <w:pStyle w:val="null3"/>
            </w:pPr>
            <w:r>
              <w:rPr>
                <w:rFonts w:ascii="仿宋_GB2312" w:hAnsi="仿宋_GB2312" w:cs="仿宋_GB2312" w:eastAsia="仿宋_GB2312"/>
              </w:rPr>
              <w:t>二是开展野生鸟类保护宣传，制作宣传画1.5万张、宣传帆布袋500个、笔袋500个;</w:t>
            </w:r>
          </w:p>
          <w:p>
            <w:pPr>
              <w:pStyle w:val="null3"/>
            </w:pPr>
            <w:r>
              <w:rPr>
                <w:rFonts w:ascii="仿宋_GB2312" w:hAnsi="仿宋_GB2312" w:cs="仿宋_GB2312" w:eastAsia="仿宋_GB2312"/>
              </w:rPr>
              <w:t>三是开展伤病野生动物救助，救助药品购置、饲料购置、救助饲养费用等内容。</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ind w:firstLine="560"/>
              <w:jc w:val="both"/>
            </w:pPr>
            <w:r>
              <w:rPr>
                <w:rFonts w:ascii="仿宋_GB2312" w:hAnsi="仿宋_GB2312" w:cs="仿宋_GB2312" w:eastAsia="仿宋_GB2312"/>
              </w:rPr>
              <w:t>二、项目内容及规模</w:t>
            </w:r>
          </w:p>
          <w:p>
            <w:pPr>
              <w:pStyle w:val="null3"/>
            </w:pPr>
            <w:r>
              <w:rPr>
                <w:rFonts w:ascii="仿宋_GB2312" w:hAnsi="仿宋_GB2312" w:cs="仿宋_GB2312" w:eastAsia="仿宋_GB2312"/>
              </w:rPr>
              <w:t>建设项目实施内容包括陕西省重点保护野生鸟类资源调查及监测，分别为：</w:t>
            </w:r>
          </w:p>
          <w:p>
            <w:pPr>
              <w:pStyle w:val="null3"/>
            </w:pPr>
            <w:r>
              <w:rPr>
                <w:rFonts w:ascii="仿宋_GB2312" w:hAnsi="仿宋_GB2312" w:cs="仿宋_GB2312" w:eastAsia="仿宋_GB2312"/>
              </w:rPr>
              <w:t>（一）、陕西省重点保护野生鸟类监测</w:t>
            </w:r>
          </w:p>
          <w:p>
            <w:pPr>
              <w:pStyle w:val="null3"/>
            </w:pPr>
            <w:r>
              <w:rPr>
                <w:rFonts w:ascii="仿宋_GB2312" w:hAnsi="仿宋_GB2312" w:cs="仿宋_GB2312" w:eastAsia="仿宋_GB2312"/>
              </w:rPr>
              <w:t>1.陕西省重点保护野生鸟类调查监测</w:t>
            </w:r>
          </w:p>
          <w:p>
            <w:pPr>
              <w:pStyle w:val="null3"/>
            </w:pPr>
            <w:r>
              <w:rPr>
                <w:rFonts w:ascii="仿宋_GB2312" w:hAnsi="仿宋_GB2312" w:cs="仿宋_GB2312" w:eastAsia="仿宋_GB2312"/>
              </w:rPr>
              <w:t>（1）样线布设</w:t>
            </w:r>
          </w:p>
          <w:p>
            <w:pPr>
              <w:pStyle w:val="null3"/>
            </w:pPr>
            <w:r>
              <w:rPr>
                <w:rFonts w:ascii="仿宋_GB2312" w:hAnsi="仿宋_GB2312" w:cs="仿宋_GB2312" w:eastAsia="仿宋_GB2312"/>
              </w:rPr>
              <w:t>对县域内鸟类活动集中的洛河国家湿地公园、大峪河水库、重泉水库区域，共需布设调查样线7条，每条长度3—5km，重点区域所在网格可增加调查样线的数量。</w:t>
            </w:r>
          </w:p>
          <w:p>
            <w:pPr>
              <w:pStyle w:val="null3"/>
            </w:pPr>
            <w:r>
              <w:rPr>
                <w:rFonts w:ascii="仿宋_GB2312" w:hAnsi="仿宋_GB2312" w:cs="仿宋_GB2312" w:eastAsia="仿宋_GB2312"/>
              </w:rPr>
              <w:t>（2）调查频次</w:t>
            </w:r>
          </w:p>
          <w:p>
            <w:pPr>
              <w:pStyle w:val="null3"/>
            </w:pPr>
            <w:r>
              <w:rPr>
                <w:rFonts w:ascii="仿宋_GB2312" w:hAnsi="仿宋_GB2312" w:cs="仿宋_GB2312" w:eastAsia="仿宋_GB2312"/>
              </w:rPr>
              <w:t>调查频次：为2026年5月—2026年12月开展调查，夏、秋、冬季调查监测，确保覆盖不同季节物种活动规律。分3次调查监测(总长度不小于63km)。</w:t>
            </w:r>
          </w:p>
          <w:p>
            <w:pPr>
              <w:pStyle w:val="null3"/>
            </w:pPr>
            <w:r>
              <w:rPr>
                <w:rFonts w:ascii="仿宋_GB2312" w:hAnsi="仿宋_GB2312" w:cs="仿宋_GB2312" w:eastAsia="仿宋_GB2312"/>
              </w:rPr>
              <w:t>（3）调查对象</w:t>
            </w:r>
          </w:p>
          <w:p>
            <w:pPr>
              <w:pStyle w:val="null3"/>
            </w:pPr>
            <w:r>
              <w:rPr>
                <w:rFonts w:ascii="仿宋_GB2312" w:hAnsi="仿宋_GB2312" w:cs="仿宋_GB2312" w:eastAsia="仿宋_GB2312"/>
              </w:rPr>
              <w:t>以陕西省重点保护野生鸟类为重点；其次为“三有”野生鸟类；栖息地与威胁因素：生境类型、植被参数、人为干扰源及强度。</w:t>
            </w:r>
          </w:p>
          <w:p>
            <w:pPr>
              <w:pStyle w:val="null3"/>
            </w:pPr>
            <w:r>
              <w:rPr>
                <w:rFonts w:ascii="仿宋_GB2312" w:hAnsi="仿宋_GB2312" w:cs="仿宋_GB2312" w:eastAsia="仿宋_GB2312"/>
              </w:rPr>
              <w:t>2.数据整理与报告编制</w:t>
            </w:r>
          </w:p>
          <w:p>
            <w:pPr>
              <w:pStyle w:val="null3"/>
            </w:pPr>
            <w:r>
              <w:rPr>
                <w:rFonts w:ascii="仿宋_GB2312" w:hAnsi="仿宋_GB2312" w:cs="仿宋_GB2312" w:eastAsia="仿宋_GB2312"/>
              </w:rPr>
              <w:t>（1）原始数据整理</w:t>
            </w:r>
          </w:p>
          <w:p>
            <w:pPr>
              <w:pStyle w:val="null3"/>
            </w:pPr>
            <w:r>
              <w:rPr>
                <w:rFonts w:ascii="仿宋_GB2312" w:hAnsi="仿宋_GB2312" w:cs="仿宋_GB2312" w:eastAsia="仿宋_GB2312"/>
              </w:rPr>
              <w:t>原始数据应依照有关规定进行数据录入、校验，采用ArcGIS绘制物种分布地图，运用统计软件进行种群数量统计与栖息地适宜性分析，并保存备份文件。影像、照片资料分类归档。</w:t>
            </w:r>
          </w:p>
          <w:p>
            <w:pPr>
              <w:pStyle w:val="null3"/>
            </w:pPr>
            <w:r>
              <w:rPr>
                <w:rFonts w:ascii="仿宋_GB2312" w:hAnsi="仿宋_GB2312" w:cs="仿宋_GB2312" w:eastAsia="仿宋_GB2312"/>
              </w:rPr>
              <w:t>（2）调查成果统计</w:t>
            </w:r>
          </w:p>
          <w:p>
            <w:pPr>
              <w:pStyle w:val="null3"/>
            </w:pPr>
            <w:r>
              <w:rPr>
                <w:rFonts w:ascii="仿宋_GB2312" w:hAnsi="仿宋_GB2312" w:cs="仿宋_GB2312" w:eastAsia="仿宋_GB2312"/>
              </w:rPr>
              <w:t>对野外调查资料进行全面分析汇总，统计我县陕西省重点保护鸟类种类、数量。</w:t>
            </w:r>
          </w:p>
          <w:p>
            <w:pPr>
              <w:pStyle w:val="null3"/>
            </w:pPr>
            <w:r>
              <w:rPr>
                <w:rFonts w:ascii="仿宋_GB2312" w:hAnsi="仿宋_GB2312" w:cs="仿宋_GB2312" w:eastAsia="仿宋_GB2312"/>
              </w:rPr>
              <w:t>（3）编制调查报告</w:t>
            </w:r>
          </w:p>
          <w:p>
            <w:pPr>
              <w:pStyle w:val="null3"/>
            </w:pPr>
            <w:r>
              <w:rPr>
                <w:rFonts w:ascii="仿宋_GB2312" w:hAnsi="仿宋_GB2312" w:cs="仿宋_GB2312" w:eastAsia="仿宋_GB2312"/>
              </w:rPr>
              <w:t>根据调查成果统计资料，基于调查数据编制《蒲城县2026年陕西省重点保护野生鸟类资源调查监测报告》，包含调查方法、结果、结论及保护建议，附原始数据、影像资料图表及面临的威胁、对策建议等，确保报告科学、全面、实用（须提供报告彩色印刷20本）。</w:t>
            </w:r>
          </w:p>
          <w:p>
            <w:pPr>
              <w:pStyle w:val="null3"/>
            </w:pPr>
            <w:r>
              <w:rPr>
                <w:rFonts w:ascii="仿宋_GB2312" w:hAnsi="仿宋_GB2312" w:cs="仿宋_GB2312" w:eastAsia="仿宋_GB2312"/>
              </w:rPr>
              <w:t>（二）、开展野生鸟类保护宣传</w:t>
            </w:r>
          </w:p>
          <w:p>
            <w:pPr>
              <w:pStyle w:val="null3"/>
            </w:pPr>
            <w:r>
              <w:rPr>
                <w:rFonts w:ascii="仿宋_GB2312" w:hAnsi="仿宋_GB2312" w:cs="仿宋_GB2312" w:eastAsia="仿宋_GB2312"/>
              </w:rPr>
              <w:t>制作野生动物保护宣传画15000张、宣传帆布袋500个、笔袋500个。</w:t>
            </w:r>
          </w:p>
          <w:p>
            <w:pPr>
              <w:pStyle w:val="null3"/>
            </w:pPr>
            <w:r>
              <w:rPr>
                <w:rFonts w:ascii="仿宋_GB2312" w:hAnsi="仿宋_GB2312" w:cs="仿宋_GB2312" w:eastAsia="仿宋_GB2312"/>
              </w:rPr>
              <w:t>（三）、开展伤病野生动物救助</w:t>
            </w:r>
          </w:p>
          <w:p>
            <w:pPr>
              <w:pStyle w:val="null3"/>
            </w:pPr>
            <w:r>
              <w:rPr>
                <w:rFonts w:ascii="仿宋_GB2312" w:hAnsi="仿宋_GB2312" w:cs="仿宋_GB2312" w:eastAsia="仿宋_GB2312"/>
              </w:rPr>
              <w:t>购置救助药品、器具；购置救助饲料；开展救助饲养。</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both"/>
            </w:pPr>
            <w:r>
              <w:rPr>
                <w:rFonts w:ascii="仿宋_GB2312" w:hAnsi="仿宋_GB2312" w:cs="仿宋_GB2312" w:eastAsia="仿宋_GB2312"/>
              </w:rPr>
              <w:t>三、宣传品及救助清单</w:t>
            </w:r>
          </w:p>
          <w:tbl>
            <w:tblPr>
              <w:tblBorders>
                <w:top w:val="single"/>
                <w:left w:val="single"/>
                <w:bottom w:val="single"/>
                <w:right w:val="single"/>
                <w:insideH w:val="single"/>
                <w:insideV w:val="single"/>
              </w:tblBorders>
            </w:tblPr>
            <w:tblGrid>
              <w:gridCol w:w="511"/>
              <w:gridCol w:w="511"/>
              <w:gridCol w:w="511"/>
              <w:gridCol w:w="511"/>
              <w:gridCol w:w="511"/>
            </w:tblGrid>
            <w:tr>
              <w:tc>
                <w:tcPr>
                  <w:tcW w:type="dxa" w:w="511"/>
                </w:tcPr>
                <w:p>
                  <w:pPr>
                    <w:pStyle w:val="null3"/>
                  </w:pPr>
                  <w:r>
                    <w:rPr>
                      <w:rFonts w:ascii="仿宋_GB2312" w:hAnsi="仿宋_GB2312" w:cs="仿宋_GB2312" w:eastAsia="仿宋_GB2312"/>
                    </w:rPr>
                    <w:t>序号</w:t>
                  </w:r>
                </w:p>
              </w:tc>
              <w:tc>
                <w:tcPr>
                  <w:tcW w:type="dxa" w:w="511"/>
                </w:tcPr>
                <w:p>
                  <w:pPr>
                    <w:pStyle w:val="null3"/>
                  </w:pPr>
                  <w:r>
                    <w:rPr>
                      <w:rFonts w:ascii="仿宋_GB2312" w:hAnsi="仿宋_GB2312" w:cs="仿宋_GB2312" w:eastAsia="仿宋_GB2312"/>
                    </w:rPr>
                    <w:t>名称</w:t>
                  </w:r>
                </w:p>
              </w:tc>
              <w:tc>
                <w:tcPr>
                  <w:tcW w:type="dxa" w:w="511"/>
                </w:tcPr>
                <w:p>
                  <w:pPr>
                    <w:pStyle w:val="null3"/>
                  </w:pPr>
                  <w:r>
                    <w:rPr>
                      <w:rFonts w:ascii="仿宋_GB2312" w:hAnsi="仿宋_GB2312" w:cs="仿宋_GB2312" w:eastAsia="仿宋_GB2312"/>
                    </w:rPr>
                    <w:t>单位</w:t>
                  </w:r>
                </w:p>
              </w:tc>
              <w:tc>
                <w:tcPr>
                  <w:tcW w:type="dxa" w:w="511"/>
                </w:tcPr>
                <w:p>
                  <w:pPr>
                    <w:pStyle w:val="null3"/>
                  </w:pPr>
                  <w:r>
                    <w:rPr>
                      <w:rFonts w:ascii="仿宋_GB2312" w:hAnsi="仿宋_GB2312" w:cs="仿宋_GB2312" w:eastAsia="仿宋_GB2312"/>
                    </w:rPr>
                    <w:t>数量</w:t>
                  </w:r>
                </w:p>
              </w:tc>
              <w:tc>
                <w:tcPr>
                  <w:tcW w:type="dxa" w:w="511"/>
                </w:tcPr>
                <w:p>
                  <w:pPr>
                    <w:pStyle w:val="null3"/>
                  </w:pPr>
                  <w:r>
                    <w:rPr>
                      <w:rFonts w:ascii="仿宋_GB2312" w:hAnsi="仿宋_GB2312" w:cs="仿宋_GB2312" w:eastAsia="仿宋_GB2312"/>
                    </w:rPr>
                    <w:t>规格</w:t>
                  </w:r>
                </w:p>
              </w:tc>
            </w:tr>
            <w:tr>
              <w:tc>
                <w:tcPr>
                  <w:tcW w:type="dxa" w:w="511"/>
                </w:tcPr>
                <w:p>
                  <w:pPr>
                    <w:pStyle w:val="null3"/>
                  </w:pPr>
                  <w:r>
                    <w:rPr>
                      <w:rFonts w:ascii="仿宋_GB2312" w:hAnsi="仿宋_GB2312" w:cs="仿宋_GB2312" w:eastAsia="仿宋_GB2312"/>
                    </w:rPr>
                    <w:t>二</w:t>
                  </w:r>
                </w:p>
              </w:tc>
              <w:tc>
                <w:tcPr>
                  <w:tcW w:type="dxa" w:w="511"/>
                </w:tcPr>
                <w:p>
                  <w:pPr>
                    <w:pStyle w:val="null3"/>
                  </w:pPr>
                  <w:r>
                    <w:rPr>
                      <w:rFonts w:ascii="仿宋_GB2312" w:hAnsi="仿宋_GB2312" w:cs="仿宋_GB2312" w:eastAsia="仿宋_GB2312"/>
                    </w:rPr>
                    <w:t>开展野生鸟类保护宣传</w:t>
                  </w:r>
                </w:p>
              </w:tc>
              <w:tc>
                <w:tcPr>
                  <w:tcW w:type="dxa" w:w="511"/>
                </w:tcPr>
                <w:p>
                  <w:pPr>
                    <w:pStyle w:val="null3"/>
                  </w:pPr>
                  <w:r>
                    <w:rPr>
                      <w:rFonts w:ascii="仿宋_GB2312" w:hAnsi="仿宋_GB2312" w:cs="仿宋_GB2312" w:eastAsia="仿宋_GB2312"/>
                    </w:rPr>
                    <w:t xml:space="preserve"> </w:t>
                  </w:r>
                </w:p>
              </w:tc>
              <w:tc>
                <w:tcPr>
                  <w:tcW w:type="dxa" w:w="511"/>
                </w:tcPr>
                <w:p>
                  <w:pPr>
                    <w:pStyle w:val="null3"/>
                  </w:pPr>
                  <w:r>
                    <w:rPr>
                      <w:rFonts w:ascii="仿宋_GB2312" w:hAnsi="仿宋_GB2312" w:cs="仿宋_GB2312" w:eastAsia="仿宋_GB2312"/>
                    </w:rPr>
                    <w:t xml:space="preserve"> </w:t>
                  </w:r>
                </w:p>
              </w:tc>
              <w:tc>
                <w:tcPr>
                  <w:tcW w:type="dxa" w:w="511"/>
                </w:tcPr>
                <w:p>
                  <w:pPr>
                    <w:pStyle w:val="null3"/>
                  </w:pPr>
                  <w:r>
                    <w:rPr>
                      <w:rFonts w:ascii="仿宋_GB2312" w:hAnsi="仿宋_GB2312" w:cs="仿宋_GB2312" w:eastAsia="仿宋_GB2312"/>
                    </w:rPr>
                    <w:t xml:space="preserve"> </w:t>
                  </w:r>
                </w:p>
              </w:tc>
            </w:tr>
            <w:tr>
              <w:tc>
                <w:tcPr>
                  <w:tcW w:type="dxa" w:w="511"/>
                </w:tcPr>
                <w:p>
                  <w:pPr>
                    <w:pStyle w:val="null3"/>
                  </w:pPr>
                  <w:r>
                    <w:rPr>
                      <w:rFonts w:ascii="仿宋_GB2312" w:hAnsi="仿宋_GB2312" w:cs="仿宋_GB2312" w:eastAsia="仿宋_GB2312"/>
                    </w:rPr>
                    <w:t>2.1</w:t>
                  </w:r>
                </w:p>
              </w:tc>
              <w:tc>
                <w:tcPr>
                  <w:tcW w:type="dxa" w:w="511"/>
                </w:tcPr>
                <w:p>
                  <w:pPr>
                    <w:pStyle w:val="null3"/>
                  </w:pPr>
                  <w:r>
                    <w:rPr>
                      <w:rFonts w:ascii="仿宋_GB2312" w:hAnsi="仿宋_GB2312" w:cs="仿宋_GB2312" w:eastAsia="仿宋_GB2312"/>
                    </w:rPr>
                    <w:t>制作野生动物保护宣传画</w:t>
                  </w:r>
                </w:p>
              </w:tc>
              <w:tc>
                <w:tcPr>
                  <w:tcW w:type="dxa" w:w="511"/>
                </w:tcPr>
                <w:p>
                  <w:pPr>
                    <w:pStyle w:val="null3"/>
                  </w:pPr>
                  <w:r>
                    <w:rPr>
                      <w:rFonts w:ascii="仿宋_GB2312" w:hAnsi="仿宋_GB2312" w:cs="仿宋_GB2312" w:eastAsia="仿宋_GB2312"/>
                    </w:rPr>
                    <w:t>张</w:t>
                  </w:r>
                </w:p>
              </w:tc>
              <w:tc>
                <w:tcPr>
                  <w:tcW w:type="dxa" w:w="511"/>
                </w:tcPr>
                <w:p>
                  <w:pPr>
                    <w:pStyle w:val="null3"/>
                  </w:pPr>
                  <w:r>
                    <w:rPr>
                      <w:rFonts w:ascii="仿宋_GB2312" w:hAnsi="仿宋_GB2312" w:cs="仿宋_GB2312" w:eastAsia="仿宋_GB2312"/>
                    </w:rPr>
                    <w:t>15000</w:t>
                  </w:r>
                </w:p>
              </w:tc>
              <w:tc>
                <w:tcPr>
                  <w:tcW w:type="dxa" w:w="511"/>
                </w:tcPr>
                <w:p>
                  <w:pPr>
                    <w:pStyle w:val="null3"/>
                  </w:pPr>
                  <w:r>
                    <w:rPr>
                      <w:rFonts w:ascii="仿宋_GB2312" w:hAnsi="仿宋_GB2312" w:cs="仿宋_GB2312" w:eastAsia="仿宋_GB2312"/>
                    </w:rPr>
                    <w:t>50×75cm铜版纸</w:t>
                  </w:r>
                </w:p>
              </w:tc>
            </w:tr>
            <w:tr>
              <w:tc>
                <w:tcPr>
                  <w:tcW w:type="dxa" w:w="511"/>
                </w:tcPr>
                <w:p>
                  <w:pPr>
                    <w:pStyle w:val="null3"/>
                  </w:pPr>
                  <w:r>
                    <w:rPr>
                      <w:rFonts w:ascii="仿宋_GB2312" w:hAnsi="仿宋_GB2312" w:cs="仿宋_GB2312" w:eastAsia="仿宋_GB2312"/>
                    </w:rPr>
                    <w:t>2.2</w:t>
                  </w:r>
                </w:p>
              </w:tc>
              <w:tc>
                <w:tcPr>
                  <w:tcW w:type="dxa" w:w="511"/>
                </w:tcPr>
                <w:p>
                  <w:pPr>
                    <w:pStyle w:val="null3"/>
                  </w:pPr>
                  <w:r>
                    <w:rPr>
                      <w:rFonts w:ascii="仿宋_GB2312" w:hAnsi="仿宋_GB2312" w:cs="仿宋_GB2312" w:eastAsia="仿宋_GB2312"/>
                    </w:rPr>
                    <w:t>宣传帆布袋</w:t>
                  </w:r>
                </w:p>
              </w:tc>
              <w:tc>
                <w:tcPr>
                  <w:tcW w:type="dxa" w:w="511"/>
                </w:tcPr>
                <w:p>
                  <w:pPr>
                    <w:pStyle w:val="null3"/>
                  </w:pPr>
                  <w:r>
                    <w:rPr>
                      <w:rFonts w:ascii="仿宋_GB2312" w:hAnsi="仿宋_GB2312" w:cs="仿宋_GB2312" w:eastAsia="仿宋_GB2312"/>
                    </w:rPr>
                    <w:t>个</w:t>
                  </w:r>
                </w:p>
              </w:tc>
              <w:tc>
                <w:tcPr>
                  <w:tcW w:type="dxa" w:w="511"/>
                </w:tcPr>
                <w:p>
                  <w:pPr>
                    <w:pStyle w:val="null3"/>
                  </w:pPr>
                  <w:r>
                    <w:rPr>
                      <w:rFonts w:ascii="仿宋_GB2312" w:hAnsi="仿宋_GB2312" w:cs="仿宋_GB2312" w:eastAsia="仿宋_GB2312"/>
                    </w:rPr>
                    <w:t>500</w:t>
                  </w:r>
                </w:p>
              </w:tc>
              <w:tc>
                <w:tcPr>
                  <w:tcW w:type="dxa" w:w="511"/>
                </w:tcPr>
                <w:p>
                  <w:pPr>
                    <w:pStyle w:val="null3"/>
                  </w:pPr>
                  <w:r>
                    <w:rPr>
                      <w:rFonts w:ascii="仿宋_GB2312" w:hAnsi="仿宋_GB2312" w:cs="仿宋_GB2312" w:eastAsia="仿宋_GB2312"/>
                    </w:rPr>
                    <w:t xml:space="preserve"> </w:t>
                  </w:r>
                </w:p>
              </w:tc>
            </w:tr>
            <w:tr>
              <w:tc>
                <w:tcPr>
                  <w:tcW w:type="dxa" w:w="511"/>
                </w:tcPr>
                <w:p>
                  <w:pPr>
                    <w:pStyle w:val="null3"/>
                  </w:pPr>
                  <w:r>
                    <w:rPr>
                      <w:rFonts w:ascii="仿宋_GB2312" w:hAnsi="仿宋_GB2312" w:cs="仿宋_GB2312" w:eastAsia="仿宋_GB2312"/>
                    </w:rPr>
                    <w:t>2.3</w:t>
                  </w:r>
                </w:p>
              </w:tc>
              <w:tc>
                <w:tcPr>
                  <w:tcW w:type="dxa" w:w="511"/>
                </w:tcPr>
                <w:p>
                  <w:pPr>
                    <w:pStyle w:val="null3"/>
                  </w:pPr>
                  <w:r>
                    <w:rPr>
                      <w:rFonts w:ascii="仿宋_GB2312" w:hAnsi="仿宋_GB2312" w:cs="仿宋_GB2312" w:eastAsia="仿宋_GB2312"/>
                    </w:rPr>
                    <w:t>宣传笔袋</w:t>
                  </w:r>
                </w:p>
              </w:tc>
              <w:tc>
                <w:tcPr>
                  <w:tcW w:type="dxa" w:w="511"/>
                </w:tcPr>
                <w:p>
                  <w:pPr>
                    <w:pStyle w:val="null3"/>
                  </w:pPr>
                  <w:r>
                    <w:rPr>
                      <w:rFonts w:ascii="仿宋_GB2312" w:hAnsi="仿宋_GB2312" w:cs="仿宋_GB2312" w:eastAsia="仿宋_GB2312"/>
                    </w:rPr>
                    <w:t>个</w:t>
                  </w:r>
                </w:p>
              </w:tc>
              <w:tc>
                <w:tcPr>
                  <w:tcW w:type="dxa" w:w="511"/>
                </w:tcPr>
                <w:p>
                  <w:pPr>
                    <w:pStyle w:val="null3"/>
                  </w:pPr>
                  <w:r>
                    <w:rPr>
                      <w:rFonts w:ascii="仿宋_GB2312" w:hAnsi="仿宋_GB2312" w:cs="仿宋_GB2312" w:eastAsia="仿宋_GB2312"/>
                    </w:rPr>
                    <w:t>500</w:t>
                  </w:r>
                </w:p>
              </w:tc>
              <w:tc>
                <w:tcPr>
                  <w:tcW w:type="dxa" w:w="511"/>
                </w:tcPr>
                <w:p>
                  <w:pPr>
                    <w:pStyle w:val="null3"/>
                  </w:pPr>
                  <w:r>
                    <w:rPr>
                      <w:rFonts w:ascii="仿宋_GB2312" w:hAnsi="仿宋_GB2312" w:cs="仿宋_GB2312" w:eastAsia="仿宋_GB2312"/>
                    </w:rPr>
                    <w:t xml:space="preserve"> </w:t>
                  </w:r>
                </w:p>
              </w:tc>
            </w:tr>
            <w:tr>
              <w:tc>
                <w:tcPr>
                  <w:tcW w:type="dxa" w:w="511"/>
                </w:tcPr>
                <w:p>
                  <w:pPr>
                    <w:pStyle w:val="null3"/>
                  </w:pPr>
                  <w:r>
                    <w:rPr>
                      <w:rFonts w:ascii="仿宋_GB2312" w:hAnsi="仿宋_GB2312" w:cs="仿宋_GB2312" w:eastAsia="仿宋_GB2312"/>
                    </w:rPr>
                    <w:t>三</w:t>
                  </w:r>
                </w:p>
              </w:tc>
              <w:tc>
                <w:tcPr>
                  <w:tcW w:type="dxa" w:w="511"/>
                </w:tcPr>
                <w:p>
                  <w:pPr>
                    <w:pStyle w:val="null3"/>
                  </w:pPr>
                  <w:r>
                    <w:rPr>
                      <w:rFonts w:ascii="仿宋_GB2312" w:hAnsi="仿宋_GB2312" w:cs="仿宋_GB2312" w:eastAsia="仿宋_GB2312"/>
                    </w:rPr>
                    <w:t>开展伤病野生动物救助</w:t>
                  </w:r>
                </w:p>
              </w:tc>
              <w:tc>
                <w:tcPr>
                  <w:tcW w:type="dxa" w:w="511"/>
                </w:tcPr>
                <w:p>
                  <w:pPr>
                    <w:pStyle w:val="null3"/>
                  </w:pPr>
                  <w:r>
                    <w:rPr>
                      <w:rFonts w:ascii="仿宋_GB2312" w:hAnsi="仿宋_GB2312" w:cs="仿宋_GB2312" w:eastAsia="仿宋_GB2312"/>
                    </w:rPr>
                    <w:t xml:space="preserve"> </w:t>
                  </w:r>
                </w:p>
              </w:tc>
              <w:tc>
                <w:tcPr>
                  <w:tcW w:type="dxa" w:w="511"/>
                </w:tcPr>
                <w:p>
                  <w:pPr>
                    <w:pStyle w:val="null3"/>
                  </w:pPr>
                  <w:r>
                    <w:rPr>
                      <w:rFonts w:ascii="仿宋_GB2312" w:hAnsi="仿宋_GB2312" w:cs="仿宋_GB2312" w:eastAsia="仿宋_GB2312"/>
                    </w:rPr>
                    <w:t xml:space="preserve"> </w:t>
                  </w:r>
                </w:p>
              </w:tc>
              <w:tc>
                <w:tcPr>
                  <w:tcW w:type="dxa" w:w="511"/>
                </w:tcPr>
                <w:p>
                  <w:pPr>
                    <w:pStyle w:val="null3"/>
                  </w:pPr>
                  <w:r>
                    <w:rPr>
                      <w:rFonts w:ascii="仿宋_GB2312" w:hAnsi="仿宋_GB2312" w:cs="仿宋_GB2312" w:eastAsia="仿宋_GB2312"/>
                    </w:rPr>
                    <w:t xml:space="preserve"> </w:t>
                  </w:r>
                </w:p>
              </w:tc>
            </w:tr>
            <w:tr>
              <w:tc>
                <w:tcPr>
                  <w:tcW w:type="dxa" w:w="511"/>
                </w:tcPr>
                <w:p>
                  <w:pPr>
                    <w:pStyle w:val="null3"/>
                  </w:pPr>
                  <w:r>
                    <w:rPr>
                      <w:rFonts w:ascii="仿宋_GB2312" w:hAnsi="仿宋_GB2312" w:cs="仿宋_GB2312" w:eastAsia="仿宋_GB2312"/>
                    </w:rPr>
                    <w:t>3.1</w:t>
                  </w:r>
                </w:p>
              </w:tc>
              <w:tc>
                <w:tcPr>
                  <w:tcW w:type="dxa" w:w="511"/>
                </w:tcPr>
                <w:p>
                  <w:pPr>
                    <w:pStyle w:val="null3"/>
                  </w:pPr>
                  <w:r>
                    <w:rPr>
                      <w:rFonts w:ascii="仿宋_GB2312" w:hAnsi="仿宋_GB2312" w:cs="仿宋_GB2312" w:eastAsia="仿宋_GB2312"/>
                    </w:rPr>
                    <w:t>购置救助药品、器具</w:t>
                  </w:r>
                </w:p>
              </w:tc>
              <w:tc>
                <w:tcPr>
                  <w:tcW w:type="dxa" w:w="511"/>
                </w:tcPr>
                <w:p>
                  <w:pPr>
                    <w:pStyle w:val="null3"/>
                  </w:pPr>
                  <w:r>
                    <w:rPr>
                      <w:rFonts w:ascii="仿宋_GB2312" w:hAnsi="仿宋_GB2312" w:cs="仿宋_GB2312" w:eastAsia="仿宋_GB2312"/>
                    </w:rPr>
                    <w:t>批</w:t>
                  </w:r>
                </w:p>
              </w:tc>
              <w:tc>
                <w:tcPr>
                  <w:tcW w:type="dxa" w:w="511"/>
                </w:tcPr>
                <w:p>
                  <w:pPr>
                    <w:pStyle w:val="null3"/>
                  </w:pPr>
                  <w:r>
                    <w:rPr>
                      <w:rFonts w:ascii="仿宋_GB2312" w:hAnsi="仿宋_GB2312" w:cs="仿宋_GB2312" w:eastAsia="仿宋_GB2312"/>
                    </w:rPr>
                    <w:t>1</w:t>
                  </w:r>
                </w:p>
              </w:tc>
              <w:tc>
                <w:tcPr>
                  <w:tcW w:type="dxa" w:w="511"/>
                </w:tcPr>
                <w:p>
                  <w:pPr>
                    <w:pStyle w:val="null3"/>
                  </w:pPr>
                  <w:r>
                    <w:rPr>
                      <w:rFonts w:ascii="仿宋_GB2312" w:hAnsi="仿宋_GB2312" w:cs="仿宋_GB2312" w:eastAsia="仿宋_GB2312"/>
                    </w:rPr>
                    <w:t xml:space="preserve"> </w:t>
                  </w:r>
                </w:p>
              </w:tc>
            </w:tr>
            <w:tr>
              <w:tc>
                <w:tcPr>
                  <w:tcW w:type="dxa" w:w="511"/>
                </w:tcPr>
                <w:p>
                  <w:pPr>
                    <w:pStyle w:val="null3"/>
                  </w:pPr>
                  <w:r>
                    <w:rPr>
                      <w:rFonts w:ascii="仿宋_GB2312" w:hAnsi="仿宋_GB2312" w:cs="仿宋_GB2312" w:eastAsia="仿宋_GB2312"/>
                    </w:rPr>
                    <w:t>3.1.1</w:t>
                  </w:r>
                </w:p>
              </w:tc>
              <w:tc>
                <w:tcPr>
                  <w:tcW w:type="dxa" w:w="511"/>
                </w:tcPr>
                <w:p>
                  <w:pPr>
                    <w:pStyle w:val="null3"/>
                  </w:pPr>
                  <w:r>
                    <w:rPr>
                      <w:rFonts w:ascii="仿宋_GB2312" w:hAnsi="仿宋_GB2312" w:cs="仿宋_GB2312" w:eastAsia="仿宋_GB2312"/>
                    </w:rPr>
                    <w:t>消毒液</w:t>
                  </w:r>
                </w:p>
              </w:tc>
              <w:tc>
                <w:tcPr>
                  <w:tcW w:type="dxa" w:w="511"/>
                </w:tcPr>
                <w:p>
                  <w:pPr>
                    <w:pStyle w:val="null3"/>
                  </w:pPr>
                  <w:r>
                    <w:rPr>
                      <w:rFonts w:ascii="仿宋_GB2312" w:hAnsi="仿宋_GB2312" w:cs="仿宋_GB2312" w:eastAsia="仿宋_GB2312"/>
                    </w:rPr>
                    <w:t>桶</w:t>
                  </w:r>
                </w:p>
              </w:tc>
              <w:tc>
                <w:tcPr>
                  <w:tcW w:type="dxa" w:w="511"/>
                </w:tcPr>
                <w:p>
                  <w:pPr>
                    <w:pStyle w:val="null3"/>
                  </w:pPr>
                  <w:r>
                    <w:rPr>
                      <w:rFonts w:ascii="仿宋_GB2312" w:hAnsi="仿宋_GB2312" w:cs="仿宋_GB2312" w:eastAsia="仿宋_GB2312"/>
                    </w:rPr>
                    <w:t>10</w:t>
                  </w:r>
                </w:p>
              </w:tc>
              <w:tc>
                <w:tcPr>
                  <w:tcW w:type="dxa" w:w="511"/>
                </w:tcPr>
                <w:p>
                  <w:pPr>
                    <w:pStyle w:val="null3"/>
                  </w:pPr>
                  <w:r>
                    <w:rPr>
                      <w:rFonts w:ascii="仿宋_GB2312" w:hAnsi="仿宋_GB2312" w:cs="仿宋_GB2312" w:eastAsia="仿宋_GB2312"/>
                    </w:rPr>
                    <w:t>84消毒液(5%):25kg/桶</w:t>
                  </w:r>
                </w:p>
              </w:tc>
            </w:tr>
            <w:tr>
              <w:tc>
                <w:tcPr>
                  <w:tcW w:type="dxa" w:w="511"/>
                </w:tcPr>
                <w:p>
                  <w:pPr>
                    <w:pStyle w:val="null3"/>
                  </w:pPr>
                  <w:r>
                    <w:rPr>
                      <w:rFonts w:ascii="仿宋_GB2312" w:hAnsi="仿宋_GB2312" w:cs="仿宋_GB2312" w:eastAsia="仿宋_GB2312"/>
                    </w:rPr>
                    <w:t>3.1.2</w:t>
                  </w:r>
                </w:p>
              </w:tc>
              <w:tc>
                <w:tcPr>
                  <w:tcW w:type="dxa" w:w="511"/>
                </w:tcPr>
                <w:p>
                  <w:pPr>
                    <w:pStyle w:val="null3"/>
                  </w:pPr>
                  <w:r>
                    <w:rPr>
                      <w:rFonts w:ascii="仿宋_GB2312" w:hAnsi="仿宋_GB2312" w:cs="仿宋_GB2312" w:eastAsia="仿宋_GB2312"/>
                    </w:rPr>
                    <w:t>碘伏</w:t>
                  </w:r>
                </w:p>
              </w:tc>
              <w:tc>
                <w:tcPr>
                  <w:tcW w:type="dxa" w:w="511"/>
                </w:tcPr>
                <w:p>
                  <w:pPr>
                    <w:pStyle w:val="null3"/>
                  </w:pPr>
                  <w:r>
                    <w:rPr>
                      <w:rFonts w:ascii="仿宋_GB2312" w:hAnsi="仿宋_GB2312" w:cs="仿宋_GB2312" w:eastAsia="仿宋_GB2312"/>
                    </w:rPr>
                    <w:t>瓶</w:t>
                  </w:r>
                </w:p>
              </w:tc>
              <w:tc>
                <w:tcPr>
                  <w:tcW w:type="dxa" w:w="511"/>
                </w:tcPr>
                <w:p>
                  <w:pPr>
                    <w:pStyle w:val="null3"/>
                  </w:pPr>
                  <w:r>
                    <w:rPr>
                      <w:rFonts w:ascii="仿宋_GB2312" w:hAnsi="仿宋_GB2312" w:cs="仿宋_GB2312" w:eastAsia="仿宋_GB2312"/>
                    </w:rPr>
                    <w:t>50</w:t>
                  </w:r>
                </w:p>
              </w:tc>
              <w:tc>
                <w:tcPr>
                  <w:tcW w:type="dxa" w:w="511"/>
                </w:tcPr>
                <w:p>
                  <w:pPr>
                    <w:pStyle w:val="null3"/>
                  </w:pPr>
                  <w:r>
                    <w:rPr>
                      <w:rFonts w:ascii="仿宋_GB2312" w:hAnsi="仿宋_GB2312" w:cs="仿宋_GB2312" w:eastAsia="仿宋_GB2312"/>
                    </w:rPr>
                    <w:t>碘伏(0.5%):500ml/瓶</w:t>
                  </w:r>
                </w:p>
              </w:tc>
            </w:tr>
            <w:tr>
              <w:tc>
                <w:tcPr>
                  <w:tcW w:type="dxa" w:w="511"/>
                </w:tcPr>
                <w:p>
                  <w:pPr>
                    <w:pStyle w:val="null3"/>
                  </w:pPr>
                  <w:r>
                    <w:rPr>
                      <w:rFonts w:ascii="仿宋_GB2312" w:hAnsi="仿宋_GB2312" w:cs="仿宋_GB2312" w:eastAsia="仿宋_GB2312"/>
                    </w:rPr>
                    <w:t>3.1.3</w:t>
                  </w:r>
                </w:p>
              </w:tc>
              <w:tc>
                <w:tcPr>
                  <w:tcW w:type="dxa" w:w="511"/>
                </w:tcPr>
                <w:p>
                  <w:pPr>
                    <w:pStyle w:val="null3"/>
                  </w:pPr>
                  <w:r>
                    <w:rPr>
                      <w:rFonts w:ascii="仿宋_GB2312" w:hAnsi="仿宋_GB2312" w:cs="仿宋_GB2312" w:eastAsia="仿宋_GB2312"/>
                    </w:rPr>
                    <w:t>酒精</w:t>
                  </w:r>
                </w:p>
              </w:tc>
              <w:tc>
                <w:tcPr>
                  <w:tcW w:type="dxa" w:w="511"/>
                </w:tcPr>
                <w:p>
                  <w:pPr>
                    <w:pStyle w:val="null3"/>
                  </w:pPr>
                  <w:r>
                    <w:rPr>
                      <w:rFonts w:ascii="仿宋_GB2312" w:hAnsi="仿宋_GB2312" w:cs="仿宋_GB2312" w:eastAsia="仿宋_GB2312"/>
                    </w:rPr>
                    <w:t>瓶</w:t>
                  </w:r>
                </w:p>
              </w:tc>
              <w:tc>
                <w:tcPr>
                  <w:tcW w:type="dxa" w:w="511"/>
                </w:tcPr>
                <w:p>
                  <w:pPr>
                    <w:pStyle w:val="null3"/>
                  </w:pPr>
                  <w:r>
                    <w:rPr>
                      <w:rFonts w:ascii="仿宋_GB2312" w:hAnsi="仿宋_GB2312" w:cs="仿宋_GB2312" w:eastAsia="仿宋_GB2312"/>
                    </w:rPr>
                    <w:t>19</w:t>
                  </w:r>
                </w:p>
              </w:tc>
              <w:tc>
                <w:tcPr>
                  <w:tcW w:type="dxa" w:w="511"/>
                </w:tcPr>
                <w:p>
                  <w:pPr>
                    <w:pStyle w:val="null3"/>
                  </w:pPr>
                  <w:r>
                    <w:rPr>
                      <w:rFonts w:ascii="仿宋_GB2312" w:hAnsi="仿宋_GB2312" w:cs="仿宋_GB2312" w:eastAsia="仿宋_GB2312"/>
                    </w:rPr>
                    <w:t>75%酒精:500ml/瓶</w:t>
                  </w:r>
                </w:p>
              </w:tc>
            </w:tr>
            <w:tr>
              <w:tc>
                <w:tcPr>
                  <w:tcW w:type="dxa" w:w="511"/>
                </w:tcPr>
                <w:p>
                  <w:pPr>
                    <w:pStyle w:val="null3"/>
                  </w:pPr>
                  <w:r>
                    <w:rPr>
                      <w:rFonts w:ascii="仿宋_GB2312" w:hAnsi="仿宋_GB2312" w:cs="仿宋_GB2312" w:eastAsia="仿宋_GB2312"/>
                    </w:rPr>
                    <w:t>3.1.4</w:t>
                  </w:r>
                </w:p>
              </w:tc>
              <w:tc>
                <w:tcPr>
                  <w:tcW w:type="dxa" w:w="511"/>
                </w:tcPr>
                <w:p>
                  <w:pPr>
                    <w:pStyle w:val="null3"/>
                  </w:pPr>
                  <w:r>
                    <w:rPr>
                      <w:rFonts w:ascii="仿宋_GB2312" w:hAnsi="仿宋_GB2312" w:cs="仿宋_GB2312" w:eastAsia="仿宋_GB2312"/>
                    </w:rPr>
                    <w:t>乳酸林格氏液</w:t>
                  </w:r>
                </w:p>
              </w:tc>
              <w:tc>
                <w:tcPr>
                  <w:tcW w:type="dxa" w:w="511"/>
                </w:tcPr>
                <w:p>
                  <w:pPr>
                    <w:pStyle w:val="null3"/>
                  </w:pPr>
                  <w:r>
                    <w:rPr>
                      <w:rFonts w:ascii="仿宋_GB2312" w:hAnsi="仿宋_GB2312" w:cs="仿宋_GB2312" w:eastAsia="仿宋_GB2312"/>
                    </w:rPr>
                    <w:t>瓶</w:t>
                  </w:r>
                </w:p>
              </w:tc>
              <w:tc>
                <w:tcPr>
                  <w:tcW w:type="dxa" w:w="511"/>
                </w:tcPr>
                <w:p>
                  <w:pPr>
                    <w:pStyle w:val="null3"/>
                  </w:pPr>
                  <w:r>
                    <w:rPr>
                      <w:rFonts w:ascii="仿宋_GB2312" w:hAnsi="仿宋_GB2312" w:cs="仿宋_GB2312" w:eastAsia="仿宋_GB2312"/>
                    </w:rPr>
                    <w:t>10</w:t>
                  </w:r>
                </w:p>
              </w:tc>
              <w:tc>
                <w:tcPr>
                  <w:tcW w:type="dxa" w:w="511"/>
                </w:tcPr>
                <w:p>
                  <w:pPr>
                    <w:pStyle w:val="null3"/>
                  </w:pPr>
                  <w:r>
                    <w:rPr>
                      <w:rFonts w:ascii="仿宋_GB2312" w:hAnsi="仿宋_GB2312" w:cs="仿宋_GB2312" w:eastAsia="仿宋_GB2312"/>
                    </w:rPr>
                    <w:t>500ml/瓶，电解质平衡</w:t>
                  </w:r>
                </w:p>
              </w:tc>
            </w:tr>
            <w:tr>
              <w:tc>
                <w:tcPr>
                  <w:tcW w:type="dxa" w:w="511"/>
                </w:tcPr>
                <w:p>
                  <w:pPr>
                    <w:pStyle w:val="null3"/>
                  </w:pPr>
                  <w:r>
                    <w:rPr>
                      <w:rFonts w:ascii="仿宋_GB2312" w:hAnsi="仿宋_GB2312" w:cs="仿宋_GB2312" w:eastAsia="仿宋_GB2312"/>
                    </w:rPr>
                    <w:t>3.1.5</w:t>
                  </w:r>
                </w:p>
              </w:tc>
              <w:tc>
                <w:tcPr>
                  <w:tcW w:type="dxa" w:w="511"/>
                </w:tcPr>
                <w:p>
                  <w:pPr>
                    <w:pStyle w:val="null3"/>
                  </w:pPr>
                  <w:r>
                    <w:rPr>
                      <w:rFonts w:ascii="仿宋_GB2312" w:hAnsi="仿宋_GB2312" w:cs="仿宋_GB2312" w:eastAsia="仿宋_GB2312"/>
                    </w:rPr>
                    <w:t>不锈钢抓捕网兜</w:t>
                  </w:r>
                </w:p>
              </w:tc>
              <w:tc>
                <w:tcPr>
                  <w:tcW w:type="dxa" w:w="511"/>
                </w:tcPr>
                <w:p>
                  <w:pPr>
                    <w:pStyle w:val="null3"/>
                  </w:pPr>
                  <w:r>
                    <w:rPr>
                      <w:rFonts w:ascii="仿宋_GB2312" w:hAnsi="仿宋_GB2312" w:cs="仿宋_GB2312" w:eastAsia="仿宋_GB2312"/>
                    </w:rPr>
                    <w:t>把</w:t>
                  </w:r>
                </w:p>
              </w:tc>
              <w:tc>
                <w:tcPr>
                  <w:tcW w:type="dxa" w:w="511"/>
                </w:tcPr>
                <w:p>
                  <w:pPr>
                    <w:pStyle w:val="null3"/>
                  </w:pPr>
                  <w:r>
                    <w:rPr>
                      <w:rFonts w:ascii="仿宋_GB2312" w:hAnsi="仿宋_GB2312" w:cs="仿宋_GB2312" w:eastAsia="仿宋_GB2312"/>
                    </w:rPr>
                    <w:t>4</w:t>
                  </w:r>
                </w:p>
              </w:tc>
              <w:tc>
                <w:tcPr>
                  <w:tcW w:type="dxa" w:w="511"/>
                </w:tcPr>
                <w:p>
                  <w:pPr>
                    <w:pStyle w:val="null3"/>
                  </w:pPr>
                  <w:r>
                    <w:rPr>
                      <w:rFonts w:ascii="仿宋_GB2312" w:hAnsi="仿宋_GB2312" w:cs="仿宋_GB2312" w:eastAsia="仿宋_GB2312"/>
                    </w:rPr>
                    <w:t>伸缩长1.5m，网径40cm</w:t>
                  </w:r>
                </w:p>
              </w:tc>
            </w:tr>
            <w:tr>
              <w:tc>
                <w:tcPr>
                  <w:tcW w:type="dxa" w:w="511"/>
                </w:tcPr>
                <w:p>
                  <w:pPr>
                    <w:pStyle w:val="null3"/>
                  </w:pPr>
                  <w:r>
                    <w:rPr>
                      <w:rFonts w:ascii="仿宋_GB2312" w:hAnsi="仿宋_GB2312" w:cs="仿宋_GB2312" w:eastAsia="仿宋_GB2312"/>
                    </w:rPr>
                    <w:t>3.1.6</w:t>
                  </w:r>
                </w:p>
              </w:tc>
              <w:tc>
                <w:tcPr>
                  <w:tcW w:type="dxa" w:w="511"/>
                </w:tcPr>
                <w:p>
                  <w:pPr>
                    <w:pStyle w:val="null3"/>
                  </w:pPr>
                  <w:r>
                    <w:rPr>
                      <w:rFonts w:ascii="仿宋_GB2312" w:hAnsi="仿宋_GB2312" w:cs="仿宋_GB2312" w:eastAsia="仿宋_GB2312"/>
                    </w:rPr>
                    <w:t>防咬手套(牛皮)</w:t>
                  </w:r>
                </w:p>
              </w:tc>
              <w:tc>
                <w:tcPr>
                  <w:tcW w:type="dxa" w:w="511"/>
                </w:tcPr>
                <w:p>
                  <w:pPr>
                    <w:pStyle w:val="null3"/>
                  </w:pPr>
                  <w:r>
                    <w:rPr>
                      <w:rFonts w:ascii="仿宋_GB2312" w:hAnsi="仿宋_GB2312" w:cs="仿宋_GB2312" w:eastAsia="仿宋_GB2312"/>
                    </w:rPr>
                    <w:t>双</w:t>
                  </w:r>
                </w:p>
              </w:tc>
              <w:tc>
                <w:tcPr>
                  <w:tcW w:type="dxa" w:w="511"/>
                </w:tcPr>
                <w:p>
                  <w:pPr>
                    <w:pStyle w:val="null3"/>
                  </w:pPr>
                  <w:r>
                    <w:rPr>
                      <w:rFonts w:ascii="仿宋_GB2312" w:hAnsi="仿宋_GB2312" w:cs="仿宋_GB2312" w:eastAsia="仿宋_GB2312"/>
                    </w:rPr>
                    <w:t>10</w:t>
                  </w:r>
                </w:p>
              </w:tc>
              <w:tc>
                <w:tcPr>
                  <w:tcW w:type="dxa" w:w="511"/>
                </w:tcPr>
                <w:p>
                  <w:pPr>
                    <w:pStyle w:val="null3"/>
                  </w:pPr>
                  <w:r>
                    <w:rPr>
                      <w:rFonts w:ascii="仿宋_GB2312" w:hAnsi="仿宋_GB2312" w:cs="仿宋_GB2312" w:eastAsia="仿宋_GB2312"/>
                    </w:rPr>
                    <w:t>臂长45cm，加厚防撕咬</w:t>
                  </w:r>
                </w:p>
              </w:tc>
            </w:tr>
            <w:tr>
              <w:tc>
                <w:tcPr>
                  <w:tcW w:type="dxa" w:w="511"/>
                </w:tcPr>
                <w:p>
                  <w:pPr>
                    <w:pStyle w:val="null3"/>
                  </w:pPr>
                  <w:r>
                    <w:rPr>
                      <w:rFonts w:ascii="仿宋_GB2312" w:hAnsi="仿宋_GB2312" w:cs="仿宋_GB2312" w:eastAsia="仿宋_GB2312"/>
                    </w:rPr>
                    <w:t>3.1.7</w:t>
                  </w:r>
                </w:p>
              </w:tc>
              <w:tc>
                <w:tcPr>
                  <w:tcW w:type="dxa" w:w="511"/>
                </w:tcPr>
                <w:p>
                  <w:pPr>
                    <w:pStyle w:val="null3"/>
                  </w:pPr>
                  <w:r>
                    <w:rPr>
                      <w:rFonts w:ascii="仿宋_GB2312" w:hAnsi="仿宋_GB2312" w:cs="仿宋_GB2312" w:eastAsia="仿宋_GB2312"/>
                    </w:rPr>
                    <w:t>蛇钳(伸缩)</w:t>
                  </w:r>
                </w:p>
              </w:tc>
              <w:tc>
                <w:tcPr>
                  <w:tcW w:type="dxa" w:w="511"/>
                </w:tcPr>
                <w:p>
                  <w:pPr>
                    <w:pStyle w:val="null3"/>
                  </w:pPr>
                  <w:r>
                    <w:rPr>
                      <w:rFonts w:ascii="仿宋_GB2312" w:hAnsi="仿宋_GB2312" w:cs="仿宋_GB2312" w:eastAsia="仿宋_GB2312"/>
                    </w:rPr>
                    <w:t>把</w:t>
                  </w:r>
                </w:p>
              </w:tc>
              <w:tc>
                <w:tcPr>
                  <w:tcW w:type="dxa" w:w="511"/>
                </w:tcPr>
                <w:p>
                  <w:pPr>
                    <w:pStyle w:val="null3"/>
                  </w:pPr>
                  <w:r>
                    <w:rPr>
                      <w:rFonts w:ascii="仿宋_GB2312" w:hAnsi="仿宋_GB2312" w:cs="仿宋_GB2312" w:eastAsia="仿宋_GB2312"/>
                    </w:rPr>
                    <w:t>10</w:t>
                  </w:r>
                </w:p>
              </w:tc>
              <w:tc>
                <w:tcPr>
                  <w:tcW w:type="dxa" w:w="511"/>
                </w:tcPr>
                <w:p>
                  <w:pPr>
                    <w:pStyle w:val="null3"/>
                  </w:pPr>
                  <w:r>
                    <w:rPr>
                      <w:rFonts w:ascii="仿宋_GB2312" w:hAnsi="仿宋_GB2312" w:cs="仿宋_GB2312" w:eastAsia="仿宋_GB2312"/>
                    </w:rPr>
                    <w:t>总长1.2-1.5m,不锈钢</w:t>
                  </w:r>
                </w:p>
              </w:tc>
            </w:tr>
            <w:tr>
              <w:tc>
                <w:tcPr>
                  <w:tcW w:type="dxa" w:w="511"/>
                </w:tcPr>
                <w:p>
                  <w:pPr>
                    <w:pStyle w:val="null3"/>
                  </w:pPr>
                  <w:r>
                    <w:rPr>
                      <w:rFonts w:ascii="仿宋_GB2312" w:hAnsi="仿宋_GB2312" w:cs="仿宋_GB2312" w:eastAsia="仿宋_GB2312"/>
                    </w:rPr>
                    <w:t>3.1.8</w:t>
                  </w:r>
                </w:p>
              </w:tc>
              <w:tc>
                <w:tcPr>
                  <w:tcW w:type="dxa" w:w="511"/>
                </w:tcPr>
                <w:p>
                  <w:pPr>
                    <w:pStyle w:val="null3"/>
                  </w:pPr>
                  <w:r>
                    <w:rPr>
                      <w:rFonts w:ascii="仿宋_GB2312" w:hAnsi="仿宋_GB2312" w:cs="仿宋_GB2312" w:eastAsia="仿宋_GB2312"/>
                    </w:rPr>
                    <w:t>野生动物转运箱</w:t>
                  </w:r>
                </w:p>
              </w:tc>
              <w:tc>
                <w:tcPr>
                  <w:tcW w:type="dxa" w:w="511"/>
                </w:tcPr>
                <w:p>
                  <w:pPr>
                    <w:pStyle w:val="null3"/>
                  </w:pPr>
                  <w:r>
                    <w:rPr>
                      <w:rFonts w:ascii="仿宋_GB2312" w:hAnsi="仿宋_GB2312" w:cs="仿宋_GB2312" w:eastAsia="仿宋_GB2312"/>
                    </w:rPr>
                    <w:t>个</w:t>
                  </w:r>
                </w:p>
              </w:tc>
              <w:tc>
                <w:tcPr>
                  <w:tcW w:type="dxa" w:w="511"/>
                </w:tcPr>
                <w:p>
                  <w:pPr>
                    <w:pStyle w:val="null3"/>
                  </w:pPr>
                  <w:r>
                    <w:rPr>
                      <w:rFonts w:ascii="仿宋_GB2312" w:hAnsi="仿宋_GB2312" w:cs="仿宋_GB2312" w:eastAsia="仿宋_GB2312"/>
                    </w:rPr>
                    <w:t>3</w:t>
                  </w:r>
                </w:p>
              </w:tc>
              <w:tc>
                <w:tcPr>
                  <w:tcW w:type="dxa" w:w="511"/>
                </w:tcPr>
                <w:p>
                  <w:pPr>
                    <w:pStyle w:val="null3"/>
                  </w:pPr>
                  <w:r>
                    <w:rPr>
                      <w:rFonts w:ascii="仿宋_GB2312" w:hAnsi="仿宋_GB2312" w:cs="仿宋_GB2312" w:eastAsia="仿宋_GB2312"/>
                    </w:rPr>
                    <w:t>65×50×40cm,塑料/金属</w:t>
                  </w:r>
                </w:p>
              </w:tc>
            </w:tr>
            <w:tr>
              <w:tc>
                <w:tcPr>
                  <w:tcW w:type="dxa" w:w="511"/>
                </w:tcPr>
                <w:p>
                  <w:pPr>
                    <w:pStyle w:val="null3"/>
                  </w:pPr>
                  <w:r>
                    <w:rPr>
                      <w:rFonts w:ascii="仿宋_GB2312" w:hAnsi="仿宋_GB2312" w:cs="仿宋_GB2312" w:eastAsia="仿宋_GB2312"/>
                    </w:rPr>
                    <w:t>3.1.9</w:t>
                  </w:r>
                </w:p>
              </w:tc>
              <w:tc>
                <w:tcPr>
                  <w:tcW w:type="dxa" w:w="511"/>
                </w:tcPr>
                <w:p>
                  <w:pPr>
                    <w:pStyle w:val="null3"/>
                  </w:pPr>
                  <w:r>
                    <w:rPr>
                      <w:rFonts w:ascii="仿宋_GB2312" w:hAnsi="仿宋_GB2312" w:cs="仿宋_GB2312" w:eastAsia="仿宋_GB2312"/>
                    </w:rPr>
                    <w:t>猛禽专用救助笼</w:t>
                  </w:r>
                </w:p>
              </w:tc>
              <w:tc>
                <w:tcPr>
                  <w:tcW w:type="dxa" w:w="511"/>
                </w:tcPr>
                <w:p>
                  <w:pPr>
                    <w:pStyle w:val="null3"/>
                  </w:pPr>
                  <w:r>
                    <w:rPr>
                      <w:rFonts w:ascii="仿宋_GB2312" w:hAnsi="仿宋_GB2312" w:cs="仿宋_GB2312" w:eastAsia="仿宋_GB2312"/>
                    </w:rPr>
                    <w:t>个</w:t>
                  </w:r>
                </w:p>
              </w:tc>
              <w:tc>
                <w:tcPr>
                  <w:tcW w:type="dxa" w:w="511"/>
                </w:tcPr>
                <w:p>
                  <w:pPr>
                    <w:pStyle w:val="null3"/>
                  </w:pPr>
                  <w:r>
                    <w:rPr>
                      <w:rFonts w:ascii="仿宋_GB2312" w:hAnsi="仿宋_GB2312" w:cs="仿宋_GB2312" w:eastAsia="仿宋_GB2312"/>
                    </w:rPr>
                    <w:t>4</w:t>
                  </w:r>
                </w:p>
              </w:tc>
              <w:tc>
                <w:tcPr>
                  <w:tcW w:type="dxa" w:w="511"/>
                </w:tcPr>
                <w:p>
                  <w:pPr>
                    <w:pStyle w:val="null3"/>
                  </w:pPr>
                  <w:r>
                    <w:rPr>
                      <w:rFonts w:ascii="仿宋_GB2312" w:hAnsi="仿宋_GB2312" w:cs="仿宋_GB2312" w:eastAsia="仿宋_GB2312"/>
                    </w:rPr>
                    <w:t>100×80×120cm，防锈铁丝</w:t>
                  </w:r>
                </w:p>
              </w:tc>
            </w:tr>
            <w:tr>
              <w:tc>
                <w:tcPr>
                  <w:tcW w:type="dxa" w:w="511"/>
                </w:tcPr>
                <w:p>
                  <w:pPr>
                    <w:pStyle w:val="null3"/>
                  </w:pPr>
                  <w:r>
                    <w:rPr>
                      <w:rFonts w:ascii="仿宋_GB2312" w:hAnsi="仿宋_GB2312" w:cs="仿宋_GB2312" w:eastAsia="仿宋_GB2312"/>
                    </w:rPr>
                    <w:t>3.2</w:t>
                  </w:r>
                </w:p>
              </w:tc>
              <w:tc>
                <w:tcPr>
                  <w:tcW w:type="dxa" w:w="511"/>
                </w:tcPr>
                <w:p>
                  <w:pPr>
                    <w:pStyle w:val="null3"/>
                  </w:pPr>
                  <w:r>
                    <w:rPr>
                      <w:rFonts w:ascii="仿宋_GB2312" w:hAnsi="仿宋_GB2312" w:cs="仿宋_GB2312" w:eastAsia="仿宋_GB2312"/>
                    </w:rPr>
                    <w:t>购置救助饲料小麦</w:t>
                  </w:r>
                </w:p>
              </w:tc>
              <w:tc>
                <w:tcPr>
                  <w:tcW w:type="dxa" w:w="511"/>
                </w:tcPr>
                <w:p>
                  <w:pPr>
                    <w:pStyle w:val="null3"/>
                  </w:pPr>
                  <w:r>
                    <w:rPr>
                      <w:rFonts w:ascii="仿宋_GB2312" w:hAnsi="仿宋_GB2312" w:cs="仿宋_GB2312" w:eastAsia="仿宋_GB2312"/>
                    </w:rPr>
                    <w:t>斤</w:t>
                  </w:r>
                </w:p>
              </w:tc>
              <w:tc>
                <w:tcPr>
                  <w:tcW w:type="dxa" w:w="511"/>
                </w:tcPr>
                <w:p>
                  <w:pPr>
                    <w:pStyle w:val="null3"/>
                  </w:pPr>
                  <w:r>
                    <w:rPr>
                      <w:rFonts w:ascii="仿宋_GB2312" w:hAnsi="仿宋_GB2312" w:cs="仿宋_GB2312" w:eastAsia="仿宋_GB2312"/>
                    </w:rPr>
                    <w:t>2000</w:t>
                  </w:r>
                </w:p>
              </w:tc>
              <w:tc>
                <w:tcPr>
                  <w:tcW w:type="dxa" w:w="511"/>
                </w:tcPr>
                <w:p>
                  <w:pPr>
                    <w:pStyle w:val="null3"/>
                  </w:pPr>
                  <w:r>
                    <w:rPr>
                      <w:rFonts w:ascii="仿宋_GB2312" w:hAnsi="仿宋_GB2312" w:cs="仿宋_GB2312" w:eastAsia="仿宋_GB2312"/>
                    </w:rPr>
                    <w:t>水分12.5%以内</w:t>
                  </w:r>
                </w:p>
              </w:tc>
            </w:tr>
            <w:tr>
              <w:tc>
                <w:tcPr>
                  <w:tcW w:type="dxa" w:w="511"/>
                </w:tcPr>
                <w:p>
                  <w:pPr>
                    <w:pStyle w:val="null3"/>
                  </w:pPr>
                  <w:r>
                    <w:rPr>
                      <w:rFonts w:ascii="仿宋_GB2312" w:hAnsi="仿宋_GB2312" w:cs="仿宋_GB2312" w:eastAsia="仿宋_GB2312"/>
                    </w:rPr>
                    <w:t>3.2.1</w:t>
                  </w:r>
                </w:p>
              </w:tc>
              <w:tc>
                <w:tcPr>
                  <w:tcW w:type="dxa" w:w="511"/>
                </w:tcPr>
                <w:p>
                  <w:pPr>
                    <w:pStyle w:val="null3"/>
                  </w:pPr>
                  <w:r>
                    <w:rPr>
                      <w:rFonts w:ascii="仿宋_GB2312" w:hAnsi="仿宋_GB2312" w:cs="仿宋_GB2312" w:eastAsia="仿宋_GB2312"/>
                    </w:rPr>
                    <w:t>玉米</w:t>
                  </w:r>
                </w:p>
              </w:tc>
              <w:tc>
                <w:tcPr>
                  <w:tcW w:type="dxa" w:w="511"/>
                </w:tcPr>
                <w:p>
                  <w:pPr>
                    <w:pStyle w:val="null3"/>
                  </w:pPr>
                  <w:r>
                    <w:rPr>
                      <w:rFonts w:ascii="仿宋_GB2312" w:hAnsi="仿宋_GB2312" w:cs="仿宋_GB2312" w:eastAsia="仿宋_GB2312"/>
                    </w:rPr>
                    <w:t>斤</w:t>
                  </w:r>
                </w:p>
              </w:tc>
              <w:tc>
                <w:tcPr>
                  <w:tcW w:type="dxa" w:w="511"/>
                </w:tcPr>
                <w:p>
                  <w:pPr>
                    <w:pStyle w:val="null3"/>
                  </w:pPr>
                  <w:r>
                    <w:rPr>
                      <w:rFonts w:ascii="仿宋_GB2312" w:hAnsi="仿宋_GB2312" w:cs="仿宋_GB2312" w:eastAsia="仿宋_GB2312"/>
                    </w:rPr>
                    <w:t>2000</w:t>
                  </w:r>
                </w:p>
              </w:tc>
              <w:tc>
                <w:tcPr>
                  <w:tcW w:type="dxa" w:w="511"/>
                </w:tcPr>
                <w:p>
                  <w:pPr>
                    <w:pStyle w:val="null3"/>
                  </w:pPr>
                  <w:r>
                    <w:rPr>
                      <w:rFonts w:ascii="仿宋_GB2312" w:hAnsi="仿宋_GB2312" w:cs="仿宋_GB2312" w:eastAsia="仿宋_GB2312"/>
                    </w:rPr>
                    <w:t>水分14%以内</w:t>
                  </w:r>
                </w:p>
              </w:tc>
            </w:tr>
            <w:tr>
              <w:tc>
                <w:tcPr>
                  <w:tcW w:type="dxa" w:w="511"/>
                </w:tcPr>
                <w:p>
                  <w:pPr>
                    <w:pStyle w:val="null3"/>
                  </w:pPr>
                  <w:r>
                    <w:rPr>
                      <w:rFonts w:ascii="仿宋_GB2312" w:hAnsi="仿宋_GB2312" w:cs="仿宋_GB2312" w:eastAsia="仿宋_GB2312"/>
                    </w:rPr>
                    <w:t>3.2.2</w:t>
                  </w:r>
                </w:p>
              </w:tc>
              <w:tc>
                <w:tcPr>
                  <w:tcW w:type="dxa" w:w="511"/>
                </w:tcPr>
                <w:p>
                  <w:pPr>
                    <w:pStyle w:val="null3"/>
                  </w:pPr>
                  <w:r>
                    <w:rPr>
                      <w:rFonts w:ascii="仿宋_GB2312" w:hAnsi="仿宋_GB2312" w:cs="仿宋_GB2312" w:eastAsia="仿宋_GB2312"/>
                    </w:rPr>
                    <w:t>食肉动物肉食</w:t>
                  </w:r>
                </w:p>
              </w:tc>
              <w:tc>
                <w:tcPr>
                  <w:tcW w:type="dxa" w:w="511"/>
                </w:tcPr>
                <w:p>
                  <w:pPr>
                    <w:pStyle w:val="null3"/>
                  </w:pPr>
                  <w:r>
                    <w:rPr>
                      <w:rFonts w:ascii="仿宋_GB2312" w:hAnsi="仿宋_GB2312" w:cs="仿宋_GB2312" w:eastAsia="仿宋_GB2312"/>
                    </w:rPr>
                    <w:t>斤</w:t>
                  </w:r>
                </w:p>
              </w:tc>
              <w:tc>
                <w:tcPr>
                  <w:tcW w:type="dxa" w:w="511"/>
                </w:tcPr>
                <w:p>
                  <w:pPr>
                    <w:pStyle w:val="null3"/>
                  </w:pPr>
                  <w:r>
                    <w:rPr>
                      <w:rFonts w:ascii="仿宋_GB2312" w:hAnsi="仿宋_GB2312" w:cs="仿宋_GB2312" w:eastAsia="仿宋_GB2312"/>
                    </w:rPr>
                    <w:t>250</w:t>
                  </w:r>
                </w:p>
              </w:tc>
              <w:tc>
                <w:tcPr>
                  <w:tcW w:type="dxa" w:w="511"/>
                </w:tcPr>
                <w:p>
                  <w:pPr>
                    <w:pStyle w:val="null3"/>
                  </w:pPr>
                  <w:r>
                    <w:rPr>
                      <w:rFonts w:ascii="仿宋_GB2312" w:hAnsi="仿宋_GB2312" w:cs="仿宋_GB2312" w:eastAsia="仿宋_GB2312"/>
                    </w:rPr>
                    <w:t>新鲜猪瘦肉</w:t>
                  </w:r>
                </w:p>
              </w:tc>
            </w:tr>
            <w:tr>
              <w:tc>
                <w:tcPr>
                  <w:tcW w:type="dxa" w:w="511"/>
                </w:tcPr>
                <w:p>
                  <w:pPr>
                    <w:pStyle w:val="null3"/>
                  </w:pPr>
                  <w:r>
                    <w:rPr>
                      <w:rFonts w:ascii="仿宋_GB2312" w:hAnsi="仿宋_GB2312" w:cs="仿宋_GB2312" w:eastAsia="仿宋_GB2312"/>
                    </w:rPr>
                    <w:t>3.2.3</w:t>
                  </w:r>
                </w:p>
              </w:tc>
              <w:tc>
                <w:tcPr>
                  <w:tcW w:type="dxa" w:w="511"/>
                </w:tcPr>
                <w:p>
                  <w:pPr>
                    <w:pStyle w:val="null3"/>
                  </w:pPr>
                  <w:r>
                    <w:rPr>
                      <w:rFonts w:ascii="仿宋_GB2312" w:hAnsi="仿宋_GB2312" w:cs="仿宋_GB2312" w:eastAsia="仿宋_GB2312"/>
                    </w:rPr>
                    <w:t>小鱼/泥鳅</w:t>
                  </w:r>
                </w:p>
              </w:tc>
              <w:tc>
                <w:tcPr>
                  <w:tcW w:type="dxa" w:w="511"/>
                </w:tcPr>
                <w:p>
                  <w:pPr>
                    <w:pStyle w:val="null3"/>
                  </w:pPr>
                  <w:r>
                    <w:rPr>
                      <w:rFonts w:ascii="仿宋_GB2312" w:hAnsi="仿宋_GB2312" w:cs="仿宋_GB2312" w:eastAsia="仿宋_GB2312"/>
                    </w:rPr>
                    <w:t>斤</w:t>
                  </w:r>
                </w:p>
              </w:tc>
              <w:tc>
                <w:tcPr>
                  <w:tcW w:type="dxa" w:w="511"/>
                </w:tcPr>
                <w:p>
                  <w:pPr>
                    <w:pStyle w:val="null3"/>
                  </w:pPr>
                  <w:r>
                    <w:rPr>
                      <w:rFonts w:ascii="仿宋_GB2312" w:hAnsi="仿宋_GB2312" w:cs="仿宋_GB2312" w:eastAsia="仿宋_GB2312"/>
                    </w:rPr>
                    <w:t>500</w:t>
                  </w:r>
                </w:p>
              </w:tc>
              <w:tc>
                <w:tcPr>
                  <w:tcW w:type="dxa" w:w="511"/>
                </w:tcPr>
                <w:p>
                  <w:pPr>
                    <w:pStyle w:val="null3"/>
                  </w:pPr>
                  <w:r>
                    <w:rPr>
                      <w:rFonts w:ascii="仿宋_GB2312" w:hAnsi="仿宋_GB2312" w:cs="仿宋_GB2312" w:eastAsia="仿宋_GB2312"/>
                    </w:rPr>
                    <w:t>活体</w:t>
                  </w:r>
                </w:p>
              </w:tc>
            </w:tr>
            <w:tr>
              <w:tc>
                <w:tcPr>
                  <w:tcW w:type="dxa" w:w="511"/>
                </w:tcPr>
                <w:p>
                  <w:pPr>
                    <w:pStyle w:val="null3"/>
                  </w:pPr>
                  <w:r>
                    <w:rPr>
                      <w:rFonts w:ascii="仿宋_GB2312" w:hAnsi="仿宋_GB2312" w:cs="仿宋_GB2312" w:eastAsia="仿宋_GB2312"/>
                    </w:rPr>
                    <w:t>3.3</w:t>
                  </w:r>
                </w:p>
              </w:tc>
              <w:tc>
                <w:tcPr>
                  <w:tcW w:type="dxa" w:w="511"/>
                </w:tcPr>
                <w:p>
                  <w:pPr>
                    <w:pStyle w:val="null3"/>
                  </w:pPr>
                  <w:r>
                    <w:rPr>
                      <w:rFonts w:ascii="仿宋_GB2312" w:hAnsi="仿宋_GB2312" w:cs="仿宋_GB2312" w:eastAsia="仿宋_GB2312"/>
                    </w:rPr>
                    <w:t>救助饲养</w:t>
                  </w:r>
                </w:p>
              </w:tc>
              <w:tc>
                <w:tcPr>
                  <w:tcW w:type="dxa" w:w="511"/>
                </w:tcPr>
                <w:p>
                  <w:pPr>
                    <w:pStyle w:val="null3"/>
                  </w:pPr>
                  <w:r>
                    <w:rPr>
                      <w:rFonts w:ascii="仿宋_GB2312" w:hAnsi="仿宋_GB2312" w:cs="仿宋_GB2312" w:eastAsia="仿宋_GB2312"/>
                    </w:rPr>
                    <w:t>只</w:t>
                  </w:r>
                </w:p>
              </w:tc>
              <w:tc>
                <w:tcPr>
                  <w:tcW w:type="dxa" w:w="511"/>
                </w:tcPr>
                <w:p>
                  <w:pPr>
                    <w:pStyle w:val="null3"/>
                  </w:pPr>
                  <w:r>
                    <w:rPr>
                      <w:rFonts w:ascii="仿宋_GB2312" w:hAnsi="仿宋_GB2312" w:cs="仿宋_GB2312" w:eastAsia="仿宋_GB2312"/>
                    </w:rPr>
                    <w:t>50</w:t>
                  </w:r>
                </w:p>
              </w:tc>
              <w:tc>
                <w:tcPr>
                  <w:tcW w:type="dxa" w:w="511"/>
                </w:tcPr>
                <w:p>
                  <w:pPr>
                    <w:pStyle w:val="null3"/>
                  </w:pPr>
                  <w:r>
                    <w:rPr>
                      <w:rFonts w:ascii="仿宋_GB2312" w:hAnsi="仿宋_GB2312" w:cs="仿宋_GB2312" w:eastAsia="仿宋_GB2312"/>
                    </w:rPr>
                    <w:t xml:space="preserve"> </w:t>
                  </w:r>
                </w:p>
              </w:tc>
            </w:tr>
          </w:tbl>
          <w:p>
            <w:pPr>
              <w:pStyle w:val="null3"/>
            </w:pPr>
            <w:r>
              <w:rPr>
                <w:rFonts w:ascii="仿宋_GB2312" w:hAnsi="仿宋_GB2312" w:cs="仿宋_GB2312" w:eastAsia="仿宋_GB2312"/>
              </w:rPr>
              <w:t xml:space="preserve"> </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ind w:firstLine="560"/>
              <w:jc w:val="both"/>
            </w:pPr>
            <w:r>
              <w:rPr>
                <w:rFonts w:ascii="仿宋_GB2312" w:hAnsi="仿宋_GB2312" w:cs="仿宋_GB2312" w:eastAsia="仿宋_GB2312"/>
              </w:rPr>
              <w:t>四、商务要求</w:t>
            </w:r>
          </w:p>
          <w:p>
            <w:pPr>
              <w:pStyle w:val="null3"/>
            </w:pPr>
            <w:r>
              <w:rPr>
                <w:rFonts w:ascii="仿宋_GB2312" w:hAnsi="仿宋_GB2312" w:cs="仿宋_GB2312" w:eastAsia="仿宋_GB2312"/>
              </w:rPr>
              <w:t>1.服务期限</w:t>
            </w:r>
          </w:p>
          <w:p>
            <w:pPr>
              <w:pStyle w:val="null3"/>
            </w:pPr>
            <w:r>
              <w:rPr>
                <w:rFonts w:ascii="仿宋_GB2312" w:hAnsi="仿宋_GB2312" w:cs="仿宋_GB2312" w:eastAsia="仿宋_GB2312"/>
              </w:rPr>
              <w:t>合同签订之日起至2026年12月完成项目全部工作内容并交付成果文件。</w:t>
            </w:r>
          </w:p>
          <w:p>
            <w:pPr>
              <w:pStyle w:val="null3"/>
            </w:pPr>
            <w:r>
              <w:rPr>
                <w:rFonts w:ascii="仿宋_GB2312" w:hAnsi="仿宋_GB2312" w:cs="仿宋_GB2312" w:eastAsia="仿宋_GB2312"/>
              </w:rPr>
              <w:t>2.服务地点：蒲城县内，采购人指定地点。</w:t>
            </w:r>
          </w:p>
          <w:p>
            <w:pPr>
              <w:pStyle w:val="null3"/>
            </w:pPr>
            <w:r>
              <w:rPr>
                <w:rFonts w:ascii="仿宋_GB2312" w:hAnsi="仿宋_GB2312" w:cs="仿宋_GB2312" w:eastAsia="仿宋_GB2312"/>
              </w:rPr>
              <w:t>3.质量要求：符合现行国家、行业“合格”标准。</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满足项目实施需求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满足项目实施需求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满足项目实施需求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合同签订之日起至2026年12月完成项目全部工作内容并交付成果文件。</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蒲城县内，采购人指定地点。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参照《财政部关于进一步加强政府采购需求和履约验收管理的指导意见》(财库(2016) 205号，经采购人组织验收。</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进度款，合同签订后，达到付款条件起7个工作日内，支付合同总金额的30.0%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进度款，待项目全部完成并经采购人验收合格后，达到付款条件起7个工作日内，支付合同总金额的70.0%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因履行本合同引起的或与本合同有关的争议，甲、乙双方应首先通过友好协商解决;如果协商不能解决争议，甲乙双方可采取向甲方所在地仲裁委员会按其仲裁规则申请仲裁或向甲方所在地有管辖权的人民法院提起诉讼。</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落实政府采购政策： （1）《政府采购促进中小企业发展管理办法》（财库〔2020〕46号）； （2）《关于进一步加大政府采购支持中小企业力度的通知》（财库〔2022〕19号； （3）《陕西省财政厅关于进一步加大政府采购支持中小企业力度的通知》（陕财办采〔2022〕5号）； （4）《财政部司法部关于政府采购支持监狱企业发展有关问题的通知》（财库〔2014〕68号）； （5）《三部门联合发布关于促进残疾人就业政府采购政策的通知》（财库〔2017〕141号）； （6）《国务院办公厅关于建立政府强制采购节能产品制度的通知》（国发办〔2007〕51号）； （7）《节能产品政府采购实施意见》（财库〔2004〕185号）； （8）《环境标志产品政府采购实施的意见》（财库〔2006〕90号）； （9）《财政部发展改革委生态环境部市场监管总局关于调整优化节能产品、环境标志产品政府采购执行机制的通知》（财库〔2019〕9号）； （10）《关于运用政府采购政策支持乡村产业振兴的通知》（财库〔2021〕19号）； （11）《财政部农业农村部国家乡村振兴局中华全国供销合作总社关于印发&lt;关于深入开展政府采购脱贫地区农副产品工作推进乡村产业振兴的实施意见&gt;的通知》（财库〔2021〕20号）； （12）《陕西省财政厅关于进一步加强政府绿色采购有关问题的通知》（陕财办采〔2021〕29号）； （13）《财政部关于在政府采购活动中落实平等对待内外资企业有关政策的通知》（财库〔2021〕35号）； （14）陕西省财政厅关于印发《陕西省中小企业政府采购信用融资办法》（陕财办采〔2018〕23号）； （15）陕西省财政厅《关于加快推进我省中小企业政府采购信用融资工作的通知》（陕财办采〔2020〕15号）； （16）《关于推动解决政府采购异常低价问题的通知》--（财库【2026】2号）； （17）《国务院办公厅关于在政府采购中实施本国产品标准及相关政策的通知》--（国办发〔2025〕34号）； （18）其他需要落实的政府采购政策。</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提供合格有效的法人或者其他组织的营业执照等证明文件，自然人的身份证明；供应商是法人或其他组织的应提供营业执照等证明文件，供应商是自然人的应提供有效的自然人身份证明；</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或2025年度经审计的财务报告（包括“三表一注”，即资产负债表、利润表、现金流量表及其附注，成立时间至提交投标文件截止时间不足一年的可提供成立后任意时段的资产负债表），或其基本存款账户开户银行出具的资信证明及基本存款账户证明；</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提供投标截止日前6个月内已缴纳的至少一个月的纳税证明或完税证明（增值税或印花税等税种），依法免税的单位应提供相关证明材料；</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提供投标截止日前6个月内已缴存的至少一个月的社会保障资金缴存单据或社保机构开具的社会保险参保缴费情况证明，依法不需要缴纳社会保障资金的单位应提供相关证明材料；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专业技术能力证明</w:t>
            </w:r>
          </w:p>
        </w:tc>
        <w:tc>
          <w:tcPr>
            <w:tcW w:type="dxa" w:w="3322"/>
          </w:tcPr>
          <w:p>
            <w:pPr>
              <w:pStyle w:val="null3"/>
            </w:pPr>
            <w:r>
              <w:rPr>
                <w:rFonts w:ascii="仿宋_GB2312" w:hAnsi="仿宋_GB2312" w:cs="仿宋_GB2312" w:eastAsia="仿宋_GB2312"/>
              </w:rPr>
              <w:t>提供具有履行合同所必需的设备和专业技术能力的承诺；</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法定代表人证明书或授权委托书</w:t>
            </w:r>
          </w:p>
        </w:tc>
        <w:tc>
          <w:tcPr>
            <w:tcW w:type="dxa" w:w="3322"/>
          </w:tcPr>
          <w:p>
            <w:pPr>
              <w:pStyle w:val="null3"/>
            </w:pPr>
            <w:r>
              <w:rPr>
                <w:rFonts w:ascii="仿宋_GB2312" w:hAnsi="仿宋_GB2312" w:cs="仿宋_GB2312" w:eastAsia="仿宋_GB2312"/>
              </w:rPr>
              <w:t>非法定代表人参加投标，须提供法定代表人授权委托书及被授权人身份证原件；法定代表人参加投标时,须提供法人身份证明书及法定代表人身份证原件；</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中小企业声明</w:t>
            </w:r>
          </w:p>
        </w:tc>
        <w:tc>
          <w:tcPr>
            <w:tcW w:type="dxa" w:w="3322"/>
          </w:tcPr>
          <w:p>
            <w:pPr>
              <w:pStyle w:val="null3"/>
            </w:pPr>
            <w:r>
              <w:rPr>
                <w:rFonts w:ascii="仿宋_GB2312" w:hAnsi="仿宋_GB2312" w:cs="仿宋_GB2312" w:eastAsia="仿宋_GB2312"/>
              </w:rPr>
              <w:t>本项目为专门面向中小企业采购项目须根据《政府采购促进中小企业发展管理办法》（财库﹝2020﹞46 号）的规定提供《中小企业声明函》；</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供应商须具备林业调查规划设计丙级及以上资质。</w:t>
            </w:r>
          </w:p>
        </w:tc>
        <w:tc>
          <w:tcPr>
            <w:tcW w:type="dxa" w:w="1661"/>
          </w:tcPr>
          <w:p>
            <w:pPr>
              <w:pStyle w:val="null3"/>
            </w:pPr>
            <w:r>
              <w:rPr>
                <w:rFonts w:ascii="仿宋_GB2312" w:hAnsi="仿宋_GB2312" w:cs="仿宋_GB2312" w:eastAsia="仿宋_GB2312"/>
              </w:rPr>
              <w:t>供应商资格证明文件.docx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供应商名称应与营业执照等资料相一致</w:t>
            </w:r>
          </w:p>
        </w:tc>
        <w:tc>
          <w:tcPr>
            <w:tcW w:type="dxa" w:w="1661"/>
          </w:tcPr>
          <w:p>
            <w:pPr>
              <w:pStyle w:val="null3"/>
            </w:pPr>
            <w:r>
              <w:rPr>
                <w:rFonts w:ascii="仿宋_GB2312" w:hAnsi="仿宋_GB2312" w:cs="仿宋_GB2312" w:eastAsia="仿宋_GB2312"/>
              </w:rPr>
              <w:t>业绩.docx 中小企业声明函 商务应答表 保证金.docx 服务内容及服务要求应答表 报价表 响应文件封面 残疾人福利性单位声明函 标的清单 供应商资格证明文件.docx 响应函 服务方案.docx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按照磋商文件要求签字盖章</w:t>
            </w:r>
          </w:p>
        </w:tc>
        <w:tc>
          <w:tcPr>
            <w:tcW w:type="dxa" w:w="1661"/>
          </w:tcPr>
          <w:p>
            <w:pPr>
              <w:pStyle w:val="null3"/>
            </w:pPr>
            <w:r>
              <w:rPr>
                <w:rFonts w:ascii="仿宋_GB2312" w:hAnsi="仿宋_GB2312" w:cs="仿宋_GB2312" w:eastAsia="仿宋_GB2312"/>
              </w:rPr>
              <w:t>业绩.docx 中小企业声明函 商务应答表 保证金.docx 服务内容及服务要求应答表 报价表 响应文件封面 残疾人福利性单位声明函 标的清单 供应商资格证明文件.docx 响应函 服务方案.docx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商务要求</w:t>
            </w:r>
          </w:p>
        </w:tc>
        <w:tc>
          <w:tcPr>
            <w:tcW w:type="dxa" w:w="3322"/>
          </w:tcPr>
          <w:p>
            <w:pPr>
              <w:pStyle w:val="null3"/>
            </w:pPr>
            <w:r>
              <w:rPr>
                <w:rFonts w:ascii="仿宋_GB2312" w:hAnsi="仿宋_GB2312" w:cs="仿宋_GB2312" w:eastAsia="仿宋_GB2312"/>
              </w:rPr>
              <w:t>服务期限、响应有效期等符合采购文件要求</w:t>
            </w:r>
          </w:p>
        </w:tc>
        <w:tc>
          <w:tcPr>
            <w:tcW w:type="dxa" w:w="1661"/>
          </w:tcPr>
          <w:p>
            <w:pPr>
              <w:pStyle w:val="null3"/>
            </w:pPr>
            <w:r>
              <w:rPr>
                <w:rFonts w:ascii="仿宋_GB2312" w:hAnsi="仿宋_GB2312" w:cs="仿宋_GB2312" w:eastAsia="仿宋_GB2312"/>
              </w:rPr>
              <w:t>商务应答表 服务内容及服务要求应答表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保证金</w:t>
            </w:r>
          </w:p>
        </w:tc>
        <w:tc>
          <w:tcPr>
            <w:tcW w:type="dxa" w:w="3322"/>
          </w:tcPr>
          <w:p>
            <w:pPr>
              <w:pStyle w:val="null3"/>
            </w:pPr>
            <w:r>
              <w:rPr>
                <w:rFonts w:ascii="仿宋_GB2312" w:hAnsi="仿宋_GB2312" w:cs="仿宋_GB2312" w:eastAsia="仿宋_GB2312"/>
              </w:rPr>
              <w:t>按照磋商文件要求缴纳</w:t>
            </w:r>
          </w:p>
        </w:tc>
        <w:tc>
          <w:tcPr>
            <w:tcW w:type="dxa" w:w="1661"/>
          </w:tcPr>
          <w:p>
            <w:pPr>
              <w:pStyle w:val="null3"/>
            </w:pPr>
            <w:r>
              <w:rPr>
                <w:rFonts w:ascii="仿宋_GB2312" w:hAnsi="仿宋_GB2312" w:cs="仿宋_GB2312" w:eastAsia="仿宋_GB2312"/>
              </w:rPr>
              <w:t>保证金.docx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报价唯一且未超过预算金额</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其他无效情形</w:t>
            </w:r>
          </w:p>
        </w:tc>
        <w:tc>
          <w:tcPr>
            <w:tcW w:type="dxa" w:w="3322"/>
          </w:tcPr>
          <w:p>
            <w:pPr>
              <w:pStyle w:val="null3"/>
            </w:pPr>
            <w:r>
              <w:rPr>
                <w:rFonts w:ascii="仿宋_GB2312" w:hAnsi="仿宋_GB2312" w:cs="仿宋_GB2312" w:eastAsia="仿宋_GB2312"/>
              </w:rPr>
              <w:t>完全理解并接受法律法规和磋商文件对供应商合法经营的各类规约和责任义务要求，未出现法律、法规或磋商文件规定的其他无效情形的。</w:t>
            </w:r>
          </w:p>
        </w:tc>
        <w:tc>
          <w:tcPr>
            <w:tcW w:type="dxa" w:w="1661"/>
          </w:tcPr>
          <w:p>
            <w:pPr>
              <w:pStyle w:val="null3"/>
            </w:pPr>
            <w:r>
              <w:rPr>
                <w:rFonts w:ascii="仿宋_GB2312" w:hAnsi="仿宋_GB2312" w:cs="仿宋_GB2312" w:eastAsia="仿宋_GB2312"/>
              </w:rPr>
              <w:t>业绩.docx 中小企业声明函 商务应答表 保证金.docx 服务内容及服务要求应答表 报价表 响应文件封面 残疾人福利性单位声明函 标的清单 供应商资格证明文件.docx 响应函 服务方案.docx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总体服务方案</w:t>
            </w:r>
          </w:p>
        </w:tc>
        <w:tc>
          <w:tcPr>
            <w:tcW w:type="dxa" w:w="2492"/>
          </w:tcPr>
          <w:p>
            <w:pPr>
              <w:pStyle w:val="null3"/>
            </w:pPr>
            <w:r>
              <w:rPr>
                <w:rFonts w:ascii="仿宋_GB2312" w:hAnsi="仿宋_GB2312" w:cs="仿宋_GB2312" w:eastAsia="仿宋_GB2312"/>
              </w:rPr>
              <w:t>针对本项目的总体服务方案，包括不限于：①调查方式；②监测范围；③服务内容；④工作流程；⑤具体监测技术方案；⑥管理制度等。以上6项，内容无缺项、无漏项且无缺陷的得12分，其中每有一项内容存在缺项或漏项的扣2分，每项内容中每有一处存在缺陷的扣1分，该项分值扣完为止，未提供不得分。 （赋分说明：“缺陷”是指套用其他项目方案内容；存在不适用项目实际情况的情形；未能体现出本项目的特点或与本项目实际需求不完全相符；引用科学原理错误以及无法实现的情形；引用的法律法规、标准（方法）或其他规范性文件错误；语言错误或存在歧义；前后内容不一；逻辑错误。）</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对本项目的理解与重难点分析</w:t>
            </w:r>
          </w:p>
        </w:tc>
        <w:tc>
          <w:tcPr>
            <w:tcW w:type="dxa" w:w="2492"/>
          </w:tcPr>
          <w:p>
            <w:pPr>
              <w:pStyle w:val="null3"/>
            </w:pPr>
            <w:r>
              <w:rPr>
                <w:rFonts w:ascii="仿宋_GB2312" w:hAnsi="仿宋_GB2312" w:cs="仿宋_GB2312" w:eastAsia="仿宋_GB2312"/>
              </w:rPr>
              <w:t>对本项目的理解与重难点分析，包括不限于：①对项目的理解和认识；②项目重难点分析；③合理化建议等。以上3项内容无缺项且无缺陷的得6分，其中每有一项内容存在缺项扣2分，每项内容中每有一处存在缺陷的扣1，该项分值扣完为止，未提供不得分。 （赋分说明：“缺陷”是指套用其他项目方案内容；存在不适用项目实际情况的情形；未能体现出本项目的特点或与本项目实际需求不完全相符；引用科学原理错误以及无法实现的情形；引用的法律法规、标准（方法）或其他规范性文件错误；语言错误或存在歧义；前后内容不一；逻辑错误。）</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针对本项目的质量保障措施，包含不限于：①质量管理体系及措施；②项目进度保障措施；③安全保证措施等。以上3项，内容无缺项、无漏项且无缺陷的得6分，其中每有一项内容存在缺项或漏项的扣2分，每项内容中每有一处存在缺陷的扣1分，该项分值扣完为止，未提供不得分。 （赋分说明：“缺陷”是指套用其他项目方案内容；存在不适用项目实际情况的情形；未能体现出本项目的特点或与本项目实际需求不完全相符；引用科学原理错误以及无法实现的情形；引用的法律法规、标准（方法）或其他规范性文件错误；语言错误或存在歧义；前后内容不一；逻辑错误。）</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资料档案管理制度</w:t>
            </w:r>
          </w:p>
        </w:tc>
        <w:tc>
          <w:tcPr>
            <w:tcW w:type="dxa" w:w="2492"/>
          </w:tcPr>
          <w:p>
            <w:pPr>
              <w:pStyle w:val="null3"/>
            </w:pPr>
            <w:r>
              <w:rPr>
                <w:rFonts w:ascii="仿宋_GB2312" w:hAnsi="仿宋_GB2312" w:cs="仿宋_GB2312" w:eastAsia="仿宋_GB2312"/>
              </w:rPr>
              <w:t>提供资料档案管理制度及移交方案。提供详细、合理、科学可行的方案，方案符合本项目采购需求有针对性，得4分；内容存在缺陷扣1分；该项分值扣完为止，未提供不得分。 （赋分说明：“缺陷”是指套用其他项目方案内容；存在不适用项目实际情况的情形；未能体现出本项目的特点或与本项目实际需求不完全相符；引用科学原理错误以及无法实现的情形；引用的法律法规、标准（方法）或其他规范性文件错误；语言错误或存在歧义；前后内容不一；逻辑错误。）</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保密承诺及措施</w:t>
            </w:r>
          </w:p>
        </w:tc>
        <w:tc>
          <w:tcPr>
            <w:tcW w:type="dxa" w:w="2492"/>
          </w:tcPr>
          <w:p>
            <w:pPr>
              <w:pStyle w:val="null3"/>
            </w:pPr>
            <w:r>
              <w:rPr>
                <w:rFonts w:ascii="仿宋_GB2312" w:hAnsi="仿宋_GB2312" w:cs="仿宋_GB2312" w:eastAsia="仿宋_GB2312"/>
              </w:rPr>
              <w:t>依据本项目情况，提出保密承诺及措施。提供详细、合理、科学可行的方案，方案符合本项目采购需求有针对性，得4分；内容存在缺陷扣1分；该项分值扣完为止，未提供不得分。 （赋分说明：“缺陷”是指套用其他项目方案内容；存在不适用项目实际情况的情形；未能体现出本项目的特点或与本项目实际需求不完全相符；引用科学原理错误以及无法实现的情形；引用的法律法规、标准（方法）或其他规范性文件错误；语言错误或存在歧义；前后内容不一；逻辑错误。）</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应急措施</w:t>
            </w:r>
          </w:p>
        </w:tc>
        <w:tc>
          <w:tcPr>
            <w:tcW w:type="dxa" w:w="2492"/>
          </w:tcPr>
          <w:p>
            <w:pPr>
              <w:pStyle w:val="null3"/>
            </w:pPr>
            <w:r>
              <w:rPr>
                <w:rFonts w:ascii="仿宋_GB2312" w:hAnsi="仿宋_GB2312" w:cs="仿宋_GB2312" w:eastAsia="仿宋_GB2312"/>
              </w:rPr>
              <w:t>供应商提供具有针对突发特殊情况的应急保障措施。确保在发生紧急事件及其他问题时，能够及时、有效地解决问题，保证本项目顺利进行。提供详细、合理、科学可行的方案，方案符合本项目采购需求有针对性，得4分；内容存在缺陷扣1分；该项分值扣完为止，未提供不得分。（赋分说明：“缺陷”是指套用其他项目方案内容；存在不适用项目实际情况的情形；未能体现出本项目的特点或与本项目实际需求不完全相符；引用科学原理错误以及无法实现的情形；引用的法律法规、标准（方法）或其他规范性文件错误；语言错误或存在歧义；前后内容不一；逻辑错误。）</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人员配备（1）</w:t>
            </w:r>
          </w:p>
        </w:tc>
        <w:tc>
          <w:tcPr>
            <w:tcW w:type="dxa" w:w="2492"/>
          </w:tcPr>
          <w:p>
            <w:pPr>
              <w:pStyle w:val="null3"/>
            </w:pPr>
            <w:r>
              <w:rPr>
                <w:rFonts w:ascii="仿宋_GB2312" w:hAnsi="仿宋_GB2312" w:cs="仿宋_GB2312" w:eastAsia="仿宋_GB2312"/>
              </w:rPr>
              <w:t>针对本项目有详细的人员配备方案，包含不限于：①健全的组织机构及工作安排；②岗位分工明确（有具体成员名单、包括姓名、工作经验、工作职责、联系方式等）。提供详细、合理、科学可行的方案，方案符合本合同包采购需求有针对性，以上2项，内容无缺项、无漏项且无缺陷的得4分，其中每有一项内容存在缺项或漏项的扣2分，每项内容中每有一处存在缺陷的扣1分，该项分值扣完为止，未提供不得分。（赋分说明：“缺陷”是指套用其他项目方案内容；存在不适用项目实际情况的情形；未能体现出本项目的特点或与本项目实际需求不完全相符；引用科学原理错误以及无法实现的情形；引用的法律法规、标准（方法）或其他规范性文件错误；语言错误或存在歧义；前后内容不一；逻辑错误。）</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人员配置（2）</w:t>
            </w:r>
          </w:p>
        </w:tc>
        <w:tc>
          <w:tcPr>
            <w:tcW w:type="dxa" w:w="2492"/>
          </w:tcPr>
          <w:p>
            <w:pPr>
              <w:pStyle w:val="null3"/>
            </w:pPr>
            <w:r>
              <w:rPr>
                <w:rFonts w:ascii="仿宋_GB2312" w:hAnsi="仿宋_GB2312" w:cs="仿宋_GB2312" w:eastAsia="仿宋_GB2312"/>
              </w:rPr>
              <w:t>1.拟派项目负责人具有动物学或林学相关专业高级及以上职称得5分；中级职称得 3 分； 本科及以上学历的加5分，大专学历的加3分； 2.项目组技术成员(项目负责人除外）具有动物学或林学相关专业中级及以上职称，每有 1 人得 2 分，最多得10 分；注：投标文件提供项目负责人的职称证书复印件、提供社保或劳动合同相关证明材料并加盖投标人公章，不提供的不得分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1.根据投标供应商提供后期保障服务及承诺（内容包括但不限于：服务体系建设、生物多样性保护措施、环境保护措施等）得5分。无承诺不得分。 2.承诺：上岗人员固定，不随意更换，若出现服务人员因事、病等不能工作的，能及时调整其他服务人员补充，确保服务工作的正常进行，以及储备可调度人员，调度人员可保障临时性工作需要及突发事件处置，得5分。无承诺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提供近三年（2023年1月至今）签署的类似项目业绩。每提供一项得3分（以加盖公章的中标通知书或合同复印件为准），满分15分。未提供不得分。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按照财政部《政府采购货物和服务招标投标管理办法》（财政部令第87号）的有关规定：价格分采用低价优先法计算，即满足磋商文件要求且最后报价最低的供应商的价格为磋商基准价，其价格分为满分。其他供应商的价格分统一按照下列公式计算：磋商报价得分=15×（磋商基准价/最后磋商报价） 价格分计算：四舍五入，保留两位小数。 （因落实政府采购政策进行价格调整的，以调整后的价格计算评标基准价和投标报价）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详见附件：供应商资格证明文件.docx</w:t>
      </w:r>
    </w:p>
    <w:p>
      <w:pPr>
        <w:pStyle w:val="null3"/>
        <w:ind w:firstLine="960"/>
      </w:pPr>
      <w:r>
        <w:rPr>
          <w:rFonts w:ascii="仿宋_GB2312" w:hAnsi="仿宋_GB2312" w:cs="仿宋_GB2312" w:eastAsia="仿宋_GB2312"/>
        </w:rPr>
        <w:t>详见附件：保证金.docx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详见附件：服务方案.docx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详见附件：合同主要条款.docx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