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DA3EE6">
      <w:pPr>
        <w:autoSpaceDE w:val="0"/>
        <w:autoSpaceDN w:val="0"/>
        <w:adjustRightInd w:val="0"/>
        <w:spacing w:line="360" w:lineRule="auto"/>
        <w:jc w:val="left"/>
        <w:rPr>
          <w:rFonts w:ascii="宋体" w:hAnsi="宋体" w:cs="宋体"/>
          <w:b/>
          <w:bCs/>
          <w:color w:val="000000" w:themeColor="text1"/>
          <w:kern w:val="0"/>
          <w:sz w:val="32"/>
          <w:szCs w:val="32"/>
          <w14:textFill>
            <w14:solidFill>
              <w14:schemeClr w14:val="tx1"/>
            </w14:solidFill>
          </w14:textFill>
        </w:rPr>
      </w:pPr>
      <w:r>
        <w:rPr>
          <w:rFonts w:hint="eastAsia" w:ascii="宋体" w:hAnsi="宋体" w:cs="宋体"/>
          <w:b/>
          <w:bCs/>
          <w:sz w:val="32"/>
          <w:szCs w:val="32"/>
          <w:highlight w:val="none"/>
        </w:rPr>
        <w:t>项目编号：</w:t>
      </w:r>
      <w:r>
        <w:rPr>
          <w:rFonts w:hint="eastAsia" w:ascii="宋体" w:hAnsi="宋体" w:cs="宋体"/>
          <w:b/>
          <w:bCs/>
          <w:color w:val="000000" w:themeColor="text1"/>
          <w:kern w:val="0"/>
          <w:sz w:val="32"/>
          <w:szCs w:val="32"/>
          <w:lang w:eastAsia="zh-CN"/>
          <w14:textFill>
            <w14:solidFill>
              <w14:schemeClr w14:val="tx1"/>
            </w14:solidFill>
          </w14:textFill>
        </w:rPr>
        <w:t>SXDFSH-2026041</w:t>
      </w:r>
    </w:p>
    <w:p w14:paraId="242FDFD5">
      <w:pPr>
        <w:pStyle w:val="10"/>
        <w:rPr>
          <w:rFonts w:ascii="宋体" w:hAnsi="宋体" w:cs="宋体"/>
          <w:b/>
          <w:bCs/>
          <w:color w:val="000000" w:themeColor="text1"/>
          <w:sz w:val="44"/>
          <w:szCs w:val="44"/>
          <w:lang w:val="zh-CN"/>
          <w14:textFill>
            <w14:solidFill>
              <w14:schemeClr w14:val="tx1"/>
            </w14:solidFill>
          </w14:textFill>
        </w:rPr>
      </w:pPr>
    </w:p>
    <w:p w14:paraId="3F9551E7">
      <w:pPr>
        <w:rPr>
          <w:lang w:val="zh-CN"/>
        </w:rPr>
      </w:pPr>
    </w:p>
    <w:p w14:paraId="1D3B7240">
      <w:pPr>
        <w:jc w:val="center"/>
        <w:rPr>
          <w:rFonts w:ascii="宋体" w:hAnsi="宋体"/>
          <w:b/>
          <w:color w:val="000000" w:themeColor="text1"/>
          <w:sz w:val="96"/>
          <w:szCs w:val="96"/>
          <w14:textFill>
            <w14:solidFill>
              <w14:schemeClr w14:val="tx1"/>
            </w14:solidFill>
          </w14:textFill>
        </w:rPr>
      </w:pPr>
      <w:r>
        <w:rPr>
          <w:rFonts w:hint="eastAsia" w:ascii="宋体" w:hAnsi="宋体" w:cs="宋体"/>
          <w:b/>
          <w:bCs/>
          <w:color w:val="000000" w:themeColor="text1"/>
          <w:kern w:val="0"/>
          <w:sz w:val="48"/>
          <w:szCs w:val="48"/>
          <w:lang w:val="zh-CN"/>
          <w14:textFill>
            <w14:solidFill>
              <w14:schemeClr w14:val="tx1"/>
            </w14:solidFill>
          </w14:textFill>
        </w:rPr>
        <w:t>2026年安康中心城区市政排水设施病媒生物防制消杀项目</w:t>
      </w:r>
    </w:p>
    <w:p w14:paraId="52AA1430">
      <w:pPr>
        <w:jc w:val="both"/>
        <w:rPr>
          <w:rFonts w:ascii="宋体" w:hAnsi="宋体"/>
          <w:b/>
          <w:color w:val="000000" w:themeColor="text1"/>
          <w:sz w:val="100"/>
          <w:szCs w:val="100"/>
          <w14:textFill>
            <w14:solidFill>
              <w14:schemeClr w14:val="tx1"/>
            </w14:solidFill>
          </w14:textFill>
        </w:rPr>
      </w:pPr>
    </w:p>
    <w:p w14:paraId="39FDE8A1">
      <w:pPr>
        <w:jc w:val="both"/>
        <w:rPr>
          <w:rFonts w:ascii="宋体" w:hAnsi="宋体"/>
          <w:b/>
          <w:color w:val="000000" w:themeColor="text1"/>
          <w:sz w:val="100"/>
          <w:szCs w:val="100"/>
          <w14:textFill>
            <w14:solidFill>
              <w14:schemeClr w14:val="tx1"/>
            </w14:solidFill>
          </w14:textFill>
        </w:rPr>
      </w:pPr>
    </w:p>
    <w:p w14:paraId="518108F7">
      <w:pPr>
        <w:jc w:val="center"/>
        <w:rPr>
          <w:color w:val="000000" w:themeColor="text1"/>
          <w14:textFill>
            <w14:solidFill>
              <w14:schemeClr w14:val="tx1"/>
            </w14:solidFill>
          </w14:textFill>
        </w:rPr>
      </w:pPr>
      <w:r>
        <w:rPr>
          <w:rFonts w:hint="eastAsia" w:ascii="宋体" w:hAnsi="宋体"/>
          <w:b/>
          <w:color w:val="000000" w:themeColor="text1"/>
          <w:sz w:val="100"/>
          <w:szCs w:val="100"/>
          <w14:textFill>
            <w14:solidFill>
              <w14:schemeClr w14:val="tx1"/>
            </w14:solidFill>
          </w14:textFill>
        </w:rPr>
        <w:t>竞争性磋商</w:t>
      </w:r>
      <w:r>
        <w:rPr>
          <w:rFonts w:ascii="宋体" w:hAnsi="宋体"/>
          <w:b/>
          <w:color w:val="000000" w:themeColor="text1"/>
          <w:sz w:val="100"/>
          <w:szCs w:val="100"/>
          <w14:textFill>
            <w14:solidFill>
              <w14:schemeClr w14:val="tx1"/>
            </w14:solidFill>
          </w14:textFill>
        </w:rPr>
        <w:t>文件</w:t>
      </w:r>
    </w:p>
    <w:p w14:paraId="7BF1B14D">
      <w:pPr>
        <w:pStyle w:val="3"/>
        <w:numPr>
          <w:ilvl w:val="1"/>
          <w:numId w:val="0"/>
        </w:numPr>
        <w:jc w:val="center"/>
        <w:rPr>
          <w:rFonts w:ascii="宋体" w:hAnsi="宋体" w:cs="宋体"/>
          <w:color w:val="000000" w:themeColor="text1"/>
          <w:sz w:val="28"/>
          <w:szCs w:val="28"/>
          <w14:textFill>
            <w14:solidFill>
              <w14:schemeClr w14:val="tx1"/>
            </w14:solidFill>
          </w14:textFill>
        </w:rPr>
      </w:pPr>
    </w:p>
    <w:p w14:paraId="2C7E3945">
      <w:pPr>
        <w:pStyle w:val="3"/>
        <w:numPr>
          <w:ilvl w:val="1"/>
          <w:numId w:val="0"/>
        </w:numPr>
        <w:jc w:val="center"/>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drawing>
          <wp:inline distT="0" distB="0" distL="114300" distR="114300">
            <wp:extent cx="3307080" cy="1374775"/>
            <wp:effectExtent l="0" t="0" r="7620" b="15875"/>
            <wp:docPr id="1" name="图片 1" descr="3172e00abdb54131b53ac91fddd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172e00abdb54131b53ac91fddd0013"/>
                    <pic:cNvPicPr>
                      <a:picLocks noChangeAspect="1"/>
                    </pic:cNvPicPr>
                  </pic:nvPicPr>
                  <pic:blipFill>
                    <a:blip r:embed="rId10"/>
                    <a:stretch>
                      <a:fillRect/>
                    </a:stretch>
                  </pic:blipFill>
                  <pic:spPr>
                    <a:xfrm>
                      <a:off x="0" y="0"/>
                      <a:ext cx="3307080" cy="1374775"/>
                    </a:xfrm>
                    <a:prstGeom prst="rect">
                      <a:avLst/>
                    </a:prstGeom>
                  </pic:spPr>
                </pic:pic>
              </a:graphicData>
            </a:graphic>
          </wp:inline>
        </w:drawing>
      </w:r>
    </w:p>
    <w:p w14:paraId="7718FD59"/>
    <w:p w14:paraId="5DC9D362">
      <w:pPr>
        <w:pStyle w:val="10"/>
        <w:rPr>
          <w:lang w:val="zh-CN"/>
        </w:rPr>
      </w:pPr>
    </w:p>
    <w:p w14:paraId="7206CB4B">
      <w:pPr>
        <w:autoSpaceDE w:val="0"/>
        <w:autoSpaceDN w:val="0"/>
        <w:adjustRightInd w:val="0"/>
        <w:spacing w:line="360" w:lineRule="auto"/>
        <w:rPr>
          <w:b/>
          <w:bCs/>
          <w:color w:val="000000" w:themeColor="text1"/>
          <w:kern w:val="0"/>
          <w:sz w:val="32"/>
          <w:szCs w:val="32"/>
          <w:lang w:val="zh-CN"/>
          <w14:textFill>
            <w14:solidFill>
              <w14:schemeClr w14:val="tx1"/>
            </w14:solidFill>
          </w14:textFill>
        </w:rPr>
      </w:pPr>
    </w:p>
    <w:p w14:paraId="5E621AEC">
      <w:pPr>
        <w:autoSpaceDE w:val="0"/>
        <w:autoSpaceDN w:val="0"/>
        <w:adjustRightInd w:val="0"/>
        <w:spacing w:line="360" w:lineRule="auto"/>
        <w:rPr>
          <w:b/>
          <w:bCs/>
          <w:color w:val="000000" w:themeColor="text1"/>
          <w:kern w:val="0"/>
          <w:sz w:val="32"/>
          <w:szCs w:val="32"/>
          <w:lang w:val="zh-CN"/>
          <w14:textFill>
            <w14:solidFill>
              <w14:schemeClr w14:val="tx1"/>
            </w14:solidFill>
          </w14:textFill>
        </w:rPr>
      </w:pPr>
    </w:p>
    <w:p w14:paraId="7F0EDBB4">
      <w:pPr>
        <w:autoSpaceDE w:val="0"/>
        <w:autoSpaceDN w:val="0"/>
        <w:adjustRightInd w:val="0"/>
        <w:spacing w:line="360" w:lineRule="auto"/>
        <w:ind w:firstLine="1285" w:firstLineChars="400"/>
        <w:rPr>
          <w:b/>
          <w:bCs/>
          <w:color w:val="000000" w:themeColor="text1"/>
          <w:kern w:val="0"/>
          <w:sz w:val="32"/>
          <w:szCs w:val="32"/>
          <w:lang w:val="zh-CN"/>
          <w14:textFill>
            <w14:solidFill>
              <w14:schemeClr w14:val="tx1"/>
            </w14:solidFill>
          </w14:textFill>
        </w:rPr>
      </w:pPr>
      <w:r>
        <w:rPr>
          <w:b/>
          <w:bCs/>
          <w:color w:val="000000" w:themeColor="text1"/>
          <w:kern w:val="0"/>
          <w:sz w:val="32"/>
          <w:szCs w:val="32"/>
          <w:lang w:val="zh-CN"/>
          <w14:textFill>
            <w14:solidFill>
              <w14:schemeClr w14:val="tx1"/>
            </w14:solidFill>
          </w14:textFill>
        </w:rPr>
        <w:t>采</w:t>
      </w:r>
      <w:r>
        <w:rPr>
          <w:rFonts w:hint="eastAsia"/>
          <w:b/>
          <w:bCs/>
          <w:color w:val="000000" w:themeColor="text1"/>
          <w:kern w:val="0"/>
          <w:sz w:val="32"/>
          <w:szCs w:val="32"/>
          <w14:textFill>
            <w14:solidFill>
              <w14:schemeClr w14:val="tx1"/>
            </w14:solidFill>
          </w14:textFill>
        </w:rPr>
        <w:t xml:space="preserve"> </w:t>
      </w:r>
      <w:r>
        <w:rPr>
          <w:b/>
          <w:bCs/>
          <w:color w:val="000000" w:themeColor="text1"/>
          <w:kern w:val="0"/>
          <w:sz w:val="32"/>
          <w:szCs w:val="32"/>
          <w:lang w:val="zh-CN"/>
          <w14:textFill>
            <w14:solidFill>
              <w14:schemeClr w14:val="tx1"/>
            </w14:solidFill>
          </w14:textFill>
        </w:rPr>
        <w:t>购</w:t>
      </w:r>
      <w:r>
        <w:rPr>
          <w:b/>
          <w:bCs/>
          <w:color w:val="000000" w:themeColor="text1"/>
          <w:kern w:val="0"/>
          <w:sz w:val="32"/>
          <w:szCs w:val="32"/>
          <w14:textFill>
            <w14:solidFill>
              <w14:schemeClr w14:val="tx1"/>
            </w14:solidFill>
          </w14:textFill>
        </w:rPr>
        <w:t xml:space="preserve"> </w:t>
      </w:r>
      <w:r>
        <w:rPr>
          <w:b/>
          <w:bCs/>
          <w:color w:val="000000" w:themeColor="text1"/>
          <w:kern w:val="0"/>
          <w:sz w:val="32"/>
          <w:szCs w:val="32"/>
          <w:lang w:val="zh-CN"/>
          <w14:textFill>
            <w14:solidFill>
              <w14:schemeClr w14:val="tx1"/>
            </w14:solidFill>
          </w14:textFill>
        </w:rPr>
        <w:t>人：</w:t>
      </w:r>
      <w:r>
        <w:rPr>
          <w:rFonts w:hint="eastAsia"/>
          <w:b/>
          <w:bCs/>
          <w:color w:val="000000" w:themeColor="text1"/>
          <w:kern w:val="0"/>
          <w:sz w:val="32"/>
          <w:szCs w:val="32"/>
          <w:lang w:val="zh-CN"/>
          <w14:textFill>
            <w14:solidFill>
              <w14:schemeClr w14:val="tx1"/>
            </w14:solidFill>
          </w14:textFill>
        </w:rPr>
        <w:t>安康市市政园林处</w:t>
      </w:r>
    </w:p>
    <w:p w14:paraId="6D8CE032">
      <w:pPr>
        <w:tabs>
          <w:tab w:val="left" w:pos="943"/>
        </w:tabs>
        <w:autoSpaceDE w:val="0"/>
        <w:autoSpaceDN w:val="0"/>
        <w:adjustRightInd w:val="0"/>
        <w:spacing w:line="360" w:lineRule="auto"/>
        <w:ind w:firstLine="964" w:firstLineChars="300"/>
        <w:rPr>
          <w:b/>
          <w:bCs/>
          <w:color w:val="000000" w:themeColor="text1"/>
          <w:kern w:val="0"/>
          <w:sz w:val="32"/>
          <w:szCs w:val="32"/>
          <w:lang w:val="zh-CN"/>
          <w14:textFill>
            <w14:solidFill>
              <w14:schemeClr w14:val="tx1"/>
            </w14:solidFill>
          </w14:textFill>
        </w:rPr>
      </w:pPr>
      <w:r>
        <w:rPr>
          <w:rFonts w:hint="eastAsia"/>
          <w:b/>
          <w:bCs/>
          <w:color w:val="000000" w:themeColor="text1"/>
          <w:kern w:val="0"/>
          <w:sz w:val="32"/>
          <w:szCs w:val="32"/>
          <w:lang w:val="zh-CN"/>
          <w14:textFill>
            <w14:solidFill>
              <w14:schemeClr w14:val="tx1"/>
            </w14:solidFill>
          </w14:textFill>
        </w:rPr>
        <w:tab/>
      </w:r>
      <w:r>
        <w:rPr>
          <w:rFonts w:hint="eastAsia"/>
          <w:b/>
          <w:bCs/>
          <w:color w:val="000000" w:themeColor="text1"/>
          <w:kern w:val="0"/>
          <w:sz w:val="32"/>
          <w:szCs w:val="32"/>
          <w:lang w:val="zh-CN"/>
          <w14:textFill>
            <w14:solidFill>
              <w14:schemeClr w14:val="tx1"/>
            </w14:solidFill>
          </w14:textFill>
        </w:rPr>
        <w:t>采购代理机构：陕西德丰盛和项目管理有限公司</w:t>
      </w:r>
    </w:p>
    <w:p w14:paraId="73AF6459">
      <w:pPr>
        <w:pStyle w:val="10"/>
        <w:ind w:firstLine="1285" w:firstLineChars="400"/>
        <w:rPr>
          <w:b/>
          <w:color w:val="000000" w:themeColor="text1"/>
          <w:sz w:val="40"/>
          <w:szCs w:val="30"/>
          <w14:textFill>
            <w14:solidFill>
              <w14:schemeClr w14:val="tx1"/>
            </w14:solidFill>
          </w14:textFill>
        </w:rPr>
        <w:sectPr>
          <w:headerReference r:id="rId3" w:type="default"/>
          <w:footerReference r:id="rId4" w:type="default"/>
          <w:footerReference r:id="rId5" w:type="even"/>
          <w:pgSz w:w="11849" w:h="16781"/>
          <w:pgMar w:top="1440" w:right="1080" w:bottom="1440" w:left="1080" w:header="851" w:footer="992" w:gutter="0"/>
          <w:pgNumType w:start="1"/>
          <w:cols w:space="720" w:num="1"/>
          <w:titlePg/>
          <w:docGrid w:linePitch="397" w:charSpace="0"/>
        </w:sectPr>
      </w:pPr>
      <w:r>
        <w:rPr>
          <w:rFonts w:ascii="宋体" w:hAnsi="宋体"/>
          <w:b/>
          <w:bCs/>
          <w:color w:val="000000" w:themeColor="text1"/>
          <w:sz w:val="32"/>
          <w:szCs w:val="32"/>
          <w14:textFill>
            <w14:solidFill>
              <w14:schemeClr w14:val="tx1"/>
            </w14:solidFill>
          </w14:textFill>
        </w:rPr>
        <w:t xml:space="preserve">日     </w:t>
      </w:r>
      <w:r>
        <w:rPr>
          <w:rFonts w:hint="eastAsia" w:ascii="宋体" w:hAnsi="宋体"/>
          <w:b/>
          <w:bCs/>
          <w:color w:val="000000" w:themeColor="text1"/>
          <w:sz w:val="32"/>
          <w:szCs w:val="32"/>
          <w14:textFill>
            <w14:solidFill>
              <w14:schemeClr w14:val="tx1"/>
            </w14:solidFill>
          </w14:textFill>
        </w:rPr>
        <w:t xml:space="preserve">   </w:t>
      </w:r>
      <w:r>
        <w:rPr>
          <w:rFonts w:ascii="宋体" w:hAnsi="宋体"/>
          <w:b/>
          <w:bCs/>
          <w:color w:val="000000" w:themeColor="text1"/>
          <w:sz w:val="32"/>
          <w:szCs w:val="32"/>
          <w14:textFill>
            <w14:solidFill>
              <w14:schemeClr w14:val="tx1"/>
            </w14:solidFill>
          </w14:textFill>
        </w:rPr>
        <w:t>期</w:t>
      </w:r>
      <w:r>
        <w:rPr>
          <w:rFonts w:hint="eastAsia" w:ascii="宋体" w:hAnsi="宋体"/>
          <w:b/>
          <w:bCs/>
          <w:color w:val="000000" w:themeColor="text1"/>
          <w:sz w:val="32"/>
          <w:szCs w:val="32"/>
          <w14:textFill>
            <w14:solidFill>
              <w14:schemeClr w14:val="tx1"/>
            </w14:solidFill>
          </w14:textFill>
        </w:rPr>
        <w:t>：</w:t>
      </w:r>
      <w:r>
        <w:rPr>
          <w:rFonts w:ascii="宋体" w:hAnsi="宋体"/>
          <w:b/>
          <w:bCs/>
          <w:color w:val="000000" w:themeColor="text1"/>
          <w:sz w:val="32"/>
          <w:szCs w:val="32"/>
          <w14:textFill>
            <w14:solidFill>
              <w14:schemeClr w14:val="tx1"/>
            </w14:solidFill>
          </w14:textFill>
        </w:rPr>
        <w:t>二〇</w:t>
      </w:r>
      <w:r>
        <w:rPr>
          <w:rFonts w:hint="eastAsia" w:ascii="宋体" w:hAnsi="宋体"/>
          <w:b/>
          <w:bCs/>
          <w:color w:val="000000" w:themeColor="text1"/>
          <w:sz w:val="32"/>
          <w:szCs w:val="32"/>
          <w14:textFill>
            <w14:solidFill>
              <w14:schemeClr w14:val="tx1"/>
            </w14:solidFill>
          </w14:textFill>
        </w:rPr>
        <w:t>二</w:t>
      </w:r>
      <w:r>
        <w:rPr>
          <w:rFonts w:hint="eastAsia" w:ascii="宋体" w:hAnsi="宋体"/>
          <w:b/>
          <w:bCs/>
          <w:color w:val="000000" w:themeColor="text1"/>
          <w:sz w:val="32"/>
          <w:szCs w:val="32"/>
          <w:lang w:val="en-US" w:eastAsia="zh-CN"/>
          <w14:textFill>
            <w14:solidFill>
              <w14:schemeClr w14:val="tx1"/>
            </w14:solidFill>
          </w14:textFill>
        </w:rPr>
        <w:t>六</w:t>
      </w:r>
      <w:r>
        <w:rPr>
          <w:rFonts w:ascii="宋体" w:hAnsi="宋体"/>
          <w:b/>
          <w:bCs/>
          <w:color w:val="000000" w:themeColor="text1"/>
          <w:sz w:val="32"/>
          <w:szCs w:val="32"/>
          <w14:textFill>
            <w14:solidFill>
              <w14:schemeClr w14:val="tx1"/>
            </w14:solidFill>
          </w14:textFill>
        </w:rPr>
        <w:t>年</w:t>
      </w:r>
      <w:r>
        <w:rPr>
          <w:rFonts w:hint="eastAsia" w:ascii="宋体" w:hAnsi="宋体"/>
          <w:b/>
          <w:bCs/>
          <w:color w:val="000000" w:themeColor="text1"/>
          <w:sz w:val="32"/>
          <w:szCs w:val="32"/>
          <w:lang w:val="en-US" w:eastAsia="zh-CN"/>
          <w14:textFill>
            <w14:solidFill>
              <w14:schemeClr w14:val="tx1"/>
            </w14:solidFill>
          </w14:textFill>
        </w:rPr>
        <w:t>九</w:t>
      </w:r>
      <w:r>
        <w:rPr>
          <w:rFonts w:ascii="宋体" w:hAnsi="宋体"/>
          <w:b/>
          <w:bCs/>
          <w:color w:val="000000" w:themeColor="text1"/>
          <w:sz w:val="32"/>
          <w:szCs w:val="32"/>
          <w14:textFill>
            <w14:solidFill>
              <w14:schemeClr w14:val="tx1"/>
            </w14:solidFill>
          </w14:textFill>
        </w:rPr>
        <w:t>月</w:t>
      </w:r>
    </w:p>
    <w:p w14:paraId="021EAD42">
      <w:pPr>
        <w:spacing w:line="360" w:lineRule="auto"/>
        <w:ind w:left="1470" w:leftChars="700"/>
        <w:jc w:val="center"/>
        <w:rPr>
          <w:rFonts w:ascii="宋体" w:hAnsi="宋体" w:cs="宋体"/>
          <w:b/>
          <w:color w:val="000000" w:themeColor="text1"/>
          <w:sz w:val="28"/>
          <w:szCs w:val="28"/>
          <w:lang w:val="zh-CN"/>
          <w14:textFill>
            <w14:solidFill>
              <w14:schemeClr w14:val="tx1"/>
            </w14:solidFill>
          </w14:textFill>
        </w:rPr>
      </w:pPr>
    </w:p>
    <w:p w14:paraId="76EB2279">
      <w:pPr>
        <w:spacing w:line="360" w:lineRule="auto"/>
        <w:jc w:val="center"/>
        <w:rPr>
          <w:rFonts w:ascii="宋体" w:hAnsi="宋体" w:cs="宋体"/>
          <w:b/>
          <w:color w:val="000000" w:themeColor="text1"/>
          <w:sz w:val="40"/>
          <w:szCs w:val="40"/>
          <w:lang w:val="zh-CN"/>
          <w14:textFill>
            <w14:solidFill>
              <w14:schemeClr w14:val="tx1"/>
            </w14:solidFill>
          </w14:textFill>
        </w:rPr>
      </w:pPr>
      <w:r>
        <w:rPr>
          <w:rFonts w:hint="eastAsia" w:ascii="宋体" w:hAnsi="宋体" w:cs="宋体"/>
          <w:b/>
          <w:color w:val="000000" w:themeColor="text1"/>
          <w:sz w:val="40"/>
          <w:szCs w:val="40"/>
          <w:lang w:val="zh-CN"/>
          <w14:textFill>
            <w14:solidFill>
              <w14:schemeClr w14:val="tx1"/>
            </w14:solidFill>
          </w14:textFill>
        </w:rPr>
        <w:t>目  录</w:t>
      </w:r>
    </w:p>
    <w:p w14:paraId="60D50E29">
      <w:pPr>
        <w:spacing w:line="360" w:lineRule="auto"/>
        <w:jc w:val="center"/>
        <w:rPr>
          <w:rFonts w:ascii="宋体" w:hAnsi="宋体" w:cs="宋体"/>
          <w:b/>
          <w:color w:val="000000" w:themeColor="text1"/>
          <w:sz w:val="40"/>
          <w:szCs w:val="40"/>
          <w:lang w:val="zh-CN"/>
          <w14:textFill>
            <w14:solidFill>
              <w14:schemeClr w14:val="tx1"/>
            </w14:solidFill>
          </w14:textFill>
        </w:rPr>
      </w:pPr>
    </w:p>
    <w:p w14:paraId="4B02A494">
      <w:pPr>
        <w:spacing w:line="360" w:lineRule="auto"/>
        <w:jc w:val="center"/>
        <w:rPr>
          <w:rFonts w:ascii="宋体" w:hAnsi="宋体" w:cs="宋体"/>
          <w:b/>
          <w:color w:val="000000" w:themeColor="text1"/>
          <w:sz w:val="40"/>
          <w:szCs w:val="40"/>
          <w:lang w:val="zh-CN"/>
          <w14:textFill>
            <w14:solidFill>
              <w14:schemeClr w14:val="tx1"/>
            </w14:solidFill>
          </w14:textFill>
        </w:rPr>
      </w:pPr>
    </w:p>
    <w:p w14:paraId="0692BF2D">
      <w:pPr>
        <w:spacing w:line="360" w:lineRule="auto"/>
        <w:ind w:left="1050" w:leftChars="500"/>
        <w:jc w:val="left"/>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第一章  竞争性磋商公告</w:t>
      </w:r>
    </w:p>
    <w:p w14:paraId="46116B73">
      <w:pPr>
        <w:spacing w:line="360" w:lineRule="auto"/>
        <w:ind w:left="1050" w:leftChars="500"/>
        <w:jc w:val="left"/>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第二章  磋商须知</w:t>
      </w:r>
    </w:p>
    <w:p w14:paraId="0C6F0EB0">
      <w:pPr>
        <w:spacing w:line="360" w:lineRule="auto"/>
        <w:ind w:left="1050" w:leftChars="500"/>
        <w:jc w:val="left"/>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第三章  商务条款</w:t>
      </w:r>
    </w:p>
    <w:p w14:paraId="426D7D2F">
      <w:pPr>
        <w:spacing w:line="360" w:lineRule="auto"/>
        <w:ind w:left="1050" w:leftChars="500"/>
        <w:jc w:val="left"/>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第四章  合同条款及格式</w:t>
      </w:r>
    </w:p>
    <w:p w14:paraId="31377729">
      <w:pPr>
        <w:spacing w:line="360" w:lineRule="auto"/>
        <w:ind w:left="1050" w:leftChars="500"/>
        <w:jc w:val="left"/>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第五章  响应性文件格式</w:t>
      </w:r>
    </w:p>
    <w:p w14:paraId="4F11A61D">
      <w:pPr>
        <w:spacing w:line="360" w:lineRule="auto"/>
        <w:jc w:val="center"/>
        <w:rPr>
          <w:rFonts w:ascii="宋体" w:hAnsi="宋体" w:cs="宋体"/>
          <w:b/>
          <w:color w:val="000000" w:themeColor="text1"/>
          <w:sz w:val="44"/>
          <w:szCs w:val="44"/>
          <w:lang w:val="zh-CN"/>
          <w14:textFill>
            <w14:solidFill>
              <w14:schemeClr w14:val="tx1"/>
            </w14:solidFill>
          </w14:textFill>
        </w:rPr>
      </w:pPr>
    </w:p>
    <w:p w14:paraId="14D6A996">
      <w:pPr>
        <w:spacing w:line="360" w:lineRule="auto"/>
        <w:rPr>
          <w:rFonts w:ascii="宋体" w:hAnsi="宋体" w:cs="宋体"/>
          <w:color w:val="000000" w:themeColor="text1"/>
          <w14:textFill>
            <w14:solidFill>
              <w14:schemeClr w14:val="tx1"/>
            </w14:solidFill>
          </w14:textFill>
        </w:rPr>
        <w:sectPr>
          <w:headerReference r:id="rId6" w:type="default"/>
          <w:footerReference r:id="rId7" w:type="default"/>
          <w:pgSz w:w="11906" w:h="16838"/>
          <w:pgMar w:top="1588" w:right="1474" w:bottom="1474" w:left="1588" w:header="851" w:footer="992" w:gutter="0"/>
          <w:pgNumType w:start="1"/>
          <w:cols w:space="720" w:num="1"/>
          <w:docGrid w:type="lines" w:linePitch="312" w:charSpace="0"/>
        </w:sectPr>
      </w:pPr>
    </w:p>
    <w:p w14:paraId="3BF1A144">
      <w:pPr>
        <w:pStyle w:val="2"/>
        <w:spacing w:before="120" w:after="120" w:line="360" w:lineRule="exact"/>
        <w:jc w:val="center"/>
        <w:rPr>
          <w:rFonts w:ascii="宋体" w:hAnsi="宋体" w:cs="宋体"/>
          <w:color w:val="000000" w:themeColor="text1"/>
          <w:sz w:val="40"/>
          <w:szCs w:val="40"/>
          <w14:textFill>
            <w14:solidFill>
              <w14:schemeClr w14:val="tx1"/>
            </w14:solidFill>
          </w14:textFill>
        </w:rPr>
      </w:pPr>
      <w:bookmarkStart w:id="0" w:name="_Toc60537403"/>
      <w:bookmarkStart w:id="1" w:name="_Toc7089"/>
      <w:bookmarkStart w:id="2" w:name="_Toc428365917"/>
      <w:bookmarkStart w:id="3" w:name="_Toc7233"/>
      <w:r>
        <w:rPr>
          <w:rFonts w:hint="eastAsia" w:ascii="宋体" w:hAnsi="宋体" w:cs="宋体"/>
          <w:color w:val="000000" w:themeColor="text1"/>
          <w:sz w:val="40"/>
          <w:szCs w:val="40"/>
          <w14:textFill>
            <w14:solidFill>
              <w14:schemeClr w14:val="tx1"/>
            </w14:solidFill>
          </w14:textFill>
        </w:rPr>
        <w:t xml:space="preserve">第一章  </w:t>
      </w:r>
      <w:bookmarkEnd w:id="0"/>
      <w:bookmarkEnd w:id="1"/>
      <w:bookmarkEnd w:id="2"/>
      <w:bookmarkEnd w:id="3"/>
      <w:bookmarkStart w:id="4" w:name="_Toc25250"/>
      <w:bookmarkStart w:id="5" w:name="_Toc10465"/>
      <w:bookmarkStart w:id="6" w:name="_Toc428365918"/>
      <w:r>
        <w:rPr>
          <w:rFonts w:hint="eastAsia" w:ascii="宋体" w:hAnsi="宋体" w:cs="宋体"/>
          <w:color w:val="000000" w:themeColor="text1"/>
          <w:sz w:val="40"/>
          <w:szCs w:val="40"/>
          <w14:textFill>
            <w14:solidFill>
              <w14:schemeClr w14:val="tx1"/>
            </w14:solidFill>
          </w14:textFill>
        </w:rPr>
        <w:t>竞争性磋商公告</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9061"/>
      </w:tblGrid>
      <w:tr w14:paraId="3BCD0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9061" w:type="dxa"/>
          </w:tcPr>
          <w:p w14:paraId="432BAE2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400" w:lineRule="exact"/>
              <w:ind w:left="0" w:right="0"/>
              <w:jc w:val="left"/>
              <w:textAlignment w:val="baseline"/>
              <w:rPr>
                <w:rFonts w:hint="eastAsia" w:ascii="宋体" w:hAnsi="宋体" w:eastAsia="宋体" w:cs="宋体"/>
                <w:b w:val="0"/>
                <w:bCs w:val="0"/>
                <w:sz w:val="24"/>
                <w:szCs w:val="24"/>
              </w:rPr>
            </w:pPr>
            <w:r>
              <w:rPr>
                <w:rStyle w:val="26"/>
                <w:rFonts w:hint="eastAsia" w:ascii="宋体" w:hAnsi="宋体" w:eastAsia="宋体" w:cs="宋体"/>
                <w:b/>
                <w:bCs/>
                <w:i w:val="0"/>
                <w:iCs w:val="0"/>
                <w:caps w:val="0"/>
                <w:color w:val="333333"/>
                <w:spacing w:val="0"/>
                <w:sz w:val="24"/>
                <w:szCs w:val="24"/>
                <w:shd w:val="clear" w:fill="FFFFFF"/>
                <w:vertAlign w:val="baseline"/>
              </w:rPr>
              <w:t>项目概况</w:t>
            </w:r>
          </w:p>
          <w:p w14:paraId="2101D67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400" w:lineRule="exact"/>
              <w:ind w:left="0" w:right="0" w:firstLine="480"/>
              <w:jc w:val="both"/>
              <w:textAlignment w:val="baseline"/>
              <w:rPr>
                <w:rStyle w:val="26"/>
                <w:rFonts w:hint="eastAsia" w:ascii="宋体" w:hAnsi="宋体" w:eastAsia="宋体" w:cs="宋体"/>
                <w:b/>
                <w:bCs/>
                <w:i w:val="0"/>
                <w:iCs w:val="0"/>
                <w:caps w:val="0"/>
                <w:color w:val="333333"/>
                <w:spacing w:val="0"/>
                <w:sz w:val="24"/>
                <w:szCs w:val="24"/>
                <w:bdr w:val="none" w:color="auto" w:sz="0" w:space="0"/>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2026年安康中心城区市政排水设施病媒生物防制消杀项目采购项目的潜在供应商应在陕西省安康市汉滨区瀛湖路151号馨康佳苑二单元1603室获取采购文件，并于2026年09月14日10时00分（北京时间）前提交响应文件。</w:t>
            </w:r>
          </w:p>
        </w:tc>
      </w:tr>
    </w:tbl>
    <w:p w14:paraId="4722EB4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bdr w:val="none" w:color="auto" w:sz="0" w:space="0"/>
          <w:shd w:val="clear" w:fill="FFFFFF"/>
          <w:vertAlign w:val="baseline"/>
        </w:rPr>
        <w:t>一、项目基本情况</w:t>
      </w:r>
    </w:p>
    <w:p w14:paraId="056B26F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项目编号：SXDFSH-2026041</w:t>
      </w:r>
    </w:p>
    <w:p w14:paraId="7F5A4B0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项目名称：2026年安康中心城区市政排水设施病媒生物防制消杀项目</w:t>
      </w:r>
    </w:p>
    <w:p w14:paraId="0BB4D62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采购方式：竞争性磋商</w:t>
      </w:r>
    </w:p>
    <w:p w14:paraId="019D1BA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预算金额：231,500.00元</w:t>
      </w:r>
    </w:p>
    <w:p w14:paraId="1925150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采购需求：</w:t>
      </w:r>
    </w:p>
    <w:p w14:paraId="0DB22FD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合同包1(2026年安康中心城区市政排水设施病媒生物防制消杀项目):</w:t>
      </w:r>
    </w:p>
    <w:p w14:paraId="1DCAF00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合同包预算金额：231,500.00元</w:t>
      </w:r>
    </w:p>
    <w:p w14:paraId="5C5E11A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合同包最高限价：231,500.00元</w:t>
      </w:r>
    </w:p>
    <w:tbl>
      <w:tblPr>
        <w:tblW w:w="97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597"/>
        <w:gridCol w:w="1743"/>
        <w:gridCol w:w="3881"/>
        <w:gridCol w:w="813"/>
        <w:gridCol w:w="1282"/>
        <w:gridCol w:w="1440"/>
      </w:tblGrid>
      <w:tr w14:paraId="18362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1030" w:hRule="atLeast"/>
          <w:tblHeader/>
        </w:trPr>
        <w:tc>
          <w:tcPr>
            <w:tcW w:w="68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D02E5E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品目号</w:t>
            </w:r>
          </w:p>
        </w:tc>
        <w:tc>
          <w:tcPr>
            <w:tcW w:w="227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4237C8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品目名称</w:t>
            </w:r>
          </w:p>
        </w:tc>
        <w:tc>
          <w:tcPr>
            <w:tcW w:w="314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78D25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采购标的</w:t>
            </w:r>
          </w:p>
        </w:tc>
        <w:tc>
          <w:tcPr>
            <w:tcW w:w="87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C8EE0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数量（单位）</w:t>
            </w:r>
          </w:p>
        </w:tc>
        <w:tc>
          <w:tcPr>
            <w:tcW w:w="160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77D6C1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技术规格、参数及要求</w:t>
            </w:r>
          </w:p>
        </w:tc>
        <w:tc>
          <w:tcPr>
            <w:tcW w:w="117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042096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品目预算(元)</w:t>
            </w:r>
          </w:p>
        </w:tc>
      </w:tr>
      <w:tr w14:paraId="30909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9EE00C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767102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其他公共设施管理服务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C9D88B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2026年安康中心城区市政排水设施病媒生物防制消杀项目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DB5017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8FF764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6E300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vertAlign w:val="baseline"/>
                <w:lang w:val="en-US" w:eastAsia="zh-CN" w:bidi="ar"/>
              </w:rPr>
              <w:t>231,500.00</w:t>
            </w:r>
          </w:p>
        </w:tc>
      </w:tr>
    </w:tbl>
    <w:p w14:paraId="2198C26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本合同包不接受联合体投标</w:t>
      </w:r>
    </w:p>
    <w:p w14:paraId="088292E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合同履行期限：365日历天，自合同签订之日起计算。</w:t>
      </w:r>
    </w:p>
    <w:p w14:paraId="4414C10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bdr w:val="none" w:color="auto" w:sz="0" w:space="0"/>
          <w:shd w:val="clear" w:fill="FFFFFF"/>
          <w:vertAlign w:val="baseline"/>
        </w:rPr>
        <w:t>二、申请人的资格要求：</w:t>
      </w:r>
    </w:p>
    <w:p w14:paraId="58502F1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1.满足《中华人民共和国政府采购法》第二十二条规定;</w:t>
      </w:r>
    </w:p>
    <w:p w14:paraId="537D0D2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2.落实政府采购政策需满足的资格要求：</w:t>
      </w:r>
    </w:p>
    <w:p w14:paraId="6C6AB91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合同包1(2026年安康中心城区市政排水设施病媒生物防制消杀项目)落实政府采购政策需满足的资格要求如下:</w:t>
      </w:r>
    </w:p>
    <w:p w14:paraId="219F743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48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专门面向中小企业采购。</w:t>
      </w:r>
    </w:p>
    <w:p w14:paraId="38FA60A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3.本项目的特定资格要求：</w:t>
      </w:r>
    </w:p>
    <w:p w14:paraId="78CF739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合同包1(2026年安康中心城区市政排水设施病媒生物防制消杀项目)特定资格要求如下:</w:t>
      </w:r>
    </w:p>
    <w:p w14:paraId="52ACAEB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right="0" w:firstLine="480" w:firstLineChars="20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1）具有独立承担民事责任的能力，提供营业执照、税务登记证、组织机构代码证或登载有统一社会信用代码的营业执照（或《事业单位法人证书》或其他合法组织登记证书、自然人只须提交身份证复印件）。（2）提供法定代表人授权书（附法定代表人身份证复印件）及被授权代表身份证复印件（法定代表人直接参加只须提供法定代表人身份证复印件）。（3）有依法缴纳税收和社会保障资金的良好记录：提供2026年1月至今至少一个月的完税证明（依法免税的供应商应提供相关文件证明）；2026年1月至今至少一个月的已缴纳社会保险的证明（专用收据或社会保险缴纳清单或社保缴纳证明，依法不需要缴纳社会保障资金的供应商应提供相关文件证明）。（4）财务状况报告：提供2025年经审计的财务审计报告（成立时间至提交投标响应文件截止时间不足1年的可提供成立后任意时段的资产负债表）或开标前6个月内其基本账户开户银行出具的资信证明。（5）参加政府采购活动前三年内，在经营活动中没有重大违法记录声明；（提供自述材料）。（6）本项目不接受联合体投标；单位负责人为同一人或者存在直接控股、管理关系的不同投标人，不得参加该项目的政府采购活动。（7）本项目专门面向中小企业采购，供应商须提供《中小企业声明函》；供应商为监狱企业的视同小型和微型企业，须提供由省级以上监狱管理局、戒毒管理局（含新疆生产建设兵团）出具的属于监狱企业的证明文件。供应商为残疾人福利性单位的视同小型和微型企业，须提供《残疾人福利性单位声明函》。</w:t>
      </w:r>
    </w:p>
    <w:p w14:paraId="21708AE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bdr w:val="none" w:color="auto" w:sz="0" w:space="0"/>
          <w:shd w:val="clear" w:fill="FFFFFF"/>
          <w:vertAlign w:val="baseline"/>
        </w:rPr>
        <w:t>三、获取采购文件</w:t>
      </w:r>
    </w:p>
    <w:p w14:paraId="1EF88B6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时间：2026年09月03日至2026年09月09日，每天上午08:00:00至12:00:00，下午14:00:00至18:00:00 （北京时间）</w:t>
      </w:r>
    </w:p>
    <w:p w14:paraId="3D247ED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途径：陕西省安康市汉滨区瀛湖路151号馨康佳苑二单元1603室</w:t>
      </w:r>
    </w:p>
    <w:p w14:paraId="2D63A76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方式：现场获取</w:t>
      </w:r>
    </w:p>
    <w:p w14:paraId="4159C6D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售价：0元</w:t>
      </w:r>
    </w:p>
    <w:p w14:paraId="45C88E9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bdr w:val="none" w:color="auto" w:sz="0" w:space="0"/>
          <w:shd w:val="clear" w:fill="FFFFFF"/>
          <w:vertAlign w:val="baseline"/>
        </w:rPr>
        <w:t>四、响应文件提交</w:t>
      </w:r>
    </w:p>
    <w:p w14:paraId="4B4F178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截止时间：2026年09月14日 10时00分00秒 （北京时间）</w:t>
      </w:r>
    </w:p>
    <w:p w14:paraId="7C0F473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地点：陕西德丰盛和项目管理有限公司会议室</w:t>
      </w:r>
    </w:p>
    <w:p w14:paraId="11E4B0E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bdr w:val="none" w:color="auto" w:sz="0" w:space="0"/>
          <w:shd w:val="clear" w:fill="FFFFFF"/>
          <w:vertAlign w:val="baseline"/>
        </w:rPr>
        <w:t>五、开启</w:t>
      </w:r>
    </w:p>
    <w:p w14:paraId="6451243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时间：2026年09月14日 10时00分00秒 （北京时间）</w:t>
      </w:r>
    </w:p>
    <w:p w14:paraId="551E2FF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地点：陕西德丰盛和项目管理有限公司会议室</w:t>
      </w:r>
    </w:p>
    <w:p w14:paraId="69E68A0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bdr w:val="none" w:color="auto" w:sz="0" w:space="0"/>
          <w:shd w:val="clear" w:fill="FFFFFF"/>
          <w:vertAlign w:val="baseline"/>
        </w:rPr>
        <w:t>六、公告期限</w:t>
      </w:r>
    </w:p>
    <w:p w14:paraId="78DE467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自本公告发布之日起3个工作日。</w:t>
      </w:r>
    </w:p>
    <w:p w14:paraId="3DB44CD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bdr w:val="none" w:color="auto" w:sz="0" w:space="0"/>
          <w:shd w:val="clear" w:fill="FFFFFF"/>
          <w:vertAlign w:val="baseline"/>
        </w:rPr>
        <w:t>七、其他补充事宜</w:t>
      </w:r>
    </w:p>
    <w:p w14:paraId="7D3DB4C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0" w:afterAutospacing="0" w:line="400" w:lineRule="exact"/>
        <w:ind w:left="0" w:right="0" w:firstLine="480" w:firstLineChars="200"/>
        <w:jc w:val="left"/>
        <w:textAlignment w:val="baseline"/>
        <w:rPr>
          <w:rFonts w:hint="eastAsia" w:ascii="宋体" w:hAnsi="宋体" w:eastAsia="宋体" w:cs="宋体"/>
          <w:b w:val="0"/>
          <w:bCs w:val="0"/>
          <w:sz w:val="24"/>
          <w:szCs w:val="24"/>
        </w:rPr>
      </w:pPr>
      <w:r>
        <w:rPr>
          <w:rStyle w:val="26"/>
          <w:rFonts w:hint="eastAsia" w:ascii="宋体" w:hAnsi="宋体" w:eastAsia="宋体" w:cs="宋体"/>
          <w:b w:val="0"/>
          <w:bCs w:val="0"/>
          <w:i w:val="0"/>
          <w:iCs w:val="0"/>
          <w:caps w:val="0"/>
          <w:color w:val="333333"/>
          <w:spacing w:val="0"/>
          <w:sz w:val="24"/>
          <w:szCs w:val="24"/>
          <w:bdr w:val="none" w:color="auto" w:sz="0" w:space="0"/>
          <w:shd w:val="clear" w:fill="FFFFFF"/>
          <w:vertAlign w:val="baseline"/>
        </w:rPr>
        <w:t>（1）财政部、工业和信息化部关于印发《政府采购促进中小企业发展管理办法》的通知－财库〔2020〕46号；（2）关于进一步加大政府采购支持中小企业力度的通知－财库〔2022〕19号；（3）财政部 司法部关于政府采购支持监狱企业发展有关问题的通知－财库〔2014〕68号；（4）财政部 民政部 中国残疾人联合会关于促进残疾人就业政府采购政策的通知－财库〔2017〕141号；（5）关于调整优化节能产品、环境标志产品政府采购执行机制的通知－财库〔2019〕9号；（6）财政部生态 环境部关于印发环境标志产品政府采购品目清单的通知－财库〔2019〕18号；（7）财政部发展改革委关于印发节能产品政府采购品目清单的通知－财库〔2019〕19号；（8）财政部 农业农村部 国家乡村振兴局关于运用政府采购政策支持乡村产业振兴的通知－财库〔2021〕19 号；（9）财政部、农业农村部、国家乡村振兴局、中华全国供销合作总社关于印发《关于深入开展政府采购脱贫地区农副产品工作推进乡村产业振兴的实施意见》的通知－财库〔2021〕20号；（10）陕西省财政厅关于落实政府采购支持中小企业政策有关事项的通知－陕财办采函〔2022〕10 号；（11）陕西省财政厅关于进一步加强政府绿色采购有关问题的通知－陕财办采〔2021〕29号；（12）陕西省财政厅关于印发《陕西省中小企业政府采购信用融资办法》-陕财办采〔2018〕23号；（13）陕西省财政厅关于加快推进我省中小企业政府采购信用融资工作的通知－陕财办采〔2020〕15号；（14）陕西省财政厅 中国人民银行西安分行关于深入推进政府采购信用融资业务的通知－陕财办采〔2023〕5号；（15）《财政部 工业和信息化部关于贯彻落实〈国务院办公厅关于在政府采购中实施本国产品标准及相关政策的通知〉的意见》（财库〔2025〕30 号）；（16）《关于推动解决政府采购异常低价问题的通知》（财库〔2026〕 2号）；（17）如有最新颁布的政府采购政策，按最新的文件执行。</w:t>
      </w:r>
    </w:p>
    <w:p w14:paraId="009C519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0" w:afterAutospacing="0" w:line="400" w:lineRule="exact"/>
        <w:ind w:left="0" w:right="0" w:firstLine="482" w:firstLineChars="200"/>
        <w:jc w:val="left"/>
        <w:textAlignment w:val="baseline"/>
        <w:rPr>
          <w:rFonts w:hint="eastAsia" w:ascii="宋体" w:hAnsi="宋体" w:eastAsia="宋体" w:cs="宋体"/>
          <w:b w:val="0"/>
          <w:bCs w:val="0"/>
          <w:sz w:val="24"/>
          <w:szCs w:val="24"/>
        </w:rPr>
      </w:pPr>
      <w:r>
        <w:rPr>
          <w:rStyle w:val="26"/>
          <w:rFonts w:hint="eastAsia" w:ascii="宋体" w:hAnsi="宋体" w:eastAsia="宋体" w:cs="宋体"/>
          <w:b/>
          <w:bCs/>
          <w:i w:val="0"/>
          <w:iCs w:val="0"/>
          <w:caps w:val="0"/>
          <w:color w:val="333333"/>
          <w:spacing w:val="0"/>
          <w:sz w:val="24"/>
          <w:szCs w:val="24"/>
          <w:bdr w:val="none" w:color="auto" w:sz="0" w:space="0"/>
          <w:shd w:val="clear" w:fill="FFFFFF"/>
          <w:vertAlign w:val="baseline"/>
        </w:rPr>
        <w:t>注：（1）获取须知：投标供应商请在文件获取时间以内将单位介绍信（备注经办人联系电话及电子邮箱）、法人授权委托书及身份证复印件并加盖公章递交至陕西德丰盛和项目管理有限公司（陕西省安康市汉滨区瀛湖路151号馨康佳苑二单元1603室），确认完毕后采购代理机构将通过邮箱传送磋商文件，请注意查收。（2）本项目采购公告在陕西省政府采购网（网址：http://www.ccgp-shaanxi.gov.cn/）发布，请供应商按照陕西省财政厅关于政府采购供应商注册登记有关事项的通知中的要求，通过陕西省政府采购网（http://www.ccgp-shaanxi.gov.cn/）注册登记加入陕西省政府采购供应商库。</w:t>
      </w:r>
    </w:p>
    <w:p w14:paraId="16B354A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 </w:t>
      </w:r>
    </w:p>
    <w:p w14:paraId="002AB87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exact"/>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6"/>
          <w:rFonts w:hint="eastAsia" w:ascii="宋体" w:hAnsi="宋体" w:eastAsia="宋体" w:cs="宋体"/>
          <w:b/>
          <w:bCs/>
          <w:i w:val="0"/>
          <w:iCs w:val="0"/>
          <w:caps w:val="0"/>
          <w:color w:val="333333"/>
          <w:spacing w:val="0"/>
          <w:sz w:val="24"/>
          <w:szCs w:val="24"/>
          <w:bdr w:val="none" w:color="auto" w:sz="0" w:space="0"/>
          <w:shd w:val="clear" w:fill="FFFFFF"/>
          <w:vertAlign w:val="baseline"/>
        </w:rPr>
        <w:t>八、对本次招标提出询问，请按以下方式联系。</w:t>
      </w:r>
    </w:p>
    <w:p w14:paraId="6A1F2DD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vertAlign w:val="baseline"/>
        </w:rPr>
        <w:t>1.采购人信息</w:t>
      </w:r>
    </w:p>
    <w:p w14:paraId="174199B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名称：安康市市政园林处</w:t>
      </w:r>
    </w:p>
    <w:p w14:paraId="4E081CB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地址：安康市汉滨区滨江大道1号建设大厦</w:t>
      </w:r>
    </w:p>
    <w:p w14:paraId="022EE4B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联系方式：0915-3230552</w:t>
      </w:r>
    </w:p>
    <w:p w14:paraId="4F18711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vertAlign w:val="baseline"/>
        </w:rPr>
        <w:t>2.采购代理机构信息</w:t>
      </w:r>
    </w:p>
    <w:p w14:paraId="1C72454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名称：陕西德丰盛和项目管理有限公司</w:t>
      </w:r>
    </w:p>
    <w:p w14:paraId="3D03C69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地址：陕西省安康市汉滨区瀛湖路151号馨康佳苑二单元1603室</w:t>
      </w:r>
    </w:p>
    <w:p w14:paraId="0E468A8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联系方式：13038911166</w:t>
      </w:r>
    </w:p>
    <w:p w14:paraId="687DB55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vertAlign w:val="baseline"/>
        </w:rPr>
        <w:t>3.项目联系方式</w:t>
      </w:r>
    </w:p>
    <w:p w14:paraId="152291D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项目联系人：陕西德丰盛和项目管理有限公司</w:t>
      </w:r>
    </w:p>
    <w:p w14:paraId="20FF9A2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电话：13038911166</w:t>
      </w:r>
    </w:p>
    <w:p w14:paraId="0561DC3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exact"/>
        <w:ind w:left="0" w:right="0" w:firstLine="480"/>
        <w:jc w:val="right"/>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陕西德丰盛和项目管理有限公司</w:t>
      </w:r>
    </w:p>
    <w:p w14:paraId="0E2F553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exact"/>
        <w:ind w:left="0" w:right="0" w:firstLine="480"/>
        <w:jc w:val="right"/>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vertAlign w:val="baseline"/>
        </w:rPr>
        <w:t>2026年09月02日</w:t>
      </w:r>
    </w:p>
    <w:p w14:paraId="7A44B201">
      <w:pPr>
        <w:pStyle w:val="19"/>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center"/>
        <w:textAlignment w:val="baseline"/>
        <w:rPr>
          <w:color w:val="000000" w:themeColor="text1"/>
          <w14:textFill>
            <w14:solidFill>
              <w14:schemeClr w14:val="tx1"/>
            </w14:solidFill>
          </w14:textFill>
        </w:rPr>
      </w:pPr>
    </w:p>
    <w:p w14:paraId="6B120ECA">
      <w:pPr>
        <w:pStyle w:val="19"/>
        <w:shd w:val="clear" w:color="auto" w:fill="FFFFFF"/>
        <w:spacing w:before="150" w:line="460" w:lineRule="exact"/>
        <w:rPr>
          <w:rFonts w:hint="eastAsia"/>
        </w:rPr>
      </w:pPr>
    </w:p>
    <w:p w14:paraId="24479921">
      <w:pPr>
        <w:pStyle w:val="2"/>
        <w:spacing w:line="360" w:lineRule="auto"/>
        <w:jc w:val="both"/>
        <w:rPr>
          <w:rFonts w:hint="eastAsia" w:ascii="宋体" w:hAnsi="宋体" w:cs="宋体"/>
          <w:color w:val="000000" w:themeColor="text1"/>
          <w:sz w:val="36"/>
          <w:szCs w:val="36"/>
          <w14:textFill>
            <w14:solidFill>
              <w14:schemeClr w14:val="tx1"/>
            </w14:solidFill>
          </w14:textFill>
        </w:rPr>
      </w:pPr>
    </w:p>
    <w:p w14:paraId="424E8B8A">
      <w:pPr>
        <w:rPr>
          <w:rFonts w:hint="eastAsia"/>
        </w:rPr>
      </w:pPr>
    </w:p>
    <w:p w14:paraId="7FD00A66">
      <w:pPr>
        <w:pStyle w:val="2"/>
        <w:spacing w:line="360" w:lineRule="auto"/>
        <w:jc w:val="center"/>
        <w:rPr>
          <w:rFonts w:hint="eastAsia" w:ascii="宋体" w:hAnsi="宋体" w:cs="宋体"/>
          <w:color w:val="000000" w:themeColor="text1"/>
          <w:sz w:val="36"/>
          <w:szCs w:val="36"/>
          <w14:textFill>
            <w14:solidFill>
              <w14:schemeClr w14:val="tx1"/>
            </w14:solidFill>
          </w14:textFill>
        </w:rPr>
      </w:pPr>
    </w:p>
    <w:p w14:paraId="75EC06CD">
      <w:pPr>
        <w:pStyle w:val="2"/>
        <w:spacing w:line="360" w:lineRule="auto"/>
        <w:jc w:val="both"/>
        <w:rPr>
          <w:rFonts w:hint="eastAsia" w:ascii="宋体" w:hAnsi="宋体" w:cs="宋体"/>
          <w:color w:val="000000" w:themeColor="text1"/>
          <w:sz w:val="36"/>
          <w:szCs w:val="36"/>
          <w14:textFill>
            <w14:solidFill>
              <w14:schemeClr w14:val="tx1"/>
            </w14:solidFill>
          </w14:textFill>
        </w:rPr>
      </w:pPr>
    </w:p>
    <w:p w14:paraId="09F2803D">
      <w:pPr>
        <w:rPr>
          <w:rFonts w:hint="eastAsia" w:ascii="宋体" w:hAnsi="宋体" w:cs="宋体"/>
          <w:color w:val="000000" w:themeColor="text1"/>
          <w:sz w:val="36"/>
          <w:szCs w:val="36"/>
          <w14:textFill>
            <w14:solidFill>
              <w14:schemeClr w14:val="tx1"/>
            </w14:solidFill>
          </w14:textFill>
        </w:rPr>
      </w:pPr>
    </w:p>
    <w:p w14:paraId="3D738B59">
      <w:pPr>
        <w:rPr>
          <w:rFonts w:hint="eastAsia" w:ascii="宋体" w:hAnsi="宋体" w:cs="宋体"/>
          <w:color w:val="000000" w:themeColor="text1"/>
          <w:sz w:val="36"/>
          <w:szCs w:val="36"/>
          <w14:textFill>
            <w14:solidFill>
              <w14:schemeClr w14:val="tx1"/>
            </w14:solidFill>
          </w14:textFill>
        </w:rPr>
      </w:pPr>
    </w:p>
    <w:p w14:paraId="3262723E">
      <w:pPr>
        <w:rPr>
          <w:rFonts w:hint="eastAsia" w:ascii="宋体" w:hAnsi="宋体" w:cs="宋体"/>
          <w:color w:val="000000" w:themeColor="text1"/>
          <w:sz w:val="36"/>
          <w:szCs w:val="36"/>
          <w14:textFill>
            <w14:solidFill>
              <w14:schemeClr w14:val="tx1"/>
            </w14:solidFill>
          </w14:textFill>
        </w:rPr>
      </w:pPr>
    </w:p>
    <w:p w14:paraId="4A622355">
      <w:pPr>
        <w:rPr>
          <w:rFonts w:hint="eastAsia" w:ascii="宋体" w:hAnsi="宋体" w:cs="宋体"/>
          <w:color w:val="000000" w:themeColor="text1"/>
          <w:sz w:val="36"/>
          <w:szCs w:val="36"/>
          <w14:textFill>
            <w14:solidFill>
              <w14:schemeClr w14:val="tx1"/>
            </w14:solidFill>
          </w14:textFill>
        </w:rPr>
      </w:pPr>
    </w:p>
    <w:p w14:paraId="56516137">
      <w:pPr>
        <w:rPr>
          <w:rFonts w:hint="eastAsia" w:ascii="宋体" w:hAnsi="宋体" w:cs="宋体"/>
          <w:color w:val="000000" w:themeColor="text1"/>
          <w:sz w:val="36"/>
          <w:szCs w:val="36"/>
          <w14:textFill>
            <w14:solidFill>
              <w14:schemeClr w14:val="tx1"/>
            </w14:solidFill>
          </w14:textFill>
        </w:rPr>
      </w:pPr>
    </w:p>
    <w:p w14:paraId="57F7E03F">
      <w:pPr>
        <w:rPr>
          <w:rFonts w:hint="eastAsia" w:ascii="宋体" w:hAnsi="宋体" w:cs="宋体"/>
          <w:color w:val="000000" w:themeColor="text1"/>
          <w:sz w:val="36"/>
          <w:szCs w:val="36"/>
          <w14:textFill>
            <w14:solidFill>
              <w14:schemeClr w14:val="tx1"/>
            </w14:solidFill>
          </w14:textFill>
        </w:rPr>
      </w:pPr>
    </w:p>
    <w:p w14:paraId="661B3AF7">
      <w:pPr>
        <w:pStyle w:val="2"/>
        <w:spacing w:line="360" w:lineRule="auto"/>
        <w:jc w:val="center"/>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第二章  磋商</w:t>
      </w:r>
      <w:bookmarkStart w:id="82" w:name="_GoBack"/>
      <w:bookmarkEnd w:id="82"/>
      <w:r>
        <w:rPr>
          <w:rFonts w:hint="eastAsia" w:ascii="宋体" w:hAnsi="宋体" w:cs="宋体"/>
          <w:color w:val="000000" w:themeColor="text1"/>
          <w:sz w:val="36"/>
          <w:szCs w:val="36"/>
          <w14:textFill>
            <w14:solidFill>
              <w14:schemeClr w14:val="tx1"/>
            </w14:solidFill>
          </w14:textFill>
        </w:rPr>
        <w:t>须知</w:t>
      </w:r>
      <w:bookmarkEnd w:id="4"/>
      <w:bookmarkEnd w:id="5"/>
      <w:bookmarkEnd w:id="6"/>
    </w:p>
    <w:p w14:paraId="6FB58F31">
      <w:pPr>
        <w:adjustRightInd w:val="0"/>
        <w:snapToGrid w:val="0"/>
        <w:spacing w:line="480" w:lineRule="exact"/>
        <w:textAlignment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一、总则</w:t>
      </w:r>
    </w:p>
    <w:p w14:paraId="7E6A4E3E">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 本项目为</w:t>
      </w:r>
      <w:r>
        <w:rPr>
          <w:rFonts w:hint="eastAsia" w:ascii="宋体" w:hAnsi="宋体" w:cs="宋体"/>
          <w:color w:val="000000" w:themeColor="text1"/>
          <w:sz w:val="24"/>
          <w:szCs w:val="24"/>
          <w:lang w:eastAsia="zh-CN"/>
          <w14:textFill>
            <w14:solidFill>
              <w14:schemeClr w14:val="tx1"/>
            </w14:solidFill>
          </w14:textFill>
        </w:rPr>
        <w:t>2026年安康中心城区市政排水设施病媒生物防制消杀项目</w:t>
      </w:r>
      <w:r>
        <w:rPr>
          <w:rFonts w:hint="eastAsia" w:ascii="宋体" w:hAnsi="宋体" w:cs="宋体"/>
          <w:color w:val="000000" w:themeColor="text1"/>
          <w:sz w:val="24"/>
          <w:szCs w:val="24"/>
          <w14:textFill>
            <w14:solidFill>
              <w14:schemeClr w14:val="tx1"/>
            </w14:solidFill>
          </w14:textFill>
        </w:rPr>
        <w:t>进行的服务采购。</w:t>
      </w:r>
    </w:p>
    <w:p w14:paraId="3C8E5C4A">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 本文件仅适用于本次竞争性磋商公告中所述的服务类政府采购项目。</w:t>
      </w:r>
    </w:p>
    <w:p w14:paraId="55FB06E7">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 本次采购项目资金为财政性资金，资金支付方式具体在合同中约定。</w:t>
      </w:r>
    </w:p>
    <w:p w14:paraId="4308FB42">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 服务期：</w:t>
      </w:r>
      <w:r>
        <w:rPr>
          <w:rFonts w:hint="eastAsia" w:ascii="宋体" w:hAnsi="宋体" w:cs="宋体"/>
          <w:color w:val="000000" w:themeColor="text1"/>
          <w:sz w:val="24"/>
          <w:szCs w:val="24"/>
          <w:lang w:eastAsia="zh-CN"/>
          <w14:textFill>
            <w14:solidFill>
              <w14:schemeClr w14:val="tx1"/>
            </w14:solidFill>
          </w14:textFill>
        </w:rPr>
        <w:t>365日历天，自合同签订之日起计算</w:t>
      </w:r>
      <w:r>
        <w:rPr>
          <w:rFonts w:hint="eastAsia" w:ascii="宋体" w:hAnsi="宋体" w:cs="宋体"/>
          <w:color w:val="000000" w:themeColor="text1"/>
          <w:sz w:val="24"/>
          <w:szCs w:val="24"/>
          <w14:textFill>
            <w14:solidFill>
              <w14:schemeClr w14:val="tx1"/>
            </w14:solidFill>
          </w14:textFill>
        </w:rPr>
        <w:t>。</w:t>
      </w:r>
    </w:p>
    <w:p w14:paraId="4F887EB3">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 投标人应仔细阅读磋商文件中所有的事项、格式、条款和各项规范要求</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如果投标人没有按照磋商文件要求提交全部资料</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或磋商响应文件没有对磋商文件在规定的方面做出实质性响应</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将是投标人的风险。对没有做出实质性响应的磋商响应文件，招标方将按照磋商文件中的规定宣布该投标文件无效。</w:t>
      </w:r>
    </w:p>
    <w:p w14:paraId="3B34F26A">
      <w:pPr>
        <w:adjustRightInd w:val="0"/>
        <w:snapToGrid w:val="0"/>
        <w:spacing w:line="480" w:lineRule="exact"/>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二、定义</w:t>
      </w:r>
    </w:p>
    <w:p w14:paraId="4577878E">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2.1采购人：系指采购本项目的</w:t>
      </w:r>
      <w:r>
        <w:rPr>
          <w:rFonts w:hint="eastAsia" w:ascii="宋体" w:hAnsi="宋体" w:cs="宋体"/>
          <w:color w:val="000000" w:themeColor="text1"/>
          <w:sz w:val="24"/>
          <w:szCs w:val="24"/>
          <w:lang w:val="zh-CN"/>
          <w14:textFill>
            <w14:solidFill>
              <w14:schemeClr w14:val="tx1"/>
            </w14:solidFill>
          </w14:textFill>
        </w:rPr>
        <w:t>安康市市政园林处</w:t>
      </w:r>
      <w:r>
        <w:rPr>
          <w:rFonts w:hint="eastAsia" w:ascii="宋体" w:hAnsi="宋体" w:cs="宋体"/>
          <w:color w:val="000000" w:themeColor="text1"/>
          <w:sz w:val="24"/>
          <w:szCs w:val="24"/>
          <w14:textFill>
            <w14:solidFill>
              <w14:schemeClr w14:val="tx1"/>
            </w14:solidFill>
          </w14:textFill>
        </w:rPr>
        <w:t>。</w:t>
      </w:r>
    </w:p>
    <w:p w14:paraId="2DAD4F3F">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2.2采购代理机构：系指组织本次磋商活动的</w:t>
      </w:r>
      <w:r>
        <w:rPr>
          <w:rFonts w:hint="eastAsia" w:ascii="宋体" w:hAnsi="宋体" w:cs="宋体"/>
          <w:color w:val="000000" w:themeColor="text1"/>
          <w:sz w:val="24"/>
          <w:szCs w:val="24"/>
          <w:lang w:eastAsia="zh-CN"/>
          <w14:textFill>
            <w14:solidFill>
              <w14:schemeClr w14:val="tx1"/>
            </w14:solidFill>
          </w14:textFill>
        </w:rPr>
        <w:t>陕西德丰盛和项目管理有限公司</w:t>
      </w:r>
      <w:r>
        <w:rPr>
          <w:rFonts w:hint="eastAsia" w:ascii="宋体" w:hAnsi="宋体" w:cs="宋体"/>
          <w:color w:val="000000" w:themeColor="text1"/>
          <w:sz w:val="24"/>
          <w:szCs w:val="24"/>
          <w14:textFill>
            <w14:solidFill>
              <w14:schemeClr w14:val="tx1"/>
            </w14:solidFill>
          </w14:textFill>
        </w:rPr>
        <w:t>。</w:t>
      </w:r>
    </w:p>
    <w:p w14:paraId="3A4BAD63">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2.3供应商：系指无条件接受磋商文件的各项要求，具备相应履约能力、具有《中华人民共和国政府采购法》第22规定的相关条件并向磋商小组提交响应文件的供应商。</w:t>
      </w:r>
    </w:p>
    <w:p w14:paraId="2B6F1F93">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2.4监督管理部门：安康市财政局</w:t>
      </w:r>
    </w:p>
    <w:p w14:paraId="7F56396E">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2.5语言文字：竞争性磋商响应文件使用的语言文字为中文。专用术语使用外文的，应附有中文注释。</w:t>
      </w:r>
    </w:p>
    <w:p w14:paraId="655E5040">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2.6计量单位：所有计量均采用中华人民共和国法定计量单位。</w:t>
      </w:r>
    </w:p>
    <w:p w14:paraId="0E619196">
      <w:pPr>
        <w:adjustRightInd w:val="0"/>
        <w:snapToGrid w:val="0"/>
        <w:spacing w:line="480" w:lineRule="exact"/>
        <w:textAlignment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三、项目概况</w:t>
      </w:r>
    </w:p>
    <w:p w14:paraId="214DBD7A">
      <w:pPr>
        <w:adjustRightInd w:val="0"/>
        <w:snapToGrid w:val="0"/>
        <w:spacing w:line="48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具体内容、数量、技术参数及要求详见磋商文件。</w:t>
      </w:r>
    </w:p>
    <w:p w14:paraId="76C49056">
      <w:pPr>
        <w:adjustRightInd w:val="0"/>
        <w:snapToGrid w:val="0"/>
        <w:spacing w:line="480" w:lineRule="exact"/>
        <w:textAlignment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四、合格供应商的</w:t>
      </w:r>
      <w:r>
        <w:rPr>
          <w:rFonts w:hint="eastAsia" w:ascii="宋体" w:hAnsi="宋体" w:cs="宋体"/>
          <w:b/>
          <w:bCs/>
          <w:color w:val="000000" w:themeColor="text1"/>
          <w:sz w:val="24"/>
          <w:szCs w:val="24"/>
          <w14:textFill>
            <w14:solidFill>
              <w14:schemeClr w14:val="tx1"/>
            </w14:solidFill>
          </w14:textFill>
        </w:rPr>
        <w:t>范围</w:t>
      </w:r>
    </w:p>
    <w:p w14:paraId="37A65F5A">
      <w:pPr>
        <w:adjustRightInd w:val="0"/>
        <w:snapToGrid w:val="0"/>
        <w:spacing w:line="480" w:lineRule="exact"/>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符合《中华人民共和国政府采购法》第二十二条的规定</w:t>
      </w:r>
    </w:p>
    <w:p w14:paraId="1282EC9C">
      <w:pPr>
        <w:pStyle w:val="19"/>
        <w:shd w:val="clear" w:color="auto" w:fill="FFFFFF"/>
        <w:spacing w:line="510" w:lineRule="atLeast"/>
        <w:ind w:firstLine="480" w:firstLineChars="200"/>
        <w:rPr>
          <w:color w:val="000000" w:themeColor="text1"/>
          <w14:textFill>
            <w14:solidFill>
              <w14:schemeClr w14:val="tx1"/>
            </w14:solidFill>
          </w14:textFill>
        </w:rPr>
      </w:pPr>
      <w:r>
        <w:rPr>
          <w:rFonts w:hint="eastAsia"/>
          <w:color w:val="000000" w:themeColor="text1"/>
          <w:shd w:val="clear" w:color="auto" w:fill="FFFFFF"/>
          <w:lang w:eastAsia="zh-CN"/>
          <w14:textFill>
            <w14:solidFill>
              <w14:schemeClr w14:val="tx1"/>
            </w14:solidFill>
          </w14:textFill>
        </w:rPr>
        <w:t>1.</w:t>
      </w:r>
      <w:r>
        <w:rPr>
          <w:rFonts w:hint="eastAsia"/>
          <w:color w:val="000000" w:themeColor="text1"/>
          <w:shd w:val="clear" w:color="auto" w:fill="FFFFFF"/>
          <w14:textFill>
            <w14:solidFill>
              <w14:schemeClr w14:val="tx1"/>
            </w14:solidFill>
          </w14:textFill>
        </w:rPr>
        <w:t>满足《中华人民共和国政府采购法》第二十二条规定</w:t>
      </w:r>
    </w:p>
    <w:p w14:paraId="3EE5B0DF">
      <w:pPr>
        <w:pStyle w:val="19"/>
        <w:shd w:val="clear" w:color="auto" w:fill="FFFFFF"/>
        <w:spacing w:line="510" w:lineRule="atLeast"/>
        <w:ind w:firstLine="480" w:firstLineChars="200"/>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lang w:eastAsia="zh-CN"/>
          <w14:textFill>
            <w14:solidFill>
              <w14:schemeClr w14:val="tx1"/>
            </w14:solidFill>
          </w14:textFill>
        </w:rPr>
        <w:t>2.</w:t>
      </w:r>
      <w:r>
        <w:rPr>
          <w:rFonts w:hint="eastAsia"/>
          <w:color w:val="000000" w:themeColor="text1"/>
          <w:shd w:val="clear" w:color="auto" w:fill="FFFFFF"/>
          <w14:textFill>
            <w14:solidFill>
              <w14:schemeClr w14:val="tx1"/>
            </w14:solidFill>
          </w14:textFill>
        </w:rPr>
        <w:t>落实政府采购政策需满足的资格要求：依据《中华人民共和国政府采购法》和《中华人民共和国政府采购法实施条例》的有关规定，落实政府采购政策，详见磋商文件。（1）财政部、工业和信息化部关于印发《政府采购促进中小企业发展管理办法》的通知</w:t>
      </w:r>
      <w:r>
        <w:rPr>
          <w:rFonts w:hint="eastAsia"/>
          <w:color w:val="000000" w:themeColor="text1"/>
          <w:shd w:val="clear" w:color="auto" w:fill="FFFFFF"/>
          <w:lang w:eastAsia="zh-CN"/>
          <w14:textFill>
            <w14:solidFill>
              <w14:schemeClr w14:val="tx1"/>
            </w14:solidFill>
          </w14:textFill>
        </w:rPr>
        <w:t>－</w:t>
      </w:r>
      <w:r>
        <w:rPr>
          <w:rFonts w:hint="eastAsia"/>
          <w:color w:val="000000" w:themeColor="text1"/>
          <w:shd w:val="clear" w:color="auto" w:fill="FFFFFF"/>
          <w14:textFill>
            <w14:solidFill>
              <w14:schemeClr w14:val="tx1"/>
            </w14:solidFill>
          </w14:textFill>
        </w:rPr>
        <w:t>财库〔2020〕46号；（2）关于进一步加大政府采购支持中小企业力度的通知</w:t>
      </w:r>
      <w:r>
        <w:rPr>
          <w:rFonts w:hint="eastAsia"/>
          <w:color w:val="000000" w:themeColor="text1"/>
          <w:shd w:val="clear" w:color="auto" w:fill="FFFFFF"/>
          <w:lang w:eastAsia="zh-CN"/>
          <w14:textFill>
            <w14:solidFill>
              <w14:schemeClr w14:val="tx1"/>
            </w14:solidFill>
          </w14:textFill>
        </w:rPr>
        <w:t>－</w:t>
      </w:r>
      <w:r>
        <w:rPr>
          <w:rFonts w:hint="eastAsia"/>
          <w:color w:val="000000" w:themeColor="text1"/>
          <w:shd w:val="clear" w:color="auto" w:fill="FFFFFF"/>
          <w14:textFill>
            <w14:solidFill>
              <w14:schemeClr w14:val="tx1"/>
            </w14:solidFill>
          </w14:textFill>
        </w:rPr>
        <w:t>财库〔2022〕19号；（3）财政部 司法部关于政府采购支持监狱企业发展有关问题的通知</w:t>
      </w:r>
      <w:r>
        <w:rPr>
          <w:rFonts w:hint="eastAsia"/>
          <w:color w:val="000000" w:themeColor="text1"/>
          <w:shd w:val="clear" w:color="auto" w:fill="FFFFFF"/>
          <w:lang w:eastAsia="zh-CN"/>
          <w14:textFill>
            <w14:solidFill>
              <w14:schemeClr w14:val="tx1"/>
            </w14:solidFill>
          </w14:textFill>
        </w:rPr>
        <w:t>－</w:t>
      </w:r>
      <w:r>
        <w:rPr>
          <w:rFonts w:hint="eastAsia"/>
          <w:color w:val="000000" w:themeColor="text1"/>
          <w:shd w:val="clear" w:color="auto" w:fill="FFFFFF"/>
          <w14:textFill>
            <w14:solidFill>
              <w14:schemeClr w14:val="tx1"/>
            </w14:solidFill>
          </w14:textFill>
        </w:rPr>
        <w:t>财库〔2014〕68号；（4）财政部 民政部 中国残疾人联合会关于促进残疾人就业政府采购政策的通知</w:t>
      </w:r>
      <w:r>
        <w:rPr>
          <w:rFonts w:hint="eastAsia"/>
          <w:color w:val="000000" w:themeColor="text1"/>
          <w:shd w:val="clear" w:color="auto" w:fill="FFFFFF"/>
          <w:lang w:eastAsia="zh-CN"/>
          <w14:textFill>
            <w14:solidFill>
              <w14:schemeClr w14:val="tx1"/>
            </w14:solidFill>
          </w14:textFill>
        </w:rPr>
        <w:t>－</w:t>
      </w:r>
      <w:r>
        <w:rPr>
          <w:rFonts w:hint="eastAsia"/>
          <w:color w:val="000000" w:themeColor="text1"/>
          <w:shd w:val="clear" w:color="auto" w:fill="FFFFFF"/>
          <w14:textFill>
            <w14:solidFill>
              <w14:schemeClr w14:val="tx1"/>
            </w14:solidFill>
          </w14:textFill>
        </w:rPr>
        <w:t>财库〔2017〕141号；（5）关于调整优化节能产品、环境标志产品政府采购执行机制的通知</w:t>
      </w:r>
      <w:r>
        <w:rPr>
          <w:rFonts w:hint="eastAsia"/>
          <w:color w:val="000000" w:themeColor="text1"/>
          <w:shd w:val="clear" w:color="auto" w:fill="FFFFFF"/>
          <w:lang w:eastAsia="zh-CN"/>
          <w14:textFill>
            <w14:solidFill>
              <w14:schemeClr w14:val="tx1"/>
            </w14:solidFill>
          </w14:textFill>
        </w:rPr>
        <w:t>－</w:t>
      </w:r>
      <w:r>
        <w:rPr>
          <w:rFonts w:hint="eastAsia"/>
          <w:color w:val="000000" w:themeColor="text1"/>
          <w:shd w:val="clear" w:color="auto" w:fill="FFFFFF"/>
          <w14:textFill>
            <w14:solidFill>
              <w14:schemeClr w14:val="tx1"/>
            </w14:solidFill>
          </w14:textFill>
        </w:rPr>
        <w:t>财库〔2019〕9号；（6）财政部生态 环境部关于印发环境标志产品政府采购品目清单的通知</w:t>
      </w:r>
      <w:r>
        <w:rPr>
          <w:rFonts w:hint="eastAsia"/>
          <w:color w:val="000000" w:themeColor="text1"/>
          <w:shd w:val="clear" w:color="auto" w:fill="FFFFFF"/>
          <w:lang w:eastAsia="zh-CN"/>
          <w14:textFill>
            <w14:solidFill>
              <w14:schemeClr w14:val="tx1"/>
            </w14:solidFill>
          </w14:textFill>
        </w:rPr>
        <w:t>－</w:t>
      </w:r>
      <w:r>
        <w:rPr>
          <w:rFonts w:hint="eastAsia"/>
          <w:color w:val="000000" w:themeColor="text1"/>
          <w:shd w:val="clear" w:color="auto" w:fill="FFFFFF"/>
          <w14:textFill>
            <w14:solidFill>
              <w14:schemeClr w14:val="tx1"/>
            </w14:solidFill>
          </w14:textFill>
        </w:rPr>
        <w:t>财库〔2019〕18号；（7）财政部发展改革委关于印发节能产品政府采购品目清单的通知</w:t>
      </w:r>
      <w:r>
        <w:rPr>
          <w:rFonts w:hint="eastAsia"/>
          <w:color w:val="000000" w:themeColor="text1"/>
          <w:shd w:val="clear" w:color="auto" w:fill="FFFFFF"/>
          <w:lang w:eastAsia="zh-CN"/>
          <w14:textFill>
            <w14:solidFill>
              <w14:schemeClr w14:val="tx1"/>
            </w14:solidFill>
          </w14:textFill>
        </w:rPr>
        <w:t>－</w:t>
      </w:r>
      <w:r>
        <w:rPr>
          <w:rFonts w:hint="eastAsia"/>
          <w:color w:val="000000" w:themeColor="text1"/>
          <w:shd w:val="clear" w:color="auto" w:fill="FFFFFF"/>
          <w14:textFill>
            <w14:solidFill>
              <w14:schemeClr w14:val="tx1"/>
            </w14:solidFill>
          </w14:textFill>
        </w:rPr>
        <w:t>财库〔2019〕19号；（8）财政部 农业农村部 国家乡村振兴局关于运用政府采购政策支持乡村产业振兴的通知</w:t>
      </w:r>
      <w:r>
        <w:rPr>
          <w:rFonts w:hint="eastAsia"/>
          <w:color w:val="000000" w:themeColor="text1"/>
          <w:shd w:val="clear" w:color="auto" w:fill="FFFFFF"/>
          <w:lang w:eastAsia="zh-CN"/>
          <w14:textFill>
            <w14:solidFill>
              <w14:schemeClr w14:val="tx1"/>
            </w14:solidFill>
          </w14:textFill>
        </w:rPr>
        <w:t>－</w:t>
      </w:r>
      <w:r>
        <w:rPr>
          <w:rFonts w:hint="eastAsia"/>
          <w:color w:val="000000" w:themeColor="text1"/>
          <w:shd w:val="clear" w:color="auto" w:fill="FFFFFF"/>
          <w14:textFill>
            <w14:solidFill>
              <w14:schemeClr w14:val="tx1"/>
            </w14:solidFill>
          </w14:textFill>
        </w:rPr>
        <w:t>财库〔2021〕19 号；（9）财政部、农业农村部、国家乡村振兴局、中华全国供销合作总社关于印发《关于深入开展政府采购脱贫地区农副产品工作推进乡村产业振兴的实施意见》的通知</w:t>
      </w:r>
      <w:r>
        <w:rPr>
          <w:rFonts w:hint="eastAsia"/>
          <w:color w:val="000000" w:themeColor="text1"/>
          <w:shd w:val="clear" w:color="auto" w:fill="FFFFFF"/>
          <w:lang w:eastAsia="zh-CN"/>
          <w14:textFill>
            <w14:solidFill>
              <w14:schemeClr w14:val="tx1"/>
            </w14:solidFill>
          </w14:textFill>
        </w:rPr>
        <w:t>－</w:t>
      </w:r>
      <w:r>
        <w:rPr>
          <w:rFonts w:hint="eastAsia"/>
          <w:color w:val="000000" w:themeColor="text1"/>
          <w:shd w:val="clear" w:color="auto" w:fill="FFFFFF"/>
          <w14:textFill>
            <w14:solidFill>
              <w14:schemeClr w14:val="tx1"/>
            </w14:solidFill>
          </w14:textFill>
        </w:rPr>
        <w:t>财库〔2021〕20号；（10）陕西省财政厅关于落实政府采购支持中小企业政策有关事项的通知</w:t>
      </w:r>
      <w:r>
        <w:rPr>
          <w:rFonts w:hint="eastAsia"/>
          <w:color w:val="000000" w:themeColor="text1"/>
          <w:shd w:val="clear" w:color="auto" w:fill="FFFFFF"/>
          <w:lang w:eastAsia="zh-CN"/>
          <w14:textFill>
            <w14:solidFill>
              <w14:schemeClr w14:val="tx1"/>
            </w14:solidFill>
          </w14:textFill>
        </w:rPr>
        <w:t>－</w:t>
      </w:r>
      <w:r>
        <w:rPr>
          <w:rFonts w:hint="eastAsia"/>
          <w:color w:val="000000" w:themeColor="text1"/>
          <w:shd w:val="clear" w:color="auto" w:fill="FFFFFF"/>
          <w14:textFill>
            <w14:solidFill>
              <w14:schemeClr w14:val="tx1"/>
            </w14:solidFill>
          </w14:textFill>
        </w:rPr>
        <w:t>陕财办采函〔2022〕10 号；（11）陕西省财政厅关于进一步加强政府绿色采购有关问题的通知</w:t>
      </w:r>
      <w:r>
        <w:rPr>
          <w:rFonts w:hint="eastAsia"/>
          <w:color w:val="000000" w:themeColor="text1"/>
          <w:shd w:val="clear" w:color="auto" w:fill="FFFFFF"/>
          <w:lang w:eastAsia="zh-CN"/>
          <w14:textFill>
            <w14:solidFill>
              <w14:schemeClr w14:val="tx1"/>
            </w14:solidFill>
          </w14:textFill>
        </w:rPr>
        <w:t>－</w:t>
      </w:r>
      <w:r>
        <w:rPr>
          <w:rFonts w:hint="eastAsia"/>
          <w:color w:val="000000" w:themeColor="text1"/>
          <w:shd w:val="clear" w:color="auto" w:fill="FFFFFF"/>
          <w14:textFill>
            <w14:solidFill>
              <w14:schemeClr w14:val="tx1"/>
            </w14:solidFill>
          </w14:textFill>
        </w:rPr>
        <w:t>陕财办采〔2021〕29号；（12）陕西省财政厅关于印发《陕西省中小企业政府采购信用融资办法》-陕财办采〔2018〕23号；（13）陕西省财政厅关于加快推进我省中小企业政府采购信用融资工作的通知</w:t>
      </w:r>
      <w:r>
        <w:rPr>
          <w:rFonts w:hint="eastAsia"/>
          <w:color w:val="000000" w:themeColor="text1"/>
          <w:shd w:val="clear" w:color="auto" w:fill="FFFFFF"/>
          <w:lang w:eastAsia="zh-CN"/>
          <w14:textFill>
            <w14:solidFill>
              <w14:schemeClr w14:val="tx1"/>
            </w14:solidFill>
          </w14:textFill>
        </w:rPr>
        <w:t>－</w:t>
      </w:r>
      <w:r>
        <w:rPr>
          <w:rFonts w:hint="eastAsia"/>
          <w:color w:val="000000" w:themeColor="text1"/>
          <w:shd w:val="clear" w:color="auto" w:fill="FFFFFF"/>
          <w14:textFill>
            <w14:solidFill>
              <w14:schemeClr w14:val="tx1"/>
            </w14:solidFill>
          </w14:textFill>
        </w:rPr>
        <w:t>陕财办采〔2020〕15号；（14）陕西省财政厅 中国人民银行西安分行关于深入推进政府采购信用融资业务的通知</w:t>
      </w:r>
      <w:r>
        <w:rPr>
          <w:rFonts w:hint="eastAsia"/>
          <w:color w:val="000000" w:themeColor="text1"/>
          <w:shd w:val="clear" w:color="auto" w:fill="FFFFFF"/>
          <w:lang w:eastAsia="zh-CN"/>
          <w14:textFill>
            <w14:solidFill>
              <w14:schemeClr w14:val="tx1"/>
            </w14:solidFill>
          </w14:textFill>
        </w:rPr>
        <w:t>－</w:t>
      </w:r>
      <w:r>
        <w:rPr>
          <w:rFonts w:hint="eastAsia"/>
          <w:color w:val="000000" w:themeColor="text1"/>
          <w:shd w:val="clear" w:color="auto" w:fill="FFFFFF"/>
          <w14:textFill>
            <w14:solidFill>
              <w14:schemeClr w14:val="tx1"/>
            </w14:solidFill>
          </w14:textFill>
        </w:rPr>
        <w:t>陕财办采〔2023〕5号；（15）《财政部 工业和信息化部关于贯彻落实</w:t>
      </w:r>
      <w:r>
        <w:rPr>
          <w:rFonts w:hint="eastAsia"/>
          <w:color w:val="000000" w:themeColor="text1"/>
          <w:shd w:val="clear" w:color="auto" w:fill="FFFFFF"/>
          <w:lang w:eastAsia="zh-CN"/>
          <w14:textFill>
            <w14:solidFill>
              <w14:schemeClr w14:val="tx1"/>
            </w14:solidFill>
          </w14:textFill>
        </w:rPr>
        <w:t>〈</w:t>
      </w:r>
      <w:r>
        <w:rPr>
          <w:rFonts w:hint="eastAsia"/>
          <w:color w:val="000000" w:themeColor="text1"/>
          <w:shd w:val="clear" w:color="auto" w:fill="FFFFFF"/>
          <w14:textFill>
            <w14:solidFill>
              <w14:schemeClr w14:val="tx1"/>
            </w14:solidFill>
          </w14:textFill>
        </w:rPr>
        <w:t>国务院办公厅关于在政府采购中实施本国产品标准及相关政策的通知</w:t>
      </w:r>
      <w:r>
        <w:rPr>
          <w:rFonts w:hint="eastAsia"/>
          <w:color w:val="000000" w:themeColor="text1"/>
          <w:shd w:val="clear" w:color="auto" w:fill="FFFFFF"/>
          <w:lang w:eastAsia="zh-CN"/>
          <w14:textFill>
            <w14:solidFill>
              <w14:schemeClr w14:val="tx1"/>
            </w14:solidFill>
          </w14:textFill>
        </w:rPr>
        <w:t>〉</w:t>
      </w:r>
      <w:r>
        <w:rPr>
          <w:rFonts w:hint="eastAsia"/>
          <w:color w:val="000000" w:themeColor="text1"/>
          <w:shd w:val="clear" w:color="auto" w:fill="FFFFFF"/>
          <w14:textFill>
            <w14:solidFill>
              <w14:schemeClr w14:val="tx1"/>
            </w14:solidFill>
          </w14:textFill>
        </w:rPr>
        <w:t>的意见》（财库〔2025〕30 号）；（16）《关于推动解决政府采购异常低价问题的通知》（财库〔2026〕 2号）；（17）如有最新颁布的政府采购政策，按最新的文件执行。</w:t>
      </w:r>
    </w:p>
    <w:p w14:paraId="65657A93">
      <w:pPr>
        <w:pStyle w:val="19"/>
        <w:shd w:val="clear" w:color="auto" w:fill="FFFFFF"/>
        <w:spacing w:line="510" w:lineRule="atLeast"/>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lang w:eastAsia="zh-CN"/>
          <w14:textFill>
            <w14:solidFill>
              <w14:schemeClr w14:val="tx1"/>
            </w14:solidFill>
          </w14:textFill>
        </w:rPr>
        <w:t>3.</w:t>
      </w:r>
      <w:r>
        <w:rPr>
          <w:rFonts w:hint="eastAsia"/>
          <w:color w:val="000000" w:themeColor="text1"/>
          <w:shd w:val="clear" w:color="auto" w:fill="FFFFFF"/>
          <w14:textFill>
            <w14:solidFill>
              <w14:schemeClr w14:val="tx1"/>
            </w14:solidFill>
          </w14:textFill>
        </w:rPr>
        <w:t>本项目的特定资格要求：（1）具有独立承担民事责任的能力，提供营业执照、税务登记证、组织机构代码证或登载有统一社会信用代码的营业执照（或《事业单位法人证书》或其他合法组织登记证书、自然人只须提交身份证复印件）。（2）提供法定代表人授权书（附法定代表人身份证复印件）及被授权代表身份证复印件（法定代表人直接参加只须提供法定代表人身份证复印件）。（3）有依法缴纳税收和社会保障资金的良好记录：提供2026年1月至今至少一个月的完税证明（依法免税的供应商应提供相关文件证明）；2026年1月至今至少一个月的已缴纳社会保险的证明（专用收据或社会保险缴纳清单或社保缴纳证明，依法不需要缴纳社会保障资金的供应商应提供相关文件证明）。（4）财务状况报告：提供2025年经审计的财务审计报告</w:t>
      </w:r>
      <w:r>
        <w:rPr>
          <w:rFonts w:hint="eastAsia"/>
          <w:color w:val="000000" w:themeColor="text1"/>
          <w:shd w:val="clear" w:color="auto" w:fill="FFFFFF"/>
          <w:lang w:eastAsia="zh-CN"/>
          <w14:textFill>
            <w14:solidFill>
              <w14:schemeClr w14:val="tx1"/>
            </w14:solidFill>
          </w14:textFill>
        </w:rPr>
        <w:t>（</w:t>
      </w:r>
      <w:r>
        <w:rPr>
          <w:rFonts w:hint="eastAsia"/>
          <w:color w:val="000000" w:themeColor="text1"/>
          <w:shd w:val="clear" w:color="auto" w:fill="FFFFFF"/>
          <w14:textFill>
            <w14:solidFill>
              <w14:schemeClr w14:val="tx1"/>
            </w14:solidFill>
          </w14:textFill>
        </w:rPr>
        <w:t>成立时间至提交投标响应文件截止时间不足1年的可提供成立后任意时段的资产负债表</w:t>
      </w:r>
      <w:r>
        <w:rPr>
          <w:rFonts w:hint="eastAsia"/>
          <w:color w:val="000000" w:themeColor="text1"/>
          <w:shd w:val="clear" w:color="auto" w:fill="FFFFFF"/>
          <w:lang w:eastAsia="zh-CN"/>
          <w14:textFill>
            <w14:solidFill>
              <w14:schemeClr w14:val="tx1"/>
            </w14:solidFill>
          </w14:textFill>
        </w:rPr>
        <w:t>）</w:t>
      </w:r>
      <w:r>
        <w:rPr>
          <w:rFonts w:hint="eastAsia"/>
          <w:color w:val="000000" w:themeColor="text1"/>
          <w:shd w:val="clear" w:color="auto" w:fill="FFFFFF"/>
          <w14:textFill>
            <w14:solidFill>
              <w14:schemeClr w14:val="tx1"/>
            </w14:solidFill>
          </w14:textFill>
        </w:rPr>
        <w:t>或开标前6个月内其基本账户开户银行出具的资信证明。（5）参加政府采购活动前三年内，在经营活动中没有重大违法记录声明；（提供自述材料）（6）本项目不接受联合体投标；单位负责人为同一人或者存在直接控股、管理关系的不同投标人，不得参加该项目的政府采购活动。（7）本项目专门面向中小企业采购，供应商须提供《中小企业声明函》；供应商为监狱企业的视同小型和微型企业，须提供由省级以上监狱管理局、戒毒管理局</w:t>
      </w:r>
      <w:r>
        <w:rPr>
          <w:rFonts w:hint="eastAsia"/>
          <w:color w:val="000000" w:themeColor="text1"/>
          <w:shd w:val="clear" w:color="auto" w:fill="FFFFFF"/>
          <w:lang w:eastAsia="zh-CN"/>
          <w14:textFill>
            <w14:solidFill>
              <w14:schemeClr w14:val="tx1"/>
            </w14:solidFill>
          </w14:textFill>
        </w:rPr>
        <w:t>（</w:t>
      </w:r>
      <w:r>
        <w:rPr>
          <w:rFonts w:hint="eastAsia"/>
          <w:color w:val="000000" w:themeColor="text1"/>
          <w:shd w:val="clear" w:color="auto" w:fill="FFFFFF"/>
          <w14:textFill>
            <w14:solidFill>
              <w14:schemeClr w14:val="tx1"/>
            </w14:solidFill>
          </w14:textFill>
        </w:rPr>
        <w:t>含新疆生产建设兵团</w:t>
      </w:r>
      <w:r>
        <w:rPr>
          <w:rFonts w:hint="eastAsia"/>
          <w:color w:val="000000" w:themeColor="text1"/>
          <w:shd w:val="clear" w:color="auto" w:fill="FFFFFF"/>
          <w:lang w:eastAsia="zh-CN"/>
          <w14:textFill>
            <w14:solidFill>
              <w14:schemeClr w14:val="tx1"/>
            </w14:solidFill>
          </w14:textFill>
        </w:rPr>
        <w:t>）</w:t>
      </w:r>
      <w:r>
        <w:rPr>
          <w:rFonts w:hint="eastAsia"/>
          <w:color w:val="000000" w:themeColor="text1"/>
          <w:shd w:val="clear" w:color="auto" w:fill="FFFFFF"/>
          <w14:textFill>
            <w14:solidFill>
              <w14:schemeClr w14:val="tx1"/>
            </w14:solidFill>
          </w14:textFill>
        </w:rPr>
        <w:t>出具的属于监狱企业的证明文件。供应商为残疾人福利性单位的视同小型和微型企业，须提供《残疾人福利性单位声明函》。</w:t>
      </w:r>
    </w:p>
    <w:p w14:paraId="67E3ECDE">
      <w:pPr>
        <w:adjustRightInd w:val="0"/>
        <w:snapToGrid w:val="0"/>
        <w:spacing w:line="480" w:lineRule="exact"/>
        <w:ind w:firstLine="482" w:firstLineChars="200"/>
        <w:textAlignment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以上均为资格审查必备要求，竞争性磋商会议现场须按要求提交盖有公章的复印件进行审验，缺项或者符合性、有效性、合法性审核不合格的，将自动丧失竞争性磋商响应资格。</w:t>
      </w:r>
    </w:p>
    <w:p w14:paraId="7A98183F">
      <w:pPr>
        <w:adjustRightInd w:val="0"/>
        <w:snapToGrid w:val="0"/>
        <w:spacing w:line="480" w:lineRule="exact"/>
        <w:textAlignment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五、磋商代表</w:t>
      </w:r>
    </w:p>
    <w:p w14:paraId="50956744">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磋商代表必须是法定代表人，或持有《法定代表人授权委托书》的被</w:t>
      </w:r>
      <w:r>
        <w:rPr>
          <w:rFonts w:hint="eastAsia" w:ascii="宋体" w:hAnsi="宋体" w:cs="宋体"/>
          <w:color w:val="000000" w:themeColor="text1"/>
          <w:sz w:val="24"/>
          <w:szCs w:val="24"/>
          <w:lang w:eastAsia="zh-CN"/>
          <w14:textFill>
            <w14:solidFill>
              <w14:schemeClr w14:val="tx1"/>
            </w14:solidFill>
          </w14:textFill>
        </w:rPr>
        <w:t>授权代表</w:t>
      </w:r>
      <w:r>
        <w:rPr>
          <w:rFonts w:hint="eastAsia" w:ascii="宋体" w:hAnsi="宋体" w:cs="宋体"/>
          <w:color w:val="000000" w:themeColor="text1"/>
          <w:sz w:val="24"/>
          <w:szCs w:val="24"/>
          <w14:textFill>
            <w14:solidFill>
              <w14:schemeClr w14:val="tx1"/>
            </w14:solidFill>
          </w14:textFill>
        </w:rPr>
        <w:t>。</w:t>
      </w:r>
    </w:p>
    <w:p w14:paraId="3B50BCE5">
      <w:pPr>
        <w:adjustRightInd w:val="0"/>
        <w:snapToGrid w:val="0"/>
        <w:spacing w:line="480" w:lineRule="exact"/>
        <w:textAlignment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六、费用</w:t>
      </w:r>
    </w:p>
    <w:p w14:paraId="71C7AE52">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6.1无论磋商结果如何，供应商自行承担所有与参加磋商有关的全部费用；</w:t>
      </w:r>
    </w:p>
    <w:p w14:paraId="76865D23">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6.2成交服务费：由成交供应商以中标价为基数参照计价格[2002]1980号文和发改价格[2011]534号文件规定缴纳成交服务费，不足3000元按3000元计取。</w:t>
      </w:r>
    </w:p>
    <w:p w14:paraId="21217E50">
      <w:pPr>
        <w:adjustRightInd w:val="0"/>
        <w:snapToGrid w:val="0"/>
        <w:spacing w:line="480" w:lineRule="exact"/>
        <w:textAlignment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七、响应文件与竞争性磋商文件</w:t>
      </w:r>
    </w:p>
    <w:p w14:paraId="018F9E6D">
      <w:pPr>
        <w:adjustRightInd w:val="0"/>
        <w:snapToGrid w:val="0"/>
        <w:spacing w:line="480" w:lineRule="exact"/>
        <w:textAlignment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7.1响应文件的组成</w:t>
      </w:r>
    </w:p>
    <w:p w14:paraId="5EB0511F">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（1）响应函</w:t>
      </w:r>
    </w:p>
    <w:p w14:paraId="3CCD34B7">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（2）法定代表人身份证明</w:t>
      </w:r>
    </w:p>
    <w:p w14:paraId="33676EEF">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（3）授权委托书</w:t>
      </w:r>
    </w:p>
    <w:p w14:paraId="1A4289DE">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（4）报价一览表</w:t>
      </w:r>
    </w:p>
    <w:p w14:paraId="57AADD1E">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（5）资格证明文件</w:t>
      </w:r>
    </w:p>
    <w:p w14:paraId="1ACDEF70">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（6）服务项目实施方案</w:t>
      </w:r>
    </w:p>
    <w:p w14:paraId="238228C5">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（7）供应商拒绝政府采购领域商业贿赂承诺书</w:t>
      </w:r>
    </w:p>
    <w:p w14:paraId="54583D0B">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（8）投标商认为需要提供的其他资料</w:t>
      </w:r>
    </w:p>
    <w:p w14:paraId="06063A56">
      <w:pPr>
        <w:adjustRightInd w:val="0"/>
        <w:snapToGrid w:val="0"/>
        <w:spacing w:line="480" w:lineRule="exact"/>
        <w:textAlignment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7.2响应文件编制要求</w:t>
      </w:r>
    </w:p>
    <w:p w14:paraId="454EECD1">
      <w:pPr>
        <w:adjustRightInd w:val="0"/>
        <w:snapToGrid w:val="0"/>
        <w:spacing w:line="48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磋商响应文件一律采用书籍（胶装）方式装订。磋商响应文件正本一份，副本一份，“磋商一览表”一份。纸质磋商响应文件均须A4纸打印，</w:t>
      </w:r>
      <w:r>
        <w:rPr>
          <w:rFonts w:hint="eastAsia" w:ascii="宋体" w:hAnsi="宋体" w:cs="宋体"/>
          <w:color w:val="000000" w:themeColor="text1"/>
          <w:sz w:val="24"/>
          <w:szCs w:val="24"/>
          <w:lang w:eastAsia="zh-CN"/>
          <w14:textFill>
            <w14:solidFill>
              <w14:schemeClr w14:val="tx1"/>
            </w14:solidFill>
          </w14:textFill>
        </w:rPr>
        <w:t>分别</w:t>
      </w:r>
      <w:r>
        <w:rPr>
          <w:rFonts w:hint="eastAsia" w:ascii="宋体" w:hAnsi="宋体" w:cs="宋体"/>
          <w:color w:val="000000" w:themeColor="text1"/>
          <w:sz w:val="24"/>
          <w:szCs w:val="24"/>
          <w14:textFill>
            <w14:solidFill>
              <w14:schemeClr w14:val="tx1"/>
            </w14:solidFill>
          </w14:textFill>
        </w:rPr>
        <w:t>装订成册并编制目录和页码。在每一页的正下方清</w:t>
      </w:r>
      <w:r>
        <w:rPr>
          <w:rFonts w:hint="eastAsia" w:ascii="宋体" w:hAnsi="宋体" w:cs="宋体"/>
          <w:color w:val="000000" w:themeColor="text1"/>
          <w:sz w:val="24"/>
          <w:szCs w:val="24"/>
          <w:lang w:eastAsia="zh-CN"/>
          <w14:textFill>
            <w14:solidFill>
              <w14:schemeClr w14:val="tx1"/>
            </w14:solidFill>
          </w14:textFill>
        </w:rPr>
        <w:t>楚地</w:t>
      </w:r>
      <w:r>
        <w:rPr>
          <w:rFonts w:hint="eastAsia" w:ascii="宋体" w:hAnsi="宋体" w:cs="宋体"/>
          <w:color w:val="000000" w:themeColor="text1"/>
          <w:sz w:val="24"/>
          <w:szCs w:val="24"/>
          <w14:textFill>
            <w14:solidFill>
              <w14:schemeClr w14:val="tx1"/>
            </w14:solidFill>
          </w14:textFill>
        </w:rPr>
        <w:t>标明“第几页共几页”字样。单份磋商响应文件单独密封在一个标袋中。</w:t>
      </w:r>
    </w:p>
    <w:p w14:paraId="50CE9867">
      <w:pPr>
        <w:adjustRightInd w:val="0"/>
        <w:snapToGrid w:val="0"/>
        <w:spacing w:line="48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供应商须保证响应文件内容的真实、准确，所有资料须加盖单位公章。</w:t>
      </w:r>
    </w:p>
    <w:p w14:paraId="5AD4EDE3">
      <w:pPr>
        <w:adjustRightInd w:val="0"/>
        <w:snapToGrid w:val="0"/>
        <w:spacing w:line="480" w:lineRule="exact"/>
        <w:ind w:firstLine="48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磋商响应文件的大写金额和小写金额不一致的，以大写金额为准；总价金额与单价汇总金额不一致的，以单价汇总金额计算结果为准并修正总价（单价合计超过采购预算金额的，其投标无效）；单价金额小数点有明显错位的，应以总价为准，并修正单价；对不同文字文本投标文件的解释发生异议的，以中文文本为准。</w:t>
      </w:r>
    </w:p>
    <w:p w14:paraId="537A77C9">
      <w:pPr>
        <w:adjustRightInd w:val="0"/>
        <w:snapToGrid w:val="0"/>
        <w:spacing w:line="480" w:lineRule="exact"/>
        <w:ind w:firstLine="48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任何要求对采购文件进行澄清的响应供应商均应在采购响应文件递交截止期1日前以书面形式通知采购代理机构，采购代理机构对供应商所要求澄清的内容以书面形式予以答复。供应商在规定的时间内未要求对采购文件澄清或提出疑问的，将视其为无异议，并自动放弃对本项目采购文件再次提出质疑的权利。对采购文件中描述有</w:t>
      </w:r>
      <w:r>
        <w:rPr>
          <w:rFonts w:hint="eastAsia" w:ascii="宋体" w:hAnsi="宋体" w:cs="宋体"/>
          <w:color w:val="000000" w:themeColor="text1"/>
          <w:sz w:val="24"/>
          <w:szCs w:val="24"/>
          <w:lang w:eastAsia="zh-CN"/>
          <w14:textFill>
            <w14:solidFill>
              <w14:schemeClr w14:val="tx1"/>
            </w14:solidFill>
          </w14:textFill>
        </w:rPr>
        <w:t>歧义</w:t>
      </w:r>
      <w:r>
        <w:rPr>
          <w:rFonts w:hint="eastAsia" w:ascii="宋体" w:hAnsi="宋体" w:cs="宋体"/>
          <w:color w:val="000000" w:themeColor="text1"/>
          <w:sz w:val="24"/>
          <w:szCs w:val="24"/>
          <w14:textFill>
            <w14:solidFill>
              <w14:schemeClr w14:val="tx1"/>
            </w14:solidFill>
          </w14:textFill>
        </w:rPr>
        <w:t>或前后不一致的地方，磋商小组有权进行评判，但对同一条款的评判应适用于每个供应商。</w:t>
      </w:r>
    </w:p>
    <w:p w14:paraId="40AA4D93">
      <w:pPr>
        <w:adjustRightInd w:val="0"/>
        <w:snapToGrid w:val="0"/>
        <w:spacing w:line="480" w:lineRule="exact"/>
        <w:textAlignment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7.3竞争性磋商文件的澄清与修改</w:t>
      </w:r>
    </w:p>
    <w:p w14:paraId="2195904E">
      <w:pPr>
        <w:adjustRightInd w:val="0"/>
        <w:snapToGrid w:val="0"/>
        <w:spacing w:line="48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竞争性磋商文件的澄清，供应商应仔细阅读和检查竞争性磋商文件的全部内容。如发现缺页或附件不全，应及时向采购人提出，以便补齐。如有疑问，应在响应文件递交截止时间5日前以书面形式（包括电子邮件、传真等可以有形地表现所载内容的形式，下同），要求采购人对竞争性磋商文件予以澄清。</w:t>
      </w:r>
    </w:p>
    <w:p w14:paraId="753E675B">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竞争性磋商文件的澄清将以书面形式发给所有获取竞争性磋商文件的供应商，但不指明澄清问题的来源。如果澄清发出的时间距供应商递交响应文件截止时间不足5日，并且澄清内容影响响应文件编制的，将相应延长递交响应文件截止时间。</w:t>
      </w:r>
    </w:p>
    <w:p w14:paraId="6B73427B">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（3）供应商在收到澄清后，应在2日内以书面形式通知采购人，确认已收到该澄清。</w:t>
      </w:r>
    </w:p>
    <w:p w14:paraId="4F397B52">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采购人可以以书面形式修改竞争性磋商文件，并通知所有已获取竞争性磋商文件的供应商。但如果修改竞争性磋商文件的时间距递交响应文件截止时间不足5天，并且修改内容影响响应文件编制的，将相应延长递交响应文件截止时间。</w:t>
      </w:r>
    </w:p>
    <w:p w14:paraId="2794B4D1">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（5）供应商收到修改内容后，应在2日内以书面形式通知采购人，确认已收到该修改。</w:t>
      </w:r>
    </w:p>
    <w:p w14:paraId="2687BA96">
      <w:pPr>
        <w:adjustRightInd w:val="0"/>
        <w:snapToGrid w:val="0"/>
        <w:spacing w:line="480" w:lineRule="exact"/>
        <w:textAlignment w:val="center"/>
        <w:rPr>
          <w:rFonts w:ascii="宋体" w:hAnsi="宋体" w:cs="宋体"/>
          <w:b/>
          <w:sz w:val="24"/>
          <w:szCs w:val="24"/>
        </w:rPr>
      </w:pPr>
      <w:r>
        <w:rPr>
          <w:rFonts w:hint="eastAsia" w:ascii="宋体" w:hAnsi="宋体" w:cs="宋体"/>
          <w:b/>
          <w:sz w:val="24"/>
          <w:szCs w:val="24"/>
        </w:rPr>
        <w:t>7.4响应性文件必须在</w:t>
      </w:r>
      <w:r>
        <w:rPr>
          <w:rFonts w:hint="eastAsia" w:ascii="宋体" w:hAnsi="宋体" w:cs="宋体"/>
          <w:b/>
          <w:sz w:val="24"/>
          <w:szCs w:val="24"/>
          <w:lang w:eastAsia="zh-CN"/>
        </w:rPr>
        <w:t>202</w:t>
      </w:r>
      <w:r>
        <w:rPr>
          <w:rFonts w:hint="eastAsia" w:ascii="宋体" w:hAnsi="宋体" w:cs="宋体"/>
          <w:b/>
          <w:sz w:val="24"/>
          <w:szCs w:val="24"/>
          <w:lang w:val="en-US" w:eastAsia="zh-CN"/>
        </w:rPr>
        <w:t>6</w:t>
      </w:r>
      <w:r>
        <w:rPr>
          <w:rFonts w:hint="eastAsia" w:ascii="宋体" w:hAnsi="宋体" w:cs="宋体"/>
          <w:b/>
          <w:sz w:val="24"/>
          <w:szCs w:val="24"/>
        </w:rPr>
        <w:t>年</w:t>
      </w:r>
      <w:r>
        <w:rPr>
          <w:rFonts w:hint="eastAsia" w:ascii="宋体" w:hAnsi="宋体" w:cs="宋体"/>
          <w:b/>
          <w:sz w:val="24"/>
          <w:szCs w:val="24"/>
          <w:lang w:val="en-US" w:eastAsia="zh-CN"/>
        </w:rPr>
        <w:t>9</w:t>
      </w:r>
      <w:r>
        <w:rPr>
          <w:rFonts w:hint="eastAsia" w:ascii="宋体" w:hAnsi="宋体" w:cs="宋体"/>
          <w:b/>
          <w:sz w:val="24"/>
          <w:szCs w:val="24"/>
        </w:rPr>
        <w:t>月</w:t>
      </w:r>
      <w:r>
        <w:rPr>
          <w:rFonts w:hint="eastAsia" w:ascii="宋体" w:hAnsi="宋体" w:cs="宋体"/>
          <w:b/>
          <w:sz w:val="24"/>
          <w:szCs w:val="24"/>
          <w:lang w:val="en-US" w:eastAsia="zh-CN"/>
        </w:rPr>
        <w:t>14</w:t>
      </w:r>
      <w:r>
        <w:rPr>
          <w:rFonts w:hint="eastAsia" w:ascii="宋体" w:hAnsi="宋体" w:cs="宋体"/>
          <w:b/>
          <w:sz w:val="24"/>
          <w:szCs w:val="24"/>
        </w:rPr>
        <w:t>日</w:t>
      </w:r>
      <w:r>
        <w:rPr>
          <w:rFonts w:hint="eastAsia" w:ascii="宋体" w:hAnsi="宋体" w:cs="宋体"/>
          <w:b/>
          <w:sz w:val="24"/>
          <w:szCs w:val="24"/>
          <w:lang w:val="en-US" w:eastAsia="zh-CN"/>
        </w:rPr>
        <w:t>10</w:t>
      </w:r>
      <w:r>
        <w:rPr>
          <w:rFonts w:hint="eastAsia" w:ascii="宋体" w:hAnsi="宋体" w:cs="宋体"/>
          <w:b/>
          <w:sz w:val="24"/>
          <w:szCs w:val="24"/>
        </w:rPr>
        <w:t>时00分前送达磋商地点。</w:t>
      </w:r>
    </w:p>
    <w:p w14:paraId="436A2DE3">
      <w:pPr>
        <w:adjustRightInd w:val="0"/>
        <w:snapToGrid w:val="0"/>
        <w:spacing w:line="480" w:lineRule="exact"/>
        <w:textAlignment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八、保证金：不设置投标保证金。</w:t>
      </w:r>
    </w:p>
    <w:p w14:paraId="0E44E6E4">
      <w:pPr>
        <w:adjustRightInd w:val="0"/>
        <w:snapToGrid w:val="0"/>
        <w:spacing w:line="480" w:lineRule="exact"/>
        <w:textAlignment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九、评审工作程序</w:t>
      </w:r>
    </w:p>
    <w:p w14:paraId="79269F13">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（1）供应商被授权代表向磋商小组递交响应性文件；</w:t>
      </w:r>
    </w:p>
    <w:p w14:paraId="17009A51">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（2）按响应性文件递交先后顺序决定供应商磋商次序；</w:t>
      </w:r>
    </w:p>
    <w:p w14:paraId="296ED48F">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（3）磋商小组审阅响应文件：</w:t>
      </w:r>
    </w:p>
    <w:p w14:paraId="5BEBE067">
      <w:pPr>
        <w:adjustRightInd w:val="0"/>
        <w:snapToGrid w:val="0"/>
        <w:spacing w:line="44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磋商小组依据磋商文件的规定，对</w:t>
      </w:r>
      <w:r>
        <w:rPr>
          <w:rFonts w:hint="eastAsia" w:ascii="宋体" w:hAnsi="宋体" w:cs="宋体"/>
          <w:color w:val="000000" w:themeColor="text1"/>
          <w:sz w:val="24"/>
          <w:szCs w:val="24"/>
          <w14:textFill>
            <w14:solidFill>
              <w14:schemeClr w14:val="tx1"/>
            </w14:solidFill>
          </w14:textFill>
        </w:rPr>
        <w:t>供应商的资格性及</w:t>
      </w:r>
      <w:r>
        <w:rPr>
          <w:rFonts w:hint="eastAsia" w:ascii="宋体" w:hAnsi="宋体" w:cs="宋体"/>
          <w:color w:val="000000" w:themeColor="text1"/>
          <w:sz w:val="24"/>
          <w:szCs w:val="24"/>
          <w:lang w:val="zh-CN"/>
          <w14:textFill>
            <w14:solidFill>
              <w14:schemeClr w14:val="tx1"/>
            </w14:solidFill>
          </w14:textFill>
        </w:rPr>
        <w:t>响应性文件的有效性、完整性和对磋商文件的响应程度进行审查，以确定是否对磋商文件的要求做出实质性响应。未对磋商文件做实质性响应的供应商，不得进入具体磋商程序。</w:t>
      </w:r>
    </w:p>
    <w:p w14:paraId="24D3179E">
      <w:pPr>
        <w:adjustRightInd w:val="0"/>
        <w:snapToGrid w:val="0"/>
        <w:spacing w:line="42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资格条件项中的原件或复印件查验不符合的，按废标处理。</w:t>
      </w:r>
    </w:p>
    <w:p w14:paraId="517891AF">
      <w:pPr>
        <w:adjustRightInd w:val="0"/>
        <w:snapToGrid w:val="0"/>
        <w:spacing w:line="42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磋商小组审查供应商的响应性文件的有效性，是否按照竞争性磋商文件的要求编写响应性文件，填写《符合性审查表》。 </w:t>
      </w:r>
    </w:p>
    <w:p w14:paraId="1DEF6DFF">
      <w:pPr>
        <w:adjustRightInd w:val="0"/>
        <w:snapToGrid w:val="0"/>
        <w:spacing w:line="42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有下列内容之一的，不能通过符合性审查</w:t>
      </w:r>
    </w:p>
    <w:p w14:paraId="0642D482">
      <w:pPr>
        <w:adjustRightInd w:val="0"/>
        <w:snapToGrid w:val="0"/>
        <w:spacing w:line="42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（1）文件未按竞争性磋商文件规定和要求签字、盖章的；</w:t>
      </w:r>
    </w:p>
    <w:p w14:paraId="4BAE6204">
      <w:pPr>
        <w:adjustRightInd w:val="0"/>
        <w:snapToGrid w:val="0"/>
        <w:spacing w:line="42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（2）投标有效期不能满足竞争性磋商文件要求的；</w:t>
      </w:r>
    </w:p>
    <w:p w14:paraId="070FE4D7">
      <w:pPr>
        <w:adjustRightInd w:val="0"/>
        <w:snapToGrid w:val="0"/>
        <w:spacing w:line="42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（3）服务期未满足竞争性磋商文件要求的；</w:t>
      </w:r>
    </w:p>
    <w:p w14:paraId="1754BCFA">
      <w:pPr>
        <w:adjustRightInd w:val="0"/>
        <w:snapToGrid w:val="0"/>
        <w:spacing w:line="42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lang w:eastAsia="zh-CN"/>
          <w14:textFill>
            <w14:solidFill>
              <w14:schemeClr w14:val="tx1"/>
            </w14:solidFill>
          </w14:textFill>
        </w:rPr>
        <w:t>报价是否是</w:t>
      </w:r>
      <w:r>
        <w:rPr>
          <w:rFonts w:hint="eastAsia" w:ascii="宋体" w:hAnsi="宋体" w:cs="宋体"/>
          <w:color w:val="000000" w:themeColor="text1"/>
          <w:sz w:val="24"/>
          <w:szCs w:val="24"/>
          <w14:textFill>
            <w14:solidFill>
              <w14:schemeClr w14:val="tx1"/>
            </w14:solidFill>
          </w14:textFill>
        </w:rPr>
        <w:t>唯一报价；</w:t>
      </w:r>
    </w:p>
    <w:p w14:paraId="1F1E044A">
      <w:pPr>
        <w:adjustRightInd w:val="0"/>
        <w:snapToGrid w:val="0"/>
        <w:spacing w:line="42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（5）投标响应文件未按竞争性磋商文件要求制作的。</w:t>
      </w:r>
    </w:p>
    <w:p w14:paraId="192861FE">
      <w:pPr>
        <w:adjustRightInd w:val="0"/>
        <w:snapToGrid w:val="0"/>
        <w:spacing w:line="420" w:lineRule="exact"/>
        <w:ind w:firstLine="482" w:firstLineChars="200"/>
        <w:textAlignment w:val="cente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以上资格性审查、符合性审查未通过的，其响应性文件为无效响应性文件。</w:t>
      </w:r>
    </w:p>
    <w:p w14:paraId="18825175">
      <w:pPr>
        <w:adjustRightInd w:val="0"/>
        <w:snapToGrid w:val="0"/>
        <w:spacing w:line="42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（4）磋商开始，与供应商谈各项内容：</w:t>
      </w:r>
    </w:p>
    <w:p w14:paraId="26FBE74C">
      <w:pPr>
        <w:adjustRightInd w:val="0"/>
        <w:snapToGrid w:val="0"/>
        <w:spacing w:line="42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①磋商小组所有成员集中与单一供应商按照递交响应性文件先后顺序决</w:t>
      </w:r>
      <w:r>
        <w:rPr>
          <w:rFonts w:hint="eastAsia" w:ascii="宋体" w:hAnsi="宋体" w:cs="宋体"/>
          <w:color w:val="000000" w:themeColor="text1"/>
          <w:sz w:val="24"/>
          <w:szCs w:val="24"/>
          <w14:textFill>
            <w14:solidFill>
              <w14:schemeClr w14:val="tx1"/>
            </w14:solidFill>
          </w14:textFill>
        </w:rPr>
        <w:t>定的磋商次序</w:t>
      </w:r>
      <w:r>
        <w:rPr>
          <w:rFonts w:hint="eastAsia" w:ascii="宋体" w:hAnsi="宋体" w:cs="宋体"/>
          <w:color w:val="000000" w:themeColor="text1"/>
          <w:sz w:val="24"/>
          <w:szCs w:val="24"/>
          <w:lang w:val="zh-CN"/>
          <w14:textFill>
            <w14:solidFill>
              <w14:schemeClr w14:val="tx1"/>
            </w14:solidFill>
          </w14:textFill>
        </w:rPr>
        <w:t>分别进行磋商。磋商小组可根据响应内容及磋商的情况，给予每个正在参加磋商的供应商相同的机会。</w:t>
      </w:r>
    </w:p>
    <w:p w14:paraId="274CCFC3">
      <w:pPr>
        <w:adjustRightInd w:val="0"/>
        <w:snapToGrid w:val="0"/>
        <w:spacing w:line="42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②在磋商过程中，磋商</w:t>
      </w:r>
      <w:r>
        <w:rPr>
          <w:rFonts w:hint="eastAsia" w:ascii="宋体" w:hAnsi="宋体" w:cs="宋体"/>
          <w:color w:val="000000" w:themeColor="text1"/>
          <w:sz w:val="24"/>
          <w:szCs w:val="24"/>
          <w:lang w:val="zh-CN"/>
          <w14:textFill>
            <w14:solidFill>
              <w14:schemeClr w14:val="tx1"/>
            </w14:solidFill>
          </w14:textFill>
        </w:rPr>
        <w:t>小组</w:t>
      </w:r>
      <w:r>
        <w:rPr>
          <w:rFonts w:hint="eastAsia" w:ascii="宋体" w:hAnsi="宋体" w:cs="宋体"/>
          <w:color w:val="000000" w:themeColor="text1"/>
          <w:sz w:val="24"/>
          <w:szCs w:val="24"/>
          <w14:textFill>
            <w14:solidFill>
              <w14:schemeClr w14:val="tx1"/>
            </w14:solidFill>
          </w14:textFill>
        </w:rPr>
        <w:t xml:space="preserve">可以根据磋商文件和磋商情况实质性变动采购需求中的技术、服务要求以及合同草案条款，但不得变动磋商文件中的其他内容。实质性变动的内容，须经采购人代表确认。 </w:t>
      </w:r>
    </w:p>
    <w:p w14:paraId="56EEADE0">
      <w:pPr>
        <w:adjustRightInd w:val="0"/>
        <w:snapToGrid w:val="0"/>
        <w:spacing w:line="42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③对磋商文件作出的实质性变动是磋商文件的有效组成部分，磋商小组应当及时以书面形式同时通知所有参加</w:t>
      </w:r>
      <w:r>
        <w:rPr>
          <w:rFonts w:hint="eastAsia" w:ascii="宋体" w:hAnsi="宋体" w:cs="宋体"/>
          <w:color w:val="000000" w:themeColor="text1"/>
          <w:sz w:val="24"/>
          <w:szCs w:val="24"/>
          <w:lang w:val="zh-CN"/>
          <w14:textFill>
            <w14:solidFill>
              <w14:schemeClr w14:val="tx1"/>
            </w14:solidFill>
          </w14:textFill>
        </w:rPr>
        <w:t>磋商</w:t>
      </w:r>
      <w:r>
        <w:rPr>
          <w:rFonts w:hint="eastAsia" w:ascii="宋体" w:hAnsi="宋体" w:cs="宋体"/>
          <w:color w:val="000000" w:themeColor="text1"/>
          <w:sz w:val="24"/>
          <w:szCs w:val="24"/>
          <w14:textFill>
            <w14:solidFill>
              <w14:schemeClr w14:val="tx1"/>
            </w14:solidFill>
          </w14:textFill>
        </w:rPr>
        <w:t xml:space="preserve">的供应商。 </w:t>
      </w:r>
    </w:p>
    <w:p w14:paraId="12CF45A1">
      <w:pPr>
        <w:adjustRightInd w:val="0"/>
        <w:snapToGrid w:val="0"/>
        <w:spacing w:line="42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④供应商应当按照磋商文件的变动情况和磋商小组的要求重新提交响应文件，并由其全权代表签字。</w:t>
      </w:r>
    </w:p>
    <w:p w14:paraId="28C58D49">
      <w:pPr>
        <w:adjustRightInd w:val="0"/>
        <w:snapToGrid w:val="0"/>
        <w:spacing w:line="42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（5）各供应商进行报价：（</w:t>
      </w:r>
      <w:r>
        <w:rPr>
          <w:rFonts w:hint="eastAsia" w:ascii="宋体" w:hAnsi="宋体" w:cs="宋体"/>
          <w:b/>
          <w:bCs/>
          <w:color w:val="000000" w:themeColor="text1"/>
          <w:sz w:val="24"/>
          <w:szCs w:val="24"/>
          <w14:textFill>
            <w14:solidFill>
              <w14:schemeClr w14:val="tx1"/>
            </w14:solidFill>
          </w14:textFill>
        </w:rPr>
        <w:t>本项目进行二次报价，二次报价不能高于一次报价，高于一次报价视为无效标）</w:t>
      </w:r>
    </w:p>
    <w:p w14:paraId="57E959DE">
      <w:pPr>
        <w:adjustRightInd w:val="0"/>
        <w:snapToGrid w:val="0"/>
        <w:spacing w:line="42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6</w:t>
      </w:r>
      <w:r>
        <w:rPr>
          <w:rFonts w:hint="eastAsia" w:ascii="宋体" w:hAnsi="宋体" w:cs="宋体"/>
          <w:color w:val="000000" w:themeColor="text1"/>
          <w:sz w:val="24"/>
          <w:szCs w:val="24"/>
          <w:lang w:val="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由磋商小组采用综合评分法对提交最后报价的供应商的响应文件和最后报价进行综合评分。</w:t>
      </w:r>
    </w:p>
    <w:p w14:paraId="28DF639F">
      <w:pPr>
        <w:adjustRightInd w:val="0"/>
        <w:snapToGrid w:val="0"/>
        <w:spacing w:line="42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（7）确定成交单位。</w:t>
      </w:r>
    </w:p>
    <w:p w14:paraId="10B3F09E">
      <w:pPr>
        <w:adjustRightInd w:val="0"/>
        <w:snapToGrid w:val="0"/>
        <w:spacing w:line="42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采购人按照磋商小组推荐的成交候选人排名顺序确定成交单位。采购代理机构将成交结果通知所有未成交的供应商。</w:t>
      </w:r>
    </w:p>
    <w:p w14:paraId="5C4C523A">
      <w:pPr>
        <w:adjustRightInd w:val="0"/>
        <w:snapToGrid w:val="0"/>
        <w:spacing w:line="480" w:lineRule="exact"/>
        <w:textAlignment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十、磋商内容：</w:t>
      </w:r>
    </w:p>
    <w:p w14:paraId="6BE12461">
      <w:pPr>
        <w:adjustRightInd w:val="0"/>
        <w:snapToGrid w:val="0"/>
        <w:spacing w:line="44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10.1 </w:t>
      </w:r>
      <w:r>
        <w:rPr>
          <w:rFonts w:hint="eastAsia" w:ascii="宋体" w:hAnsi="宋体" w:cs="宋体"/>
          <w:color w:val="000000" w:themeColor="text1"/>
          <w:sz w:val="24"/>
          <w:szCs w:val="24"/>
          <w:lang w:eastAsia="zh-CN"/>
          <w14:textFill>
            <w14:solidFill>
              <w14:schemeClr w14:val="tx1"/>
            </w14:solidFill>
          </w14:textFill>
        </w:rPr>
        <w:t>2026年安康中心城区市政排水设施病媒生物防制消杀项目</w:t>
      </w:r>
      <w:r>
        <w:rPr>
          <w:rFonts w:hint="eastAsia" w:ascii="宋体" w:hAnsi="宋体" w:cs="宋体"/>
          <w:color w:val="000000" w:themeColor="text1"/>
          <w:sz w:val="24"/>
          <w:szCs w:val="24"/>
          <w14:textFill>
            <w14:solidFill>
              <w14:schemeClr w14:val="tx1"/>
            </w14:solidFill>
          </w14:textFill>
        </w:rPr>
        <w:t>的具体内容要求</w:t>
      </w:r>
      <w:r>
        <w:rPr>
          <w:rFonts w:hint="eastAsia" w:ascii="宋体" w:hAnsi="宋体" w:cs="宋体"/>
          <w:color w:val="000000" w:themeColor="text1"/>
          <w:sz w:val="24"/>
          <w:szCs w:val="24"/>
          <w:lang w:val="zh-CN"/>
          <w14:textFill>
            <w14:solidFill>
              <w14:schemeClr w14:val="tx1"/>
            </w14:solidFill>
          </w14:textFill>
        </w:rPr>
        <w:t>。</w:t>
      </w:r>
    </w:p>
    <w:p w14:paraId="7A6F6669">
      <w:pPr>
        <w:adjustRightInd w:val="0"/>
        <w:snapToGrid w:val="0"/>
        <w:spacing w:line="440" w:lineRule="exact"/>
        <w:ind w:firstLine="482" w:firstLineChars="200"/>
        <w:textAlignment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10.2 本项目预算金额为</w:t>
      </w:r>
      <w:r>
        <w:rPr>
          <w:rFonts w:hint="eastAsia" w:ascii="宋体" w:hAnsi="宋体" w:cs="宋体"/>
          <w:b/>
          <w:bCs/>
          <w:color w:val="000000" w:themeColor="text1"/>
          <w:sz w:val="24"/>
          <w:szCs w:val="24"/>
          <w:lang w:val="en-US" w:eastAsia="zh-CN"/>
          <w14:textFill>
            <w14:solidFill>
              <w14:schemeClr w14:val="tx1"/>
            </w14:solidFill>
          </w14:textFill>
        </w:rPr>
        <w:t xml:space="preserve"> 231500.00</w:t>
      </w:r>
      <w:r>
        <w:rPr>
          <w:rFonts w:hint="eastAsia" w:ascii="宋体" w:hAnsi="宋体" w:cs="宋体"/>
          <w:b/>
          <w:bCs/>
          <w:color w:val="000000" w:themeColor="text1"/>
          <w:sz w:val="24"/>
          <w:szCs w:val="24"/>
          <w14:textFill>
            <w14:solidFill>
              <w14:schemeClr w14:val="tx1"/>
            </w14:solidFill>
          </w14:textFill>
        </w:rPr>
        <w:t>元，当全部报价均超出财政预算限额或均低于公认的制作成本时，磋商小组有权决定本次竞争性磋商失败。</w:t>
      </w:r>
    </w:p>
    <w:p w14:paraId="2B5D0D63">
      <w:pPr>
        <w:adjustRightInd w:val="0"/>
        <w:snapToGrid w:val="0"/>
        <w:spacing w:line="480" w:lineRule="exact"/>
        <w:textAlignment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十一、</w:t>
      </w:r>
      <w:r>
        <w:rPr>
          <w:rFonts w:hint="eastAsia" w:ascii="宋体" w:hAnsi="宋体" w:cs="宋体"/>
          <w:b/>
          <w:bCs/>
          <w:color w:val="000000" w:themeColor="text1"/>
          <w:sz w:val="24"/>
          <w:szCs w:val="24"/>
          <w14:textFill>
            <w14:solidFill>
              <w14:schemeClr w14:val="tx1"/>
            </w14:solidFill>
          </w14:textFill>
        </w:rPr>
        <w:t>评审</w:t>
      </w:r>
      <w:r>
        <w:rPr>
          <w:rFonts w:hint="eastAsia" w:ascii="宋体" w:hAnsi="宋体" w:cs="宋体"/>
          <w:b/>
          <w:color w:val="000000" w:themeColor="text1"/>
          <w:sz w:val="24"/>
          <w:szCs w:val="24"/>
          <w14:textFill>
            <w14:solidFill>
              <w14:schemeClr w14:val="tx1"/>
            </w14:solidFill>
          </w14:textFill>
        </w:rPr>
        <w:t>原则与评审方法</w:t>
      </w:r>
    </w:p>
    <w:p w14:paraId="7033DCEF">
      <w:pPr>
        <w:adjustRightInd w:val="0"/>
        <w:snapToGrid w:val="0"/>
        <w:spacing w:line="42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11.1评审原则</w:t>
      </w:r>
    </w:p>
    <w:p w14:paraId="76F48AA2">
      <w:pPr>
        <w:adjustRightInd w:val="0"/>
        <w:snapToGrid w:val="0"/>
        <w:spacing w:line="420" w:lineRule="exact"/>
        <w:ind w:firstLine="720" w:firstLineChars="3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（1）本次磋商遵循公开透明、公平竞争、公正和诚实信用的原则。磋商小组成员按照客观、公正、审慎的原则，根据磋商文件规定的评审程序、评审方法和评审标准进行独立评审。未实质性响应</w:t>
      </w:r>
      <w:r>
        <w:rPr>
          <w:rFonts w:hint="eastAsia" w:ascii="宋体" w:hAnsi="宋体" w:cs="宋体"/>
          <w:color w:val="000000" w:themeColor="text1"/>
          <w:sz w:val="24"/>
          <w:szCs w:val="24"/>
          <w14:textFill>
            <w14:solidFill>
              <w14:schemeClr w14:val="tx1"/>
            </w14:solidFill>
          </w14:textFill>
        </w:rPr>
        <w:t>磋商</w:t>
      </w:r>
      <w:r>
        <w:rPr>
          <w:rFonts w:hint="eastAsia" w:ascii="宋体" w:hAnsi="宋体" w:cs="宋体"/>
          <w:color w:val="000000" w:themeColor="text1"/>
          <w:sz w:val="24"/>
          <w:szCs w:val="24"/>
          <w:lang w:val="zh-CN"/>
          <w14:textFill>
            <w14:solidFill>
              <w14:schemeClr w14:val="tx1"/>
            </w14:solidFill>
          </w14:textFill>
        </w:rPr>
        <w:t>文件的响应文件按无效响应处理，并告知提交响应文件的供应商。</w:t>
      </w:r>
    </w:p>
    <w:p w14:paraId="4565B544">
      <w:pPr>
        <w:adjustRightInd w:val="0"/>
        <w:snapToGrid w:val="0"/>
        <w:spacing w:line="42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2）磋商小组应当根据综合评分情况，按照评审得分由高到低顺序推荐3名及以上成交候选供应商，并编写评审报告。评审得分相同的，按技术标得分由高到低顺序排列。评审得分相同，技术标得分也相同的，按商务标得分由高到低进行推荐。</w:t>
      </w:r>
    </w:p>
    <w:p w14:paraId="51D14E5C">
      <w:pPr>
        <w:adjustRightInd w:val="0"/>
        <w:snapToGrid w:val="0"/>
        <w:spacing w:line="42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3）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7C43AC8">
      <w:pPr>
        <w:adjustRightInd w:val="0"/>
        <w:snapToGrid w:val="0"/>
        <w:spacing w:line="42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11.2评审标准</w:t>
      </w:r>
    </w:p>
    <w:p w14:paraId="2866105D">
      <w:pPr>
        <w:adjustRightInd w:val="0"/>
        <w:snapToGrid w:val="0"/>
        <w:spacing w:line="420" w:lineRule="exact"/>
        <w:ind w:firstLine="480" w:firstLineChars="200"/>
        <w:textAlignment w:val="center"/>
        <w:rPr>
          <w:rFonts w:hint="eastAsia"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根据《中华人民共和国政府采购法》、《中华人民共和国政府采购法实施条例》及《政府采购非招标管理办法》等有关规定，磋商小组成员按照客观、公正、谨慎的原则，根据磋商文件规定的评审程序、评审方法和评审标准进行独立评审。根据排名先后确定3名及以上成交候选供应商。</w:t>
      </w:r>
    </w:p>
    <w:p w14:paraId="27FB9B7E">
      <w:pPr>
        <w:snapToGrid w:val="0"/>
        <w:spacing w:line="460" w:lineRule="exact"/>
        <w:textAlignment w:val="center"/>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具体评审标准如下：</w:t>
      </w:r>
    </w:p>
    <w:tbl>
      <w:tblPr>
        <w:tblStyle w:val="23"/>
        <w:tblW w:w="9019" w:type="dxa"/>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732"/>
        <w:gridCol w:w="7350"/>
      </w:tblGrid>
      <w:tr w14:paraId="7D48D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37" w:type="dxa"/>
            <w:vAlign w:val="center"/>
          </w:tcPr>
          <w:p w14:paraId="174B414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w:t>
            </w:r>
          </w:p>
          <w:p w14:paraId="4653D5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tc>
        <w:tc>
          <w:tcPr>
            <w:tcW w:w="732" w:type="dxa"/>
            <w:vAlign w:val="center"/>
          </w:tcPr>
          <w:p w14:paraId="0FD0944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7350" w:type="dxa"/>
            <w:vAlign w:val="center"/>
          </w:tcPr>
          <w:p w14:paraId="2ADF43D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c>
      </w:tr>
      <w:tr w14:paraId="3E878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7" w:type="dxa"/>
            <w:vAlign w:val="center"/>
          </w:tcPr>
          <w:p w14:paraId="5C0AA0D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left="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磋商</w:t>
            </w:r>
          </w:p>
          <w:p w14:paraId="035089E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left="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w:t>
            </w:r>
          </w:p>
        </w:tc>
        <w:tc>
          <w:tcPr>
            <w:tcW w:w="732" w:type="dxa"/>
            <w:vAlign w:val="center"/>
          </w:tcPr>
          <w:p w14:paraId="47E8B5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left="0" w:leftChars="0" w:right="0" w:rightChars="0"/>
              <w:jc w:val="both"/>
              <w:textAlignment w:val="auto"/>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rPr>
              <w:t>20</w:t>
            </w:r>
            <w:r>
              <w:rPr>
                <w:rFonts w:hint="eastAsia" w:ascii="宋体" w:hAnsi="宋体" w:eastAsia="宋体" w:cs="宋体"/>
                <w:color w:val="auto"/>
                <w:kern w:val="0"/>
                <w:sz w:val="24"/>
                <w:szCs w:val="24"/>
                <w:highlight w:val="none"/>
                <w:lang w:val="en-US" w:eastAsia="zh-CN"/>
              </w:rPr>
              <w:t>分</w:t>
            </w:r>
          </w:p>
        </w:tc>
        <w:tc>
          <w:tcPr>
            <w:tcW w:w="7350" w:type="dxa"/>
            <w:vAlign w:val="center"/>
          </w:tcPr>
          <w:p w14:paraId="515A86E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满足磋商文件要求且磋商价格最低的投标报价为磋商基准价，其价格分为满分</w:t>
            </w:r>
            <w:r>
              <w:rPr>
                <w:rFonts w:hint="eastAsia" w:ascii="宋体" w:hAnsi="宋体" w:cs="宋体"/>
                <w:color w:val="auto"/>
                <w:sz w:val="24"/>
                <w:szCs w:val="24"/>
                <w:highlight w:val="none"/>
                <w:lang w:val="en-US" w:eastAsia="zh-CN"/>
              </w:rPr>
              <w:t>20分</w:t>
            </w:r>
            <w:r>
              <w:rPr>
                <w:rFonts w:hint="eastAsia" w:ascii="宋体" w:hAnsi="宋体" w:eastAsia="宋体" w:cs="宋体"/>
                <w:color w:val="auto"/>
                <w:sz w:val="24"/>
                <w:szCs w:val="24"/>
                <w:highlight w:val="none"/>
                <w:lang w:val="en-US" w:eastAsia="zh-CN"/>
              </w:rPr>
              <w:t>。其他投标供应商的价格分统一按照下列公式计算：磋商报价得分=（磋商基准价/最后磋商报价）×价格权值%×100。</w:t>
            </w:r>
          </w:p>
        </w:tc>
      </w:tr>
      <w:tr w14:paraId="6DCF0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7" w:type="dxa"/>
            <w:vAlign w:val="center"/>
          </w:tcPr>
          <w:p w14:paraId="236B7369">
            <w:pPr>
              <w:keepNext w:val="0"/>
              <w:keepLines w:val="0"/>
              <w:pageBreakBefore w:val="0"/>
              <w:widowControl/>
              <w:suppressLineNumbers w:val="0"/>
              <w:kinsoku/>
              <w:wordWrap/>
              <w:overflowPunct/>
              <w:topLinePunct w:val="0"/>
              <w:autoSpaceDE/>
              <w:autoSpaceDN/>
              <w:bidi w:val="0"/>
              <w:spacing w:before="0" w:beforeAutospacing="0" w:after="0" w:afterAutospacing="0" w:line="312" w:lineRule="auto"/>
              <w:ind w:left="0" w:right="0"/>
              <w:jc w:val="center"/>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服务</w:t>
            </w:r>
          </w:p>
          <w:p w14:paraId="4FE7791C">
            <w:pPr>
              <w:keepNext w:val="0"/>
              <w:keepLines w:val="0"/>
              <w:pageBreakBefore w:val="0"/>
              <w:widowControl/>
              <w:suppressLineNumbers w:val="0"/>
              <w:kinsoku/>
              <w:wordWrap/>
              <w:overflowPunct/>
              <w:topLinePunct w:val="0"/>
              <w:autoSpaceDE/>
              <w:autoSpaceDN/>
              <w:bidi w:val="0"/>
              <w:spacing w:before="0" w:beforeAutospacing="0" w:after="0" w:afterAutospacing="0" w:line="312" w:lineRule="auto"/>
              <w:ind w:left="0" w:right="0"/>
              <w:jc w:val="center"/>
              <w:textAlignment w:val="auto"/>
              <w:rPr>
                <w:rFonts w:hint="default"/>
                <w:highlight w:val="none"/>
              </w:rPr>
            </w:pPr>
            <w:r>
              <w:rPr>
                <w:rFonts w:hint="eastAsia" w:ascii="宋体" w:hAnsi="宋体" w:eastAsia="宋体" w:cs="宋体"/>
                <w:color w:val="000000"/>
                <w:kern w:val="0"/>
                <w:sz w:val="24"/>
                <w:szCs w:val="24"/>
                <w:highlight w:val="none"/>
                <w:lang w:val="en-US" w:eastAsia="zh-CN" w:bidi="ar"/>
              </w:rPr>
              <w:t>方案</w:t>
            </w:r>
          </w:p>
          <w:p w14:paraId="4834940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left="0" w:right="0" w:rightChars="0"/>
              <w:jc w:val="center"/>
              <w:textAlignment w:val="auto"/>
              <w:rPr>
                <w:rFonts w:hint="eastAsia" w:ascii="宋体" w:hAnsi="宋体" w:eastAsia="宋体" w:cs="宋体"/>
                <w:color w:val="auto"/>
                <w:sz w:val="24"/>
                <w:szCs w:val="24"/>
                <w:highlight w:val="none"/>
              </w:rPr>
            </w:pPr>
          </w:p>
        </w:tc>
        <w:tc>
          <w:tcPr>
            <w:tcW w:w="732" w:type="dxa"/>
            <w:vAlign w:val="center"/>
          </w:tcPr>
          <w:p w14:paraId="50184A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left="0" w:leftChars="0" w:right="0" w:rightChars="0"/>
              <w:jc w:val="center"/>
              <w:textAlignment w:val="auto"/>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38分</w:t>
            </w:r>
          </w:p>
        </w:tc>
        <w:tc>
          <w:tcPr>
            <w:tcW w:w="7350" w:type="dxa"/>
            <w:vAlign w:val="center"/>
          </w:tcPr>
          <w:p w14:paraId="08CC8397">
            <w:pPr>
              <w:keepNext w:val="0"/>
              <w:keepLines w:val="0"/>
              <w:pageBreakBefore w:val="0"/>
              <w:widowControl w:val="0"/>
              <w:numPr>
                <w:ilvl w:val="0"/>
                <w:numId w:val="3"/>
              </w:numPr>
              <w:suppressLineNumbers w:val="0"/>
              <w:kinsoku/>
              <w:wordWrap/>
              <w:overflowPunct/>
              <w:topLinePunct w:val="0"/>
              <w:autoSpaceDE/>
              <w:autoSpaceDN/>
              <w:bidi w:val="0"/>
              <w:adjustRightInd w:val="0"/>
              <w:snapToGrid w:val="0"/>
              <w:spacing w:before="0" w:beforeAutospacing="0" w:after="0" w:afterAutospacing="0" w:line="312" w:lineRule="auto"/>
              <w:ind w:right="0" w:rightChars="0"/>
              <w:jc w:val="left"/>
              <w:textAlignment w:val="auto"/>
              <w:rPr>
                <w:rFonts w:hint="eastAsia" w:ascii="宋体" w:hAnsi="宋体" w:eastAsia="宋体" w:cs="宋体"/>
                <w:snapToGrid w:val="0"/>
                <w:color w:val="000000"/>
                <w:kern w:val="0"/>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结合项目实际情况，针对本项目特点、难点，制定详细的服务方案。</w:t>
            </w:r>
            <w:r>
              <w:rPr>
                <w:rFonts w:hint="eastAsia" w:ascii="宋体" w:hAnsi="宋体" w:eastAsia="宋体" w:cs="宋体"/>
                <w:snapToGrid w:val="0"/>
                <w:color w:val="000000"/>
                <w:kern w:val="0"/>
                <w:sz w:val="24"/>
                <w:szCs w:val="24"/>
                <w:highlight w:val="none"/>
                <w:lang w:val="en-US" w:eastAsia="zh-CN"/>
              </w:rPr>
              <w:t>内容包含但不限于：①对项目的理解；②质量保证措施；③项目重点难点分析及解决措施；④项目实施进度计划及保障措施；⑤应急预案保障措施。</w:t>
            </w:r>
          </w:p>
          <w:p w14:paraId="5C06D4FE">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12" w:lineRule="auto"/>
              <w:ind w:right="0" w:rightChars="0"/>
              <w:jc w:val="left"/>
              <w:textAlignment w:val="auto"/>
              <w:rPr>
                <w:rFonts w:hint="eastAsia" w:ascii="宋体" w:hAnsi="宋体" w:eastAsia="宋体" w:cs="宋体"/>
                <w:snapToGrid w:val="0"/>
                <w:color w:val="000000"/>
                <w:kern w:val="0"/>
                <w:sz w:val="24"/>
                <w:szCs w:val="24"/>
                <w:highlight w:val="none"/>
                <w:lang w:val="en-US" w:eastAsia="zh-CN"/>
              </w:rPr>
            </w:pPr>
            <w:r>
              <w:rPr>
                <w:rFonts w:hint="eastAsia" w:ascii="宋体" w:hAnsi="宋体" w:eastAsia="宋体" w:cs="宋体"/>
                <w:snapToGrid w:val="0"/>
                <w:color w:val="000000"/>
                <w:kern w:val="0"/>
                <w:sz w:val="24"/>
                <w:szCs w:val="24"/>
                <w:highlight w:val="none"/>
                <w:lang w:val="en-US" w:eastAsia="zh-CN"/>
              </w:rPr>
              <w:t>评审规则：各项内容齐全、措施具体、贴合项目实际得基础分10分。缺一项扣2分；每发现一处内容缺陷、针对性不强、操作性不足扣0.5分，扣至0分为止。</w:t>
            </w:r>
          </w:p>
          <w:p w14:paraId="760BB324">
            <w:pPr>
              <w:keepNext w:val="0"/>
              <w:keepLines w:val="0"/>
              <w:pageBreakBefore w:val="0"/>
              <w:widowControl w:val="0"/>
              <w:numPr>
                <w:ilvl w:val="0"/>
                <w:numId w:val="3"/>
              </w:numPr>
              <w:suppressLineNumbers w:val="0"/>
              <w:kinsoku/>
              <w:wordWrap/>
              <w:overflowPunct/>
              <w:topLinePunct w:val="0"/>
              <w:autoSpaceDE/>
              <w:autoSpaceDN/>
              <w:bidi w:val="0"/>
              <w:adjustRightInd w:val="0"/>
              <w:snapToGrid w:val="0"/>
              <w:spacing w:before="0" w:beforeAutospacing="0" w:after="0" w:afterAutospacing="0" w:line="312" w:lineRule="auto"/>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根据投标单位完成该项目拟投入的消杀设备</w:t>
            </w:r>
            <w:r>
              <w:rPr>
                <w:rFonts w:hint="eastAsia" w:ascii="宋体" w:hAnsi="宋体" w:cs="宋体"/>
                <w:color w:val="auto"/>
                <w:kern w:val="2"/>
                <w:sz w:val="24"/>
                <w:szCs w:val="24"/>
                <w:highlight w:val="none"/>
                <w:lang w:val="en-US" w:eastAsia="zh-CN" w:bidi="ar-SA"/>
              </w:rPr>
              <w:t>情况。</w:t>
            </w:r>
            <w:r>
              <w:rPr>
                <w:rFonts w:hint="eastAsia" w:ascii="宋体" w:hAnsi="宋体" w:eastAsia="宋体" w:cs="宋体"/>
                <w:snapToGrid w:val="0"/>
                <w:color w:val="000000"/>
                <w:kern w:val="0"/>
                <w:sz w:val="24"/>
                <w:szCs w:val="24"/>
                <w:highlight w:val="none"/>
                <w:lang w:val="en-US" w:eastAsia="zh-CN"/>
              </w:rPr>
              <w:t>内容包含但不限于：①</w:t>
            </w:r>
            <w:r>
              <w:rPr>
                <w:rFonts w:hint="eastAsia" w:ascii="宋体" w:hAnsi="宋体" w:eastAsia="宋体" w:cs="宋体"/>
                <w:color w:val="auto"/>
                <w:kern w:val="2"/>
                <w:sz w:val="24"/>
                <w:szCs w:val="24"/>
                <w:highlight w:val="none"/>
                <w:lang w:val="en-US" w:eastAsia="zh-CN" w:bidi="ar-SA"/>
              </w:rPr>
              <w:t>消杀设备种类齐全、数量充足；</w:t>
            </w:r>
            <w:r>
              <w:rPr>
                <w:rFonts w:hint="eastAsia" w:ascii="宋体" w:hAnsi="宋体" w:eastAsia="宋体" w:cs="宋体"/>
                <w:snapToGrid w:val="0"/>
                <w:color w:val="000000"/>
                <w:kern w:val="0"/>
                <w:sz w:val="24"/>
                <w:szCs w:val="24"/>
                <w:highlight w:val="none"/>
                <w:lang w:val="en-US" w:eastAsia="zh-CN"/>
              </w:rPr>
              <w:t>②</w:t>
            </w:r>
            <w:r>
              <w:rPr>
                <w:rFonts w:hint="eastAsia" w:ascii="宋体" w:hAnsi="宋体" w:eastAsia="宋体" w:cs="宋体"/>
                <w:color w:val="auto"/>
                <w:kern w:val="2"/>
                <w:sz w:val="24"/>
                <w:szCs w:val="24"/>
                <w:highlight w:val="none"/>
                <w:lang w:val="en-US" w:eastAsia="zh-CN" w:bidi="ar-SA"/>
              </w:rPr>
              <w:t>有详细介绍并完全能够满足项目需求；</w:t>
            </w:r>
          </w:p>
          <w:p w14:paraId="6C738FAB">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12" w:lineRule="auto"/>
              <w:ind w:leftChars="0"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snapToGrid w:val="0"/>
                <w:color w:val="000000"/>
                <w:kern w:val="0"/>
                <w:sz w:val="24"/>
                <w:szCs w:val="24"/>
                <w:highlight w:val="none"/>
                <w:lang w:val="en-US" w:eastAsia="zh-CN"/>
              </w:rPr>
              <w:t>评审规则：设备种类齐全、数量配置合理、设备介绍</w:t>
            </w:r>
            <w:r>
              <w:rPr>
                <w:rFonts w:hint="eastAsia" w:ascii="宋体" w:hAnsi="宋体" w:cs="宋体"/>
                <w:snapToGrid w:val="0"/>
                <w:color w:val="000000"/>
                <w:kern w:val="0"/>
                <w:sz w:val="24"/>
                <w:szCs w:val="24"/>
                <w:highlight w:val="none"/>
                <w:lang w:val="en-US" w:eastAsia="zh-CN"/>
              </w:rPr>
              <w:t>翔实</w:t>
            </w:r>
            <w:r>
              <w:rPr>
                <w:rFonts w:hint="eastAsia" w:ascii="宋体" w:hAnsi="宋体" w:eastAsia="宋体" w:cs="宋体"/>
                <w:snapToGrid w:val="0"/>
                <w:color w:val="000000"/>
                <w:kern w:val="0"/>
                <w:sz w:val="24"/>
                <w:szCs w:val="24"/>
                <w:highlight w:val="none"/>
                <w:lang w:val="en-US" w:eastAsia="zh-CN"/>
              </w:rPr>
              <w:t>，满足项目作业需求得基础分8分。缺一项扣4分；每发现一处缺陷（种类不足、数量偏少、描述简单、参数缺失等）扣2分，扣至0分为止。</w:t>
            </w:r>
          </w:p>
          <w:p w14:paraId="25477DC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right="0" w:rightChars="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（3）病媒生物防制产品（如消杀药剂、器械、防护用品等）需兼顾安全性、有效性及合规性，提供农药登记证（消杀药剂类）、生产许可证、产品质量检验合格证等证明文件。共计10分，未提供不得分。</w:t>
            </w:r>
          </w:p>
          <w:p w14:paraId="769C5E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right="0" w:rightChars="0"/>
              <w:jc w:val="left"/>
              <w:textAlignment w:val="auto"/>
              <w:rPr>
                <w:rFonts w:hint="eastAsia" w:ascii="宋体" w:hAnsi="宋体" w:eastAsia="宋体" w:cs="宋体"/>
                <w:snapToGrid w:val="0"/>
                <w:color w:val="000000"/>
                <w:kern w:val="0"/>
                <w:sz w:val="24"/>
                <w:szCs w:val="24"/>
                <w:highlight w:val="none"/>
                <w:lang w:val="en-US" w:eastAsia="zh-CN"/>
              </w:rPr>
            </w:pPr>
            <w:r>
              <w:rPr>
                <w:rFonts w:hint="eastAsia" w:ascii="宋体" w:hAnsi="宋体" w:eastAsia="宋体" w:cs="宋体"/>
                <w:snapToGrid w:val="0"/>
                <w:color w:val="000000"/>
                <w:kern w:val="0"/>
                <w:sz w:val="24"/>
                <w:szCs w:val="24"/>
                <w:highlight w:val="none"/>
                <w:lang w:val="en-US" w:eastAsia="zh-CN"/>
              </w:rPr>
              <w:t>评审规则：产品安全有效，各项印证资料齐全规范得基础分10分。资料每缺一类重要</w:t>
            </w:r>
            <w:r>
              <w:rPr>
                <w:rFonts w:hint="eastAsia" w:ascii="宋体" w:hAnsi="宋体" w:cs="宋体"/>
                <w:snapToGrid w:val="0"/>
                <w:color w:val="000000"/>
                <w:kern w:val="0"/>
                <w:sz w:val="24"/>
                <w:szCs w:val="24"/>
                <w:highlight w:val="none"/>
                <w:lang w:val="en-US" w:eastAsia="zh-CN"/>
              </w:rPr>
              <w:t>证明文件</w:t>
            </w:r>
            <w:r>
              <w:rPr>
                <w:rFonts w:hint="eastAsia" w:ascii="宋体" w:hAnsi="宋体" w:eastAsia="宋体" w:cs="宋体"/>
                <w:snapToGrid w:val="0"/>
                <w:color w:val="000000"/>
                <w:kern w:val="0"/>
                <w:sz w:val="24"/>
                <w:szCs w:val="24"/>
                <w:highlight w:val="none"/>
                <w:lang w:val="en-US" w:eastAsia="zh-CN"/>
              </w:rPr>
              <w:t>扣4分；证照过期、产品与证照不匹配，每一处扣2分，扣至0分为止；未提供印证资料本项0分。</w:t>
            </w:r>
          </w:p>
          <w:p w14:paraId="0D74905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（4）投标人应按照本项目的实际情况，提供健全的安全作业管理制</w:t>
            </w:r>
            <w:r>
              <w:rPr>
                <w:rFonts w:hint="eastAsia" w:ascii="宋体" w:hAnsi="宋体" w:eastAsia="宋体" w:cs="宋体"/>
                <w:color w:val="auto"/>
                <w:sz w:val="24"/>
                <w:szCs w:val="24"/>
                <w:highlight w:val="none"/>
                <w:lang w:val="en-US" w:eastAsia="zh-CN"/>
              </w:rPr>
              <w:t>度及安全生产的保证措施。内容包括但不限于：</w:t>
            </w:r>
            <w:r>
              <w:rPr>
                <w:rFonts w:hint="eastAsia" w:ascii="宋体" w:hAnsi="宋体" w:eastAsia="宋体" w:cs="宋体"/>
                <w:snapToGrid w:val="0"/>
                <w:color w:val="000000"/>
                <w:kern w:val="0"/>
                <w:sz w:val="24"/>
                <w:szCs w:val="24"/>
                <w:highlight w:val="none"/>
                <w:lang w:val="en-US" w:eastAsia="zh-CN"/>
              </w:rPr>
              <w:t>①</w:t>
            </w:r>
            <w:r>
              <w:rPr>
                <w:rFonts w:hint="eastAsia" w:ascii="宋体" w:hAnsi="宋体" w:eastAsia="宋体" w:cs="宋体"/>
                <w:color w:val="auto"/>
                <w:sz w:val="24"/>
                <w:szCs w:val="24"/>
                <w:highlight w:val="none"/>
                <w:lang w:val="en-US" w:eastAsia="zh-CN"/>
              </w:rPr>
              <w:t>在作业时针对消杀区内人身安全管理；</w:t>
            </w:r>
            <w:r>
              <w:rPr>
                <w:rFonts w:hint="eastAsia" w:ascii="宋体" w:hAnsi="宋体" w:eastAsia="宋体" w:cs="宋体"/>
                <w:snapToGrid w:val="0"/>
                <w:color w:val="000000"/>
                <w:kern w:val="0"/>
                <w:sz w:val="24"/>
                <w:szCs w:val="24"/>
                <w:highlight w:val="none"/>
                <w:lang w:val="en-US" w:eastAsia="zh-CN"/>
              </w:rPr>
              <w:t>②</w:t>
            </w:r>
            <w:r>
              <w:rPr>
                <w:rFonts w:hint="eastAsia" w:ascii="宋体" w:hAnsi="宋体" w:eastAsia="宋体" w:cs="宋体"/>
                <w:color w:val="auto"/>
                <w:sz w:val="24"/>
                <w:szCs w:val="24"/>
                <w:highlight w:val="none"/>
                <w:lang w:val="en-US" w:eastAsia="zh-CN"/>
              </w:rPr>
              <w:t>劳保用具配置；</w:t>
            </w:r>
            <w:r>
              <w:rPr>
                <w:rFonts w:hint="eastAsia" w:ascii="宋体" w:hAnsi="宋体" w:eastAsia="宋体" w:cs="宋体"/>
                <w:snapToGrid w:val="0"/>
                <w:color w:val="000000"/>
                <w:kern w:val="0"/>
                <w:sz w:val="24"/>
                <w:szCs w:val="24"/>
                <w:highlight w:val="none"/>
                <w:lang w:val="en-US" w:eastAsia="zh-CN"/>
              </w:rPr>
              <w:t>③</w:t>
            </w:r>
            <w:r>
              <w:rPr>
                <w:rFonts w:hint="eastAsia" w:ascii="宋体" w:hAnsi="宋体" w:eastAsia="宋体" w:cs="宋体"/>
                <w:color w:val="auto"/>
                <w:sz w:val="24"/>
                <w:szCs w:val="24"/>
                <w:highlight w:val="none"/>
                <w:lang w:val="en-US" w:eastAsia="zh-CN"/>
              </w:rPr>
              <w:t>农药使用管理；</w:t>
            </w:r>
            <w:r>
              <w:rPr>
                <w:rFonts w:hint="eastAsia" w:ascii="宋体" w:hAnsi="宋体" w:eastAsia="宋体" w:cs="宋体"/>
                <w:snapToGrid w:val="0"/>
                <w:color w:val="000000"/>
                <w:kern w:val="0"/>
                <w:sz w:val="24"/>
                <w:szCs w:val="24"/>
                <w:highlight w:val="none"/>
                <w:lang w:val="en-US" w:eastAsia="zh-CN"/>
              </w:rPr>
              <w:t>④</w:t>
            </w:r>
            <w:r>
              <w:rPr>
                <w:rFonts w:hint="eastAsia" w:ascii="宋体" w:hAnsi="宋体" w:eastAsia="宋体" w:cs="宋体"/>
                <w:color w:val="auto"/>
                <w:sz w:val="24"/>
                <w:szCs w:val="24"/>
                <w:highlight w:val="none"/>
                <w:lang w:val="en-US" w:eastAsia="zh-CN"/>
              </w:rPr>
              <w:t>设备器械使用安全规范；</w:t>
            </w:r>
            <w:r>
              <w:rPr>
                <w:rFonts w:hint="eastAsia" w:ascii="宋体" w:hAnsi="宋体" w:eastAsia="宋体" w:cs="宋体"/>
                <w:snapToGrid w:val="0"/>
                <w:color w:val="000000"/>
                <w:kern w:val="0"/>
                <w:sz w:val="24"/>
                <w:szCs w:val="24"/>
                <w:highlight w:val="none"/>
                <w:lang w:val="en-US" w:eastAsia="zh-CN"/>
              </w:rPr>
              <w:t>⑤</w:t>
            </w:r>
            <w:r>
              <w:rPr>
                <w:rFonts w:hint="eastAsia" w:ascii="宋体" w:hAnsi="宋体" w:eastAsia="宋体" w:cs="宋体"/>
                <w:color w:val="auto"/>
                <w:sz w:val="24"/>
                <w:szCs w:val="24"/>
                <w:highlight w:val="none"/>
                <w:lang w:val="en-US" w:eastAsia="zh-CN"/>
              </w:rPr>
              <w:t>消杀区内环境保护措施、文明作业等。</w:t>
            </w:r>
          </w:p>
          <w:p w14:paraId="4D732D0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napToGrid w:val="0"/>
                <w:color w:val="000000"/>
                <w:kern w:val="0"/>
                <w:sz w:val="24"/>
                <w:szCs w:val="24"/>
                <w:highlight w:val="none"/>
                <w:lang w:val="en-US" w:eastAsia="zh-CN"/>
              </w:rPr>
              <w:t>评审规则：五项内容完整、制度健全、措施完善、可</w:t>
            </w:r>
            <w:r>
              <w:rPr>
                <w:rFonts w:hint="eastAsia" w:ascii="宋体" w:hAnsi="宋体" w:cs="宋体"/>
                <w:snapToGrid w:val="0"/>
                <w:color w:val="000000"/>
                <w:kern w:val="0"/>
                <w:sz w:val="24"/>
                <w:szCs w:val="24"/>
                <w:highlight w:val="none"/>
                <w:lang w:val="en-US" w:eastAsia="zh-CN"/>
              </w:rPr>
              <w:t>操作性强</w:t>
            </w:r>
            <w:r>
              <w:rPr>
                <w:rFonts w:hint="eastAsia" w:ascii="宋体" w:hAnsi="宋体" w:eastAsia="宋体" w:cs="宋体"/>
                <w:snapToGrid w:val="0"/>
                <w:color w:val="000000"/>
                <w:kern w:val="0"/>
                <w:sz w:val="24"/>
                <w:szCs w:val="24"/>
                <w:highlight w:val="none"/>
                <w:lang w:val="en-US" w:eastAsia="zh-CN"/>
              </w:rPr>
              <w:t>得10分。缺一项扣2分；每一处制度不完善、措施笼统、操作性不强扣0.5分，扣至0分为止。</w:t>
            </w:r>
          </w:p>
        </w:tc>
      </w:tr>
      <w:tr w14:paraId="24617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7" w:type="dxa"/>
            <w:vAlign w:val="center"/>
          </w:tcPr>
          <w:p w14:paraId="758EA60A">
            <w:pPr>
              <w:keepNext w:val="0"/>
              <w:keepLines w:val="0"/>
              <w:pageBreakBefore w:val="0"/>
              <w:widowControl/>
              <w:suppressLineNumbers w:val="0"/>
              <w:kinsoku/>
              <w:wordWrap/>
              <w:overflowPunct/>
              <w:topLinePunct w:val="0"/>
              <w:autoSpaceDE/>
              <w:autoSpaceDN/>
              <w:bidi w:val="0"/>
              <w:spacing w:before="0" w:beforeAutospacing="0" w:after="0" w:afterAutospacing="0" w:line="312" w:lineRule="auto"/>
              <w:ind w:left="0" w:right="0"/>
              <w:jc w:val="center"/>
              <w:textAlignment w:val="auto"/>
              <w:rPr>
                <w:rFonts w:hint="eastAsia" w:ascii="宋体" w:hAnsi="宋体" w:eastAsia="宋体" w:cs="宋体"/>
                <w:color w:val="auto"/>
                <w:kern w:val="0"/>
                <w:sz w:val="24"/>
                <w:szCs w:val="24"/>
                <w:highlight w:val="none"/>
                <w:lang w:val="en-US" w:eastAsia="zh-CN" w:bidi="ar"/>
              </w:rPr>
            </w:pPr>
          </w:p>
          <w:p w14:paraId="75E79008">
            <w:pPr>
              <w:keepNext w:val="0"/>
              <w:keepLines w:val="0"/>
              <w:pageBreakBefore w:val="0"/>
              <w:widowControl/>
              <w:suppressLineNumbers w:val="0"/>
              <w:kinsoku/>
              <w:wordWrap/>
              <w:overflowPunct/>
              <w:topLinePunct w:val="0"/>
              <w:autoSpaceDE/>
              <w:autoSpaceDN/>
              <w:bidi w:val="0"/>
              <w:spacing w:before="0" w:beforeAutospacing="0" w:after="0" w:afterAutospacing="0" w:line="312" w:lineRule="auto"/>
              <w:ind w:left="0" w:right="0"/>
              <w:jc w:val="center"/>
              <w:textAlignment w:val="auto"/>
              <w:rPr>
                <w:rFonts w:hint="eastAsia" w:ascii="宋体" w:hAnsi="宋体" w:eastAsia="宋体" w:cs="宋体"/>
                <w:color w:val="auto"/>
                <w:kern w:val="0"/>
                <w:sz w:val="24"/>
                <w:szCs w:val="24"/>
                <w:highlight w:val="none"/>
                <w:lang w:val="en-US" w:eastAsia="zh-CN" w:bidi="ar"/>
              </w:rPr>
            </w:pPr>
          </w:p>
          <w:p w14:paraId="3922F04B">
            <w:pPr>
              <w:keepNext w:val="0"/>
              <w:keepLines w:val="0"/>
              <w:pageBreakBefore w:val="0"/>
              <w:widowControl/>
              <w:suppressLineNumbers w:val="0"/>
              <w:kinsoku/>
              <w:wordWrap/>
              <w:overflowPunct/>
              <w:topLinePunct w:val="0"/>
              <w:autoSpaceDE/>
              <w:autoSpaceDN/>
              <w:bidi w:val="0"/>
              <w:spacing w:before="0" w:beforeAutospacing="0" w:after="0" w:afterAutospacing="0" w:line="312" w:lineRule="auto"/>
              <w:ind w:left="0" w:right="0"/>
              <w:jc w:val="center"/>
              <w:textAlignment w:val="auto"/>
              <w:rPr>
                <w:rFonts w:hint="eastAsia" w:ascii="宋体" w:hAnsi="宋体" w:eastAsia="宋体" w:cs="宋体"/>
                <w:color w:val="auto"/>
                <w:kern w:val="0"/>
                <w:sz w:val="24"/>
                <w:szCs w:val="24"/>
                <w:highlight w:val="none"/>
                <w:lang w:val="en-US" w:eastAsia="zh-CN" w:bidi="ar"/>
              </w:rPr>
            </w:pPr>
          </w:p>
          <w:p w14:paraId="56689ABF">
            <w:pPr>
              <w:keepNext w:val="0"/>
              <w:keepLines w:val="0"/>
              <w:pageBreakBefore w:val="0"/>
              <w:widowControl/>
              <w:suppressLineNumbers w:val="0"/>
              <w:kinsoku/>
              <w:wordWrap/>
              <w:overflowPunct/>
              <w:topLinePunct w:val="0"/>
              <w:autoSpaceDE/>
              <w:autoSpaceDN/>
              <w:bidi w:val="0"/>
              <w:spacing w:before="0" w:beforeAutospacing="0" w:after="0" w:afterAutospacing="0" w:line="312" w:lineRule="auto"/>
              <w:ind w:left="0" w:right="0"/>
              <w:jc w:val="center"/>
              <w:textAlignment w:val="auto"/>
              <w:rPr>
                <w:rFonts w:hint="eastAsia" w:ascii="宋体" w:hAnsi="宋体" w:eastAsia="宋体" w:cs="宋体"/>
                <w:color w:val="auto"/>
                <w:kern w:val="0"/>
                <w:sz w:val="24"/>
                <w:szCs w:val="24"/>
                <w:highlight w:val="none"/>
                <w:lang w:val="en-US" w:eastAsia="zh-CN" w:bidi="ar"/>
              </w:rPr>
            </w:pPr>
          </w:p>
          <w:p w14:paraId="7A08844A">
            <w:pPr>
              <w:keepNext w:val="0"/>
              <w:keepLines w:val="0"/>
              <w:pageBreakBefore w:val="0"/>
              <w:widowControl/>
              <w:suppressLineNumbers w:val="0"/>
              <w:kinsoku/>
              <w:wordWrap/>
              <w:overflowPunct/>
              <w:topLinePunct w:val="0"/>
              <w:autoSpaceDE/>
              <w:autoSpaceDN/>
              <w:bidi w:val="0"/>
              <w:spacing w:before="0" w:beforeAutospacing="0" w:after="0" w:afterAutospacing="0" w:line="312" w:lineRule="auto"/>
              <w:ind w:left="0" w:right="0"/>
              <w:jc w:val="center"/>
              <w:textAlignment w:val="auto"/>
              <w:rPr>
                <w:rFonts w:hint="eastAsia" w:ascii="宋体" w:hAnsi="宋体" w:eastAsia="宋体" w:cs="宋体"/>
                <w:color w:val="auto"/>
                <w:kern w:val="0"/>
                <w:sz w:val="24"/>
                <w:szCs w:val="24"/>
                <w:highlight w:val="none"/>
                <w:lang w:val="en-US" w:eastAsia="zh-CN" w:bidi="ar"/>
              </w:rPr>
            </w:pPr>
          </w:p>
          <w:p w14:paraId="5F227B6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left="0" w:right="0" w:rightChars="0"/>
              <w:jc w:val="center"/>
              <w:textAlignment w:val="auto"/>
              <w:rPr>
                <w:rFonts w:hint="eastAsia" w:ascii="宋体" w:hAnsi="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人员</w:t>
            </w:r>
          </w:p>
          <w:p w14:paraId="54EC300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left="0"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kern w:val="0"/>
                <w:sz w:val="24"/>
                <w:szCs w:val="24"/>
                <w:highlight w:val="none"/>
                <w:lang w:val="en-US" w:eastAsia="zh-CN" w:bidi="ar"/>
              </w:rPr>
              <w:t>配备</w:t>
            </w:r>
          </w:p>
        </w:tc>
        <w:tc>
          <w:tcPr>
            <w:tcW w:w="732" w:type="dxa"/>
            <w:vAlign w:val="center"/>
          </w:tcPr>
          <w:p w14:paraId="5E99D32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right="0" w:rightChars="0"/>
              <w:jc w:val="center"/>
              <w:textAlignment w:val="auto"/>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20分</w:t>
            </w:r>
          </w:p>
        </w:tc>
        <w:tc>
          <w:tcPr>
            <w:tcW w:w="7350" w:type="dxa"/>
            <w:vAlign w:val="center"/>
          </w:tcPr>
          <w:p w14:paraId="67DC46C3">
            <w:pPr>
              <w:pStyle w:val="4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left="0" w:leftChars="0" w:right="0" w:firstLine="0" w:firstLineChars="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结合项目实际情况，岗位设置齐全、职责明确、人员配置合理充足、明确服务人员类型及职责，须具备专业技术人员（负责制定防制方案、评估防制效果等）、作业实施人员（承担消杀操作、设施维护等工作）、管理人员（协调防制计划、记录工作台账等）。</w:t>
            </w:r>
          </w:p>
          <w:p w14:paraId="4235B4A4">
            <w:pPr>
              <w:pStyle w:val="4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left="0" w:leftChars="0" w:right="0" w:firstLine="0" w:firstLineChars="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1.提供拟派人员名单及对应岗位，服务团队人员总人数满足5人，得10分</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每少1人扣2分，扣完为止</w:t>
            </w:r>
            <w:r>
              <w:rPr>
                <w:rFonts w:hint="eastAsia" w:ascii="宋体" w:hAnsi="宋体" w:cs="宋体"/>
                <w:color w:val="auto"/>
                <w:kern w:val="2"/>
                <w:sz w:val="24"/>
                <w:szCs w:val="24"/>
                <w:highlight w:val="none"/>
                <w:lang w:val="en-US" w:eastAsia="zh-CN" w:bidi="ar-SA"/>
              </w:rPr>
              <w:t>；需提供身份证复印件，</w:t>
            </w:r>
            <w:r>
              <w:rPr>
                <w:rFonts w:hint="eastAsia" w:ascii="宋体" w:hAnsi="宋体" w:eastAsia="宋体" w:cs="宋体"/>
                <w:color w:val="auto"/>
                <w:kern w:val="2"/>
                <w:sz w:val="24"/>
                <w:szCs w:val="24"/>
                <w:highlight w:val="none"/>
                <w:lang w:val="en-US" w:eastAsia="zh-CN" w:bidi="ar-SA"/>
              </w:rPr>
              <w:t>未提供不得分。</w:t>
            </w:r>
          </w:p>
          <w:p w14:paraId="452B131E">
            <w:pPr>
              <w:pStyle w:val="4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left="0" w:leftChars="0" w:right="0" w:firstLine="0" w:firstLineChars="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（2）拟派服务</w:t>
            </w:r>
            <w:r>
              <w:rPr>
                <w:rFonts w:hint="eastAsia" w:ascii="宋体" w:hAnsi="宋体" w:cs="宋体"/>
                <w:color w:val="auto"/>
                <w:kern w:val="2"/>
                <w:sz w:val="24"/>
                <w:szCs w:val="24"/>
                <w:highlight w:val="none"/>
                <w:lang w:val="en-US" w:eastAsia="zh-CN" w:bidi="ar-SA"/>
              </w:rPr>
              <w:t>团队</w:t>
            </w:r>
            <w:r>
              <w:rPr>
                <w:rFonts w:hint="eastAsia" w:ascii="宋体" w:hAnsi="宋体" w:eastAsia="宋体" w:cs="宋体"/>
                <w:color w:val="auto"/>
                <w:kern w:val="2"/>
                <w:sz w:val="24"/>
                <w:szCs w:val="24"/>
                <w:highlight w:val="none"/>
                <w:lang w:val="en-US" w:eastAsia="zh-CN" w:bidi="ar-SA"/>
              </w:rPr>
              <w:t>人员具有《有害生物防制员》证书或专业技术机构培训证书，每提供1名得2分，最多得10分；</w:t>
            </w:r>
            <w:r>
              <w:rPr>
                <w:rFonts w:hint="eastAsia" w:ascii="宋体" w:hAnsi="宋体" w:cs="宋体"/>
                <w:color w:val="auto"/>
                <w:kern w:val="2"/>
                <w:sz w:val="24"/>
                <w:szCs w:val="24"/>
                <w:highlight w:val="none"/>
                <w:lang w:val="en-US" w:eastAsia="zh-CN" w:bidi="ar-SA"/>
              </w:rPr>
              <w:t>需提供身份证复印件，</w:t>
            </w:r>
            <w:r>
              <w:rPr>
                <w:rFonts w:hint="eastAsia" w:ascii="宋体" w:hAnsi="宋体" w:eastAsia="宋体" w:cs="宋体"/>
                <w:color w:val="auto"/>
                <w:kern w:val="2"/>
                <w:sz w:val="24"/>
                <w:szCs w:val="24"/>
                <w:highlight w:val="none"/>
                <w:lang w:val="en-US" w:eastAsia="zh-CN" w:bidi="ar-SA"/>
              </w:rPr>
              <w:t>未提供不得分。</w:t>
            </w:r>
          </w:p>
        </w:tc>
      </w:tr>
      <w:tr w14:paraId="259D9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937" w:type="dxa"/>
            <w:vAlign w:val="center"/>
          </w:tcPr>
          <w:p w14:paraId="441B6B02">
            <w:pPr>
              <w:keepNext w:val="0"/>
              <w:keepLines w:val="0"/>
              <w:pageBreakBefore w:val="0"/>
              <w:widowControl/>
              <w:suppressLineNumbers w:val="0"/>
              <w:kinsoku/>
              <w:wordWrap/>
              <w:overflowPunct/>
              <w:topLinePunct w:val="0"/>
              <w:autoSpaceDE/>
              <w:autoSpaceDN/>
              <w:bidi w:val="0"/>
              <w:spacing w:before="0" w:beforeAutospacing="0" w:after="0" w:afterAutospacing="0" w:line="312" w:lineRule="auto"/>
              <w:ind w:left="0" w:right="0"/>
              <w:jc w:val="center"/>
              <w:textAlignment w:val="auto"/>
              <w:rPr>
                <w:rFonts w:hint="default"/>
                <w:highlight w:val="none"/>
              </w:rPr>
            </w:pPr>
            <w:r>
              <w:rPr>
                <w:rFonts w:hint="eastAsia" w:ascii="宋体" w:hAnsi="宋体" w:eastAsia="宋体" w:cs="宋体"/>
                <w:color w:val="000000"/>
                <w:kern w:val="0"/>
                <w:sz w:val="24"/>
                <w:szCs w:val="24"/>
                <w:highlight w:val="none"/>
                <w:lang w:val="en-US" w:eastAsia="zh-CN" w:bidi="ar"/>
              </w:rPr>
              <w:t>售后服</w:t>
            </w:r>
          </w:p>
          <w:p w14:paraId="037471CF">
            <w:pPr>
              <w:keepNext w:val="0"/>
              <w:keepLines w:val="0"/>
              <w:pageBreakBefore w:val="0"/>
              <w:widowControl/>
              <w:suppressLineNumbers w:val="0"/>
              <w:kinsoku/>
              <w:wordWrap/>
              <w:overflowPunct/>
              <w:topLinePunct w:val="0"/>
              <w:autoSpaceDE/>
              <w:autoSpaceDN/>
              <w:bidi w:val="0"/>
              <w:spacing w:before="0" w:beforeAutospacing="0" w:after="0" w:afterAutospacing="0" w:line="312" w:lineRule="auto"/>
              <w:ind w:left="0" w:right="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
              </w:rPr>
              <w:t>务方案</w:t>
            </w:r>
          </w:p>
        </w:tc>
        <w:tc>
          <w:tcPr>
            <w:tcW w:w="732" w:type="dxa"/>
            <w:vAlign w:val="center"/>
          </w:tcPr>
          <w:p w14:paraId="24F8CF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left="0" w:right="0"/>
              <w:jc w:val="center"/>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12</w:t>
            </w:r>
            <w:r>
              <w:rPr>
                <w:rFonts w:hint="eastAsia" w:ascii="宋体" w:hAnsi="宋体" w:cs="宋体"/>
                <w:color w:val="auto"/>
                <w:kern w:val="0"/>
                <w:sz w:val="24"/>
                <w:szCs w:val="24"/>
                <w:highlight w:val="none"/>
                <w:lang w:val="en-US" w:eastAsia="zh-CN"/>
              </w:rPr>
              <w:t>分</w:t>
            </w:r>
          </w:p>
        </w:tc>
        <w:tc>
          <w:tcPr>
            <w:tcW w:w="7350" w:type="dxa"/>
            <w:vAlign w:val="center"/>
          </w:tcPr>
          <w:p w14:paraId="14C54F3C">
            <w:pPr>
              <w:pStyle w:val="4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left="0" w:leftChars="0" w:right="0" w:firstLine="0" w:firstLineChars="0"/>
              <w:jc w:val="left"/>
              <w:textAlignment w:val="auto"/>
              <w:outlineLvl w:val="9"/>
              <w:rPr>
                <w:rFonts w:hint="eastAsia" w:ascii="宋体" w:hAnsi="宋体" w:eastAsia="宋体" w:cs="宋体"/>
                <w:snapToGrid w:val="0"/>
                <w:color w:val="000000"/>
                <w:kern w:val="0"/>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供应商根据本项目特点提供详细具体可行的售后服务方案，</w:t>
            </w:r>
            <w:r>
              <w:rPr>
                <w:rFonts w:hint="eastAsia" w:ascii="宋体" w:hAnsi="宋体" w:eastAsia="宋体" w:cs="宋体"/>
                <w:snapToGrid w:val="0"/>
                <w:color w:val="000000"/>
                <w:kern w:val="0"/>
                <w:sz w:val="24"/>
                <w:szCs w:val="24"/>
                <w:highlight w:val="none"/>
                <w:lang w:val="en-US" w:eastAsia="zh-CN"/>
              </w:rPr>
              <w:t>内容包含但不限于：①</w:t>
            </w:r>
            <w:r>
              <w:rPr>
                <w:rFonts w:hint="eastAsia" w:ascii="宋体" w:hAnsi="宋体" w:eastAsia="宋体" w:cs="宋体"/>
                <w:color w:val="auto"/>
                <w:kern w:val="2"/>
                <w:sz w:val="24"/>
                <w:szCs w:val="24"/>
                <w:highlight w:val="none"/>
                <w:lang w:val="en-US" w:eastAsia="zh-CN" w:bidi="ar-SA"/>
              </w:rPr>
              <w:t>服务响应时间短（电话支持、远程服务、现场服务）</w:t>
            </w:r>
            <w:r>
              <w:rPr>
                <w:rFonts w:hint="eastAsia" w:ascii="宋体" w:hAnsi="宋体" w:cs="宋体"/>
                <w:color w:val="auto"/>
                <w:kern w:val="2"/>
                <w:sz w:val="24"/>
                <w:szCs w:val="24"/>
                <w:highlight w:val="none"/>
                <w:lang w:val="en-US" w:eastAsia="zh-CN" w:bidi="ar-SA"/>
              </w:rPr>
              <w:t>；②</w:t>
            </w:r>
            <w:r>
              <w:rPr>
                <w:rFonts w:hint="eastAsia" w:ascii="宋体" w:hAnsi="宋体" w:eastAsia="宋体" w:cs="宋体"/>
                <w:color w:val="auto"/>
                <w:kern w:val="2"/>
                <w:sz w:val="24"/>
                <w:szCs w:val="24"/>
                <w:highlight w:val="none"/>
                <w:lang w:val="en-US" w:eastAsia="zh-CN" w:bidi="ar-SA"/>
              </w:rPr>
              <w:t>定期巡查</w:t>
            </w:r>
            <w:r>
              <w:rPr>
                <w:rFonts w:hint="eastAsia" w:ascii="宋体" w:hAnsi="宋体" w:eastAsia="宋体" w:cs="宋体"/>
                <w:snapToGrid w:val="0"/>
                <w:color w:val="000000"/>
                <w:kern w:val="0"/>
                <w:sz w:val="24"/>
                <w:szCs w:val="24"/>
                <w:highlight w:val="none"/>
                <w:lang w:val="en-US" w:eastAsia="zh-CN"/>
              </w:rPr>
              <w:t>；③</w:t>
            </w:r>
            <w:r>
              <w:rPr>
                <w:rFonts w:hint="eastAsia" w:ascii="宋体" w:hAnsi="宋体" w:eastAsia="宋体" w:cs="宋体"/>
                <w:color w:val="auto"/>
                <w:kern w:val="2"/>
                <w:sz w:val="24"/>
                <w:szCs w:val="24"/>
                <w:highlight w:val="none"/>
                <w:lang w:val="en-US" w:eastAsia="zh-CN" w:bidi="ar-SA"/>
              </w:rPr>
              <w:t>监督管理制度</w:t>
            </w:r>
            <w:r>
              <w:rPr>
                <w:rFonts w:hint="eastAsia" w:ascii="宋体" w:hAnsi="宋体" w:eastAsia="宋体" w:cs="宋体"/>
                <w:snapToGrid w:val="0"/>
                <w:color w:val="000000"/>
                <w:kern w:val="0"/>
                <w:sz w:val="24"/>
                <w:szCs w:val="24"/>
                <w:highlight w:val="none"/>
                <w:lang w:val="en-US" w:eastAsia="zh-CN"/>
              </w:rPr>
              <w:t>；④</w:t>
            </w:r>
            <w:r>
              <w:rPr>
                <w:rFonts w:hint="eastAsia" w:ascii="宋体" w:hAnsi="宋体" w:eastAsia="宋体" w:cs="宋体"/>
                <w:color w:val="auto"/>
                <w:kern w:val="2"/>
                <w:sz w:val="24"/>
                <w:szCs w:val="24"/>
                <w:highlight w:val="none"/>
                <w:lang w:val="en-US" w:eastAsia="zh-CN" w:bidi="ar-SA"/>
              </w:rPr>
              <w:t>后勤保障措施等</w:t>
            </w:r>
            <w:r>
              <w:rPr>
                <w:rFonts w:hint="eastAsia" w:ascii="宋体" w:hAnsi="宋体" w:eastAsia="宋体" w:cs="宋体"/>
                <w:snapToGrid w:val="0"/>
                <w:color w:val="000000"/>
                <w:kern w:val="0"/>
                <w:sz w:val="24"/>
                <w:szCs w:val="24"/>
                <w:highlight w:val="none"/>
                <w:lang w:val="en-US" w:eastAsia="zh-CN"/>
              </w:rPr>
              <w:t>。</w:t>
            </w:r>
          </w:p>
          <w:p w14:paraId="2265C53F">
            <w:pPr>
              <w:pStyle w:val="4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left="0" w:leftChars="0" w:right="0" w:firstLine="0" w:firstLineChars="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snapToGrid w:val="0"/>
                <w:color w:val="000000"/>
                <w:kern w:val="0"/>
                <w:sz w:val="24"/>
                <w:szCs w:val="24"/>
                <w:highlight w:val="none"/>
                <w:lang w:val="en-US" w:eastAsia="zh-CN"/>
              </w:rPr>
              <w:t>评审规则：四项内容齐全、方案具体可行、贴合项目实际得基础分12分。缺一项扣3分；每发现一处内容缺陷、表述空泛、针对性不强、措施</w:t>
            </w:r>
            <w:r>
              <w:rPr>
                <w:rFonts w:hint="eastAsia" w:ascii="宋体" w:hAnsi="宋体" w:cs="宋体"/>
                <w:snapToGrid w:val="0"/>
                <w:color w:val="000000"/>
                <w:kern w:val="0"/>
                <w:sz w:val="24"/>
                <w:szCs w:val="24"/>
                <w:highlight w:val="none"/>
                <w:lang w:val="en-US" w:eastAsia="zh-CN"/>
              </w:rPr>
              <w:t>可操作性不强</w:t>
            </w:r>
            <w:r>
              <w:rPr>
                <w:rFonts w:hint="eastAsia" w:ascii="宋体" w:hAnsi="宋体" w:eastAsia="宋体" w:cs="宋体"/>
                <w:snapToGrid w:val="0"/>
                <w:color w:val="000000"/>
                <w:kern w:val="0"/>
                <w:sz w:val="24"/>
                <w:szCs w:val="24"/>
                <w:highlight w:val="none"/>
                <w:lang w:val="en-US" w:eastAsia="zh-CN"/>
              </w:rPr>
              <w:t>扣1分，扣至0分为止。</w:t>
            </w:r>
          </w:p>
        </w:tc>
      </w:tr>
      <w:tr w14:paraId="4AC07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9" w:hRule="atLeast"/>
        </w:trPr>
        <w:tc>
          <w:tcPr>
            <w:tcW w:w="937" w:type="dxa"/>
            <w:vAlign w:val="center"/>
          </w:tcPr>
          <w:p w14:paraId="063339F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tc>
        <w:tc>
          <w:tcPr>
            <w:tcW w:w="732" w:type="dxa"/>
            <w:vAlign w:val="center"/>
          </w:tcPr>
          <w:p w14:paraId="2DC8FE1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12" w:lineRule="auto"/>
              <w:ind w:left="0" w:right="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lang w:val="en-US" w:eastAsia="zh-CN"/>
              </w:rPr>
              <w:t>分</w:t>
            </w:r>
          </w:p>
        </w:tc>
        <w:tc>
          <w:tcPr>
            <w:tcW w:w="7350" w:type="dxa"/>
            <w:vAlign w:val="center"/>
          </w:tcPr>
          <w:p w14:paraId="45730E41">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12" w:lineRule="auto"/>
              <w:ind w:right="0" w:rightChars="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供应商提供</w:t>
            </w:r>
            <w:r>
              <w:rPr>
                <w:rFonts w:hint="eastAsia" w:ascii="宋体" w:hAnsi="宋体" w:eastAsia="宋体" w:cs="宋体"/>
                <w:b w:val="0"/>
                <w:bCs w:val="0"/>
                <w:color w:val="auto"/>
                <w:sz w:val="24"/>
                <w:szCs w:val="24"/>
                <w:highlight w:val="none"/>
                <w:lang w:val="en-US" w:eastAsia="zh-CN"/>
              </w:rPr>
              <w:t>2023</w:t>
            </w:r>
            <w:r>
              <w:rPr>
                <w:rFonts w:hint="eastAsia" w:ascii="宋体" w:hAnsi="宋体" w:eastAsia="宋体" w:cs="宋体"/>
                <w:b w:val="0"/>
                <w:bCs w:val="0"/>
                <w:color w:val="auto"/>
                <w:sz w:val="24"/>
                <w:szCs w:val="24"/>
                <w:highlight w:val="none"/>
              </w:rPr>
              <w:t>年</w:t>
            </w:r>
            <w:r>
              <w:rPr>
                <w:rFonts w:hint="eastAsia" w:ascii="宋体" w:hAnsi="宋体" w:cs="宋体"/>
                <w:b w:val="0"/>
                <w:bCs w:val="0"/>
                <w:color w:val="auto"/>
                <w:sz w:val="24"/>
                <w:szCs w:val="24"/>
                <w:highlight w:val="none"/>
                <w:lang w:val="en-US" w:eastAsia="zh-CN"/>
              </w:rPr>
              <w:t>9月</w:t>
            </w:r>
            <w:r>
              <w:rPr>
                <w:rFonts w:hint="eastAsia" w:ascii="宋体" w:hAnsi="宋体" w:eastAsia="宋体" w:cs="宋体"/>
                <w:b w:val="0"/>
                <w:bCs w:val="0"/>
                <w:color w:val="auto"/>
                <w:sz w:val="24"/>
                <w:szCs w:val="24"/>
                <w:highlight w:val="none"/>
              </w:rPr>
              <w:t>至今类似项目</w:t>
            </w:r>
            <w:r>
              <w:rPr>
                <w:rFonts w:hint="eastAsia" w:ascii="宋体" w:hAnsi="宋体" w:eastAsia="宋体" w:cs="宋体"/>
                <w:b w:val="0"/>
                <w:bCs w:val="0"/>
                <w:color w:val="auto"/>
                <w:sz w:val="24"/>
                <w:szCs w:val="24"/>
                <w:highlight w:val="none"/>
                <w:lang w:val="en-US" w:eastAsia="zh-CN"/>
              </w:rPr>
              <w:t>业绩</w:t>
            </w:r>
            <w:r>
              <w:rPr>
                <w:rFonts w:hint="eastAsia" w:ascii="宋体" w:hAnsi="宋体" w:eastAsia="宋体" w:cs="宋体"/>
                <w:b w:val="0"/>
                <w:bCs w:val="0"/>
                <w:color w:val="auto"/>
                <w:sz w:val="24"/>
                <w:szCs w:val="24"/>
                <w:highlight w:val="none"/>
              </w:rPr>
              <w:t>，每提供1份得</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分，最高得</w:t>
            </w:r>
            <w:r>
              <w:rPr>
                <w:rFonts w:hint="eastAsia" w:ascii="宋体" w:hAnsi="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rPr>
              <w:t>分</w:t>
            </w:r>
            <w:r>
              <w:rPr>
                <w:rFonts w:hint="eastAsia" w:ascii="宋体" w:hAnsi="宋体" w:cs="宋体"/>
                <w:b w:val="0"/>
                <w:bCs w:val="0"/>
                <w:color w:val="auto"/>
                <w:sz w:val="24"/>
                <w:szCs w:val="24"/>
                <w:highlight w:val="none"/>
                <w:lang w:eastAsia="zh-CN"/>
              </w:rPr>
              <w:t>，</w:t>
            </w:r>
            <w:r>
              <w:rPr>
                <w:rFonts w:hint="eastAsia" w:ascii="宋体" w:hAnsi="宋体" w:eastAsia="宋体" w:cs="宋体"/>
                <w:color w:val="auto"/>
                <w:sz w:val="24"/>
                <w:szCs w:val="24"/>
                <w:highlight w:val="none"/>
              </w:rPr>
              <w:t>未提供不得分</w:t>
            </w:r>
            <w:r>
              <w:rPr>
                <w:rFonts w:hint="eastAsia" w:ascii="宋体" w:hAnsi="宋体" w:eastAsia="宋体" w:cs="宋体"/>
                <w:color w:val="auto"/>
                <w:sz w:val="24"/>
                <w:szCs w:val="24"/>
                <w:highlight w:val="none"/>
                <w:lang w:eastAsia="zh-CN"/>
              </w:rPr>
              <w:t>。</w:t>
            </w:r>
          </w:p>
          <w:p w14:paraId="6AA7FF72">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12" w:lineRule="auto"/>
              <w:ind w:right="0" w:righ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b w:val="0"/>
                <w:bCs w:val="0"/>
                <w:color w:val="auto"/>
                <w:kern w:val="44"/>
                <w:sz w:val="24"/>
                <w:szCs w:val="24"/>
                <w:highlight w:val="none"/>
                <w:lang w:val="en-US" w:eastAsia="zh-CN"/>
              </w:rPr>
              <w:t>需提供真实有效的合同或中标通知书</w:t>
            </w:r>
            <w:r>
              <w:rPr>
                <w:rFonts w:hint="eastAsia" w:ascii="宋体" w:hAnsi="宋体" w:cs="宋体"/>
                <w:b w:val="0"/>
                <w:bCs w:val="0"/>
                <w:color w:val="auto"/>
                <w:kern w:val="44"/>
                <w:sz w:val="24"/>
                <w:szCs w:val="24"/>
                <w:highlight w:val="none"/>
                <w:lang w:val="en-US" w:eastAsia="zh-CN"/>
              </w:rPr>
              <w:t>复印件并加盖公章</w:t>
            </w:r>
            <w:r>
              <w:rPr>
                <w:rFonts w:hint="eastAsia" w:ascii="宋体" w:hAnsi="宋体" w:eastAsia="宋体" w:cs="宋体"/>
                <w:b w:val="0"/>
                <w:bCs w:val="0"/>
                <w:color w:val="auto"/>
                <w:kern w:val="44"/>
                <w:sz w:val="24"/>
                <w:szCs w:val="24"/>
                <w:highlight w:val="none"/>
                <w:lang w:val="en-US" w:eastAsia="zh-CN"/>
              </w:rPr>
              <w:t>，提供合同的以合同签订时间为准，未签订合同以提供的中标通知书时间为准，两者均未提供的</w:t>
            </w:r>
            <w:r>
              <w:rPr>
                <w:rFonts w:hint="eastAsia" w:ascii="宋体" w:hAnsi="宋体" w:eastAsia="宋体" w:cs="宋体"/>
                <w:color w:val="auto"/>
                <w:sz w:val="24"/>
                <w:szCs w:val="24"/>
                <w:highlight w:val="none"/>
                <w:lang w:eastAsia="zh-CN"/>
              </w:rPr>
              <w:t>不得分。</w:t>
            </w:r>
          </w:p>
        </w:tc>
      </w:tr>
    </w:tbl>
    <w:p w14:paraId="31393D04">
      <w:pPr>
        <w:tabs>
          <w:tab w:val="left" w:pos="540"/>
        </w:tabs>
        <w:spacing w:line="490" w:lineRule="exact"/>
        <w:ind w:firstLine="482" w:firstLineChars="20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备注：1、以上打分资料需真实、有效提供</w:t>
      </w:r>
      <w:r>
        <w:rPr>
          <w:rFonts w:hint="eastAsia" w:ascii="宋体" w:hAnsi="宋体"/>
          <w:b/>
          <w:bCs/>
          <w:color w:val="000000" w:themeColor="text1"/>
          <w:sz w:val="24"/>
          <w:szCs w:val="24"/>
          <w:lang w:eastAsia="zh-CN"/>
          <w14:textFill>
            <w14:solidFill>
              <w14:schemeClr w14:val="tx1"/>
            </w14:solidFill>
          </w14:textFill>
        </w:rPr>
        <w:t>复印件并加盖</w:t>
      </w:r>
      <w:r>
        <w:rPr>
          <w:rFonts w:hint="eastAsia" w:ascii="宋体" w:hAnsi="宋体"/>
          <w:b/>
          <w:bCs/>
          <w:color w:val="000000" w:themeColor="text1"/>
          <w:sz w:val="24"/>
          <w:szCs w:val="24"/>
          <w14:textFill>
            <w14:solidFill>
              <w14:schemeClr w14:val="tx1"/>
            </w14:solidFill>
          </w14:textFill>
        </w:rPr>
        <w:t>单位公章，一旦发现提供虚假资料，采购方有权取消供应商资格，视为无效投标（必要时，请财政部门按照相关办法和规定处理）；如未按要求提供，不得分。</w:t>
      </w:r>
    </w:p>
    <w:p w14:paraId="3745AF02">
      <w:pPr>
        <w:spacing w:line="490" w:lineRule="exact"/>
        <w:ind w:firstLine="482" w:firstLineChars="200"/>
        <w:jc w:val="lef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t>2.</w:t>
      </w:r>
      <w:r>
        <w:rPr>
          <w:rFonts w:hint="eastAsia" w:ascii="宋体" w:hAnsi="宋体"/>
          <w:b/>
          <w:bCs/>
          <w:color w:val="000000" w:themeColor="text1"/>
          <w:sz w:val="24"/>
          <w:szCs w:val="24"/>
          <w14:textFill>
            <w14:solidFill>
              <w14:schemeClr w14:val="tx1"/>
            </w14:solidFill>
          </w14:textFill>
        </w:rPr>
        <w:t>上述文件须按顺序排版，未要求为原件的相关资料可为复印件并加盖公章，与此项目有关的其他资格及技术文件复印件并加盖公章。</w:t>
      </w:r>
      <w:r>
        <w:rPr>
          <w:rFonts w:hint="eastAsia" w:ascii="宋体" w:hAnsi="宋体"/>
          <w:b/>
          <w:bCs/>
          <w:color w:val="000000" w:themeColor="text1"/>
          <w:sz w:val="24"/>
          <w:szCs w:val="24"/>
          <w14:textFill>
            <w14:solidFill>
              <w14:schemeClr w14:val="tx1"/>
            </w14:solidFill>
          </w14:textFill>
        </w:rPr>
        <w:tab/>
      </w:r>
    </w:p>
    <w:p w14:paraId="0C822886">
      <w:pPr>
        <w:spacing w:line="490" w:lineRule="exact"/>
        <w:ind w:left="241" w:hanging="241" w:hangingChars="100"/>
        <w:jc w:val="left"/>
        <w:rPr>
          <w:color w:val="000000" w:themeColor="text1"/>
          <w14:textFill>
            <w14:solidFill>
              <w14:schemeClr w14:val="tx1"/>
            </w14:solidFill>
          </w14:textFill>
        </w:rPr>
      </w:pPr>
      <w:r>
        <w:rPr>
          <w:rFonts w:ascii="宋体" w:hAnsi="宋体" w:cs="宋体"/>
          <w:b/>
          <w:color w:val="000000" w:themeColor="text1"/>
          <w:sz w:val="24"/>
          <w:szCs w:val="24"/>
          <w14:textFill>
            <w14:solidFill>
              <w14:schemeClr w14:val="tx1"/>
            </w14:solidFill>
          </w14:textFill>
        </w:rPr>
        <w:t>评标要求：</w:t>
      </w:r>
    </w:p>
    <w:p w14:paraId="25E1FAFE">
      <w:pPr>
        <w:spacing w:line="49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1.</w:t>
      </w:r>
      <w:r>
        <w:rPr>
          <w:rFonts w:ascii="宋体" w:hAnsi="宋体"/>
          <w:color w:val="000000" w:themeColor="text1"/>
          <w:sz w:val="24"/>
          <w14:textFill>
            <w14:solidFill>
              <w14:schemeClr w14:val="tx1"/>
            </w14:solidFill>
          </w14:textFill>
        </w:rPr>
        <w:t>商务标部分：</w:t>
      </w:r>
      <w:r>
        <w:rPr>
          <w:rFonts w:hint="eastAsia" w:ascii="宋体" w:hAnsi="宋体"/>
          <w:color w:val="000000" w:themeColor="text1"/>
          <w:sz w:val="24"/>
          <w14:textFill>
            <w14:solidFill>
              <w14:schemeClr w14:val="tx1"/>
            </w14:solidFill>
          </w14:textFill>
        </w:rPr>
        <w:t>磋商小组</w:t>
      </w:r>
      <w:r>
        <w:rPr>
          <w:rFonts w:ascii="宋体" w:hAnsi="宋体"/>
          <w:color w:val="000000" w:themeColor="text1"/>
          <w:sz w:val="24"/>
          <w14:textFill>
            <w14:solidFill>
              <w14:schemeClr w14:val="tx1"/>
            </w14:solidFill>
          </w14:textFill>
        </w:rPr>
        <w:t>认为</w:t>
      </w:r>
      <w:r>
        <w:rPr>
          <w:rFonts w:hint="eastAsia" w:ascii="宋体" w:hAnsi="宋体"/>
          <w:color w:val="000000" w:themeColor="text1"/>
          <w:sz w:val="24"/>
          <w14:textFill>
            <w14:solidFill>
              <w14:schemeClr w14:val="tx1"/>
            </w14:solidFill>
          </w14:textFill>
        </w:rPr>
        <w:t>供应商</w:t>
      </w:r>
      <w:r>
        <w:rPr>
          <w:rFonts w:ascii="宋体" w:hAnsi="宋体"/>
          <w:color w:val="000000" w:themeColor="text1"/>
          <w:sz w:val="24"/>
          <w14:textFill>
            <w14:solidFill>
              <w14:schemeClr w14:val="tx1"/>
            </w14:solidFill>
          </w14:textFill>
        </w:rPr>
        <w:t>的报价明显低于其他通过符合性审查</w:t>
      </w:r>
      <w:r>
        <w:rPr>
          <w:rFonts w:hint="eastAsia" w:ascii="宋体" w:hAnsi="宋体"/>
          <w:color w:val="000000" w:themeColor="text1"/>
          <w:sz w:val="24"/>
          <w14:textFill>
            <w14:solidFill>
              <w14:schemeClr w14:val="tx1"/>
            </w14:solidFill>
          </w14:textFill>
        </w:rPr>
        <w:t>供应商</w:t>
      </w:r>
      <w:r>
        <w:rPr>
          <w:rFonts w:ascii="宋体" w:hAnsi="宋体"/>
          <w:color w:val="000000" w:themeColor="text1"/>
          <w:sz w:val="24"/>
          <w14:textFill>
            <w14:solidFill>
              <w14:schemeClr w14:val="tx1"/>
            </w14:solidFill>
          </w14:textFill>
        </w:rPr>
        <w:t>的报价，有可能影响产品质量或者不能诚信履约的，应当要求其在评标现场合理的时间内提供书面说明，必要时提交相关证明材料；</w:t>
      </w:r>
      <w:r>
        <w:rPr>
          <w:rFonts w:hint="eastAsia" w:ascii="宋体" w:hAnsi="宋体"/>
          <w:color w:val="000000" w:themeColor="text1"/>
          <w:sz w:val="24"/>
          <w14:textFill>
            <w14:solidFill>
              <w14:schemeClr w14:val="tx1"/>
            </w14:solidFill>
          </w14:textFill>
        </w:rPr>
        <w:t>供应商</w:t>
      </w:r>
      <w:r>
        <w:rPr>
          <w:rFonts w:ascii="宋体" w:hAnsi="宋体"/>
          <w:color w:val="000000" w:themeColor="text1"/>
          <w:sz w:val="24"/>
          <w14:textFill>
            <w14:solidFill>
              <w14:schemeClr w14:val="tx1"/>
            </w14:solidFill>
          </w14:textFill>
        </w:rPr>
        <w:t>不能证明其报价合理性的，</w:t>
      </w:r>
      <w:r>
        <w:rPr>
          <w:rFonts w:hint="eastAsia" w:ascii="宋体" w:hAnsi="宋体"/>
          <w:color w:val="000000" w:themeColor="text1"/>
          <w:sz w:val="24"/>
          <w14:textFill>
            <w14:solidFill>
              <w14:schemeClr w14:val="tx1"/>
            </w14:solidFill>
          </w14:textFill>
        </w:rPr>
        <w:t>磋商小组</w:t>
      </w:r>
      <w:r>
        <w:rPr>
          <w:rFonts w:ascii="宋体" w:hAnsi="宋体"/>
          <w:color w:val="000000" w:themeColor="text1"/>
          <w:sz w:val="24"/>
          <w14:textFill>
            <w14:solidFill>
              <w14:schemeClr w14:val="tx1"/>
            </w14:solidFill>
          </w14:textFill>
        </w:rPr>
        <w:t>应当将其作为无效投标处理。</w:t>
      </w:r>
    </w:p>
    <w:p w14:paraId="6B286EB0">
      <w:pPr>
        <w:spacing w:line="49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2.</w:t>
      </w:r>
      <w:r>
        <w:rPr>
          <w:rFonts w:ascii="宋体" w:hAnsi="宋体" w:cs="宋体"/>
          <w:color w:val="000000" w:themeColor="text1"/>
          <w:sz w:val="24"/>
          <w:szCs w:val="24"/>
          <w14:textFill>
            <w14:solidFill>
              <w14:schemeClr w14:val="tx1"/>
            </w14:solidFill>
          </w14:textFill>
        </w:rPr>
        <w:t>技术标部分、售后服务情况等由评委对各</w:t>
      </w:r>
      <w:r>
        <w:rPr>
          <w:rFonts w:hint="eastAsia" w:ascii="宋体" w:hAnsi="宋体" w:cs="宋体"/>
          <w:color w:val="000000" w:themeColor="text1"/>
          <w:sz w:val="24"/>
          <w:szCs w:val="24"/>
          <w14:textFill>
            <w14:solidFill>
              <w14:schemeClr w14:val="tx1"/>
            </w14:solidFill>
          </w14:textFill>
        </w:rPr>
        <w:t>磋商响应文件</w:t>
      </w:r>
      <w:r>
        <w:rPr>
          <w:rFonts w:ascii="宋体" w:hAnsi="宋体" w:cs="宋体"/>
          <w:color w:val="000000" w:themeColor="text1"/>
          <w:sz w:val="24"/>
          <w:szCs w:val="24"/>
          <w14:textFill>
            <w14:solidFill>
              <w14:schemeClr w14:val="tx1"/>
            </w14:solidFill>
          </w14:textFill>
        </w:rPr>
        <w:t>进行综合比较各</w:t>
      </w:r>
      <w:r>
        <w:rPr>
          <w:rFonts w:hint="eastAsia" w:ascii="宋体" w:hAnsi="宋体" w:cs="宋体"/>
          <w:color w:val="000000" w:themeColor="text1"/>
          <w:sz w:val="24"/>
          <w:szCs w:val="24"/>
          <w14:textFill>
            <w14:solidFill>
              <w14:schemeClr w14:val="tx1"/>
            </w14:solidFill>
          </w14:textFill>
        </w:rPr>
        <w:t>供应商</w:t>
      </w:r>
      <w:r>
        <w:rPr>
          <w:rFonts w:ascii="宋体" w:hAnsi="宋体" w:cs="宋体"/>
          <w:color w:val="000000" w:themeColor="text1"/>
          <w:sz w:val="24"/>
          <w:szCs w:val="24"/>
          <w14:textFill>
            <w14:solidFill>
              <w14:schemeClr w14:val="tx1"/>
            </w14:solidFill>
          </w14:textFill>
        </w:rPr>
        <w:t>的响应程度后分项打分。打分表作为招标归档资料保存。</w:t>
      </w:r>
    </w:p>
    <w:p w14:paraId="5D5921B9">
      <w:pPr>
        <w:spacing w:line="49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磋商</w:t>
      </w:r>
      <w:r>
        <w:rPr>
          <w:rFonts w:ascii="宋体" w:hAnsi="宋体" w:cs="宋体"/>
          <w:color w:val="000000" w:themeColor="text1"/>
          <w:sz w:val="24"/>
          <w:szCs w:val="24"/>
          <w14:textFill>
            <w14:solidFill>
              <w14:schemeClr w14:val="tx1"/>
            </w14:solidFill>
          </w14:textFill>
        </w:rPr>
        <w:t>文件评标细则中未载明的事项或排他性、歧视性条款、个别品牌个性化要求的，不作为</w:t>
      </w:r>
      <w:r>
        <w:rPr>
          <w:rFonts w:hint="eastAsia" w:ascii="宋体" w:hAnsi="宋体" w:cs="宋体"/>
          <w:color w:val="000000" w:themeColor="text1"/>
          <w:sz w:val="24"/>
          <w:szCs w:val="24"/>
          <w14:textFill>
            <w14:solidFill>
              <w14:schemeClr w14:val="tx1"/>
            </w14:solidFill>
          </w14:textFill>
        </w:rPr>
        <w:t>磋商</w:t>
      </w:r>
      <w:r>
        <w:rPr>
          <w:rFonts w:ascii="宋体" w:hAnsi="宋体" w:cs="宋体"/>
          <w:color w:val="000000" w:themeColor="text1"/>
          <w:sz w:val="24"/>
          <w:szCs w:val="24"/>
          <w14:textFill>
            <w14:solidFill>
              <w14:schemeClr w14:val="tx1"/>
            </w14:solidFill>
          </w14:textFill>
        </w:rPr>
        <w:t>依据。</w:t>
      </w:r>
    </w:p>
    <w:p w14:paraId="3E7AAECF">
      <w:pPr>
        <w:spacing w:line="49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4.</w:t>
      </w:r>
      <w:r>
        <w:rPr>
          <w:rFonts w:ascii="宋体" w:hAnsi="宋体" w:cs="宋体"/>
          <w:color w:val="000000" w:themeColor="text1"/>
          <w:sz w:val="24"/>
          <w:szCs w:val="24"/>
          <w14:textFill>
            <w14:solidFill>
              <w14:schemeClr w14:val="tx1"/>
            </w14:solidFill>
          </w14:textFill>
        </w:rPr>
        <w:t>中标或者成交供应商拒绝与采购人签订合同的，采购人可以按照评审报告推荐的中标或者成交候选人名单排序，确定下一候选人为</w:t>
      </w:r>
      <w:r>
        <w:rPr>
          <w:rFonts w:hint="eastAsia" w:ascii="宋体" w:hAnsi="宋体" w:cs="宋体"/>
          <w:color w:val="000000" w:themeColor="text1"/>
          <w:sz w:val="24"/>
          <w:szCs w:val="24"/>
          <w14:textFill>
            <w14:solidFill>
              <w14:schemeClr w14:val="tx1"/>
            </w14:solidFill>
          </w14:textFill>
        </w:rPr>
        <w:t>入围</w:t>
      </w:r>
      <w:r>
        <w:rPr>
          <w:rFonts w:ascii="宋体" w:hAnsi="宋体" w:cs="宋体"/>
          <w:color w:val="000000" w:themeColor="text1"/>
          <w:sz w:val="24"/>
          <w:szCs w:val="24"/>
          <w14:textFill>
            <w14:solidFill>
              <w14:schemeClr w14:val="tx1"/>
            </w14:solidFill>
          </w14:textFill>
        </w:rPr>
        <w:t>供应商，也可以重新开展政府采购活动。</w:t>
      </w:r>
    </w:p>
    <w:p w14:paraId="6777ADA1">
      <w:pPr>
        <w:spacing w:line="49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5.</w:t>
      </w:r>
      <w:r>
        <w:rPr>
          <w:rFonts w:ascii="宋体" w:hAnsi="宋体" w:cs="宋体"/>
          <w:color w:val="000000" w:themeColor="text1"/>
          <w:sz w:val="24"/>
          <w:szCs w:val="24"/>
          <w14:textFill>
            <w14:solidFill>
              <w14:schemeClr w14:val="tx1"/>
            </w14:solidFill>
          </w14:textFill>
        </w:rPr>
        <w:t>根据财政部、工业和信息化部颁布的</w:t>
      </w:r>
      <w:r>
        <w:rPr>
          <w:rFonts w:hint="eastAsia" w:ascii="宋体" w:hAnsi="宋体" w:cs="宋体"/>
          <w:color w:val="000000" w:themeColor="text1"/>
          <w:sz w:val="24"/>
          <w:szCs w:val="24"/>
          <w14:textFill>
            <w14:solidFill>
              <w14:schemeClr w14:val="tx1"/>
            </w14:solidFill>
          </w14:textFill>
        </w:rPr>
        <w:t>《政府采购促进中小企业发展管理办法》（财库〔2020〕46号）</w:t>
      </w:r>
      <w:r>
        <w:rPr>
          <w:rFonts w:ascii="宋体" w:hAnsi="宋体" w:cs="宋体"/>
          <w:color w:val="000000" w:themeColor="text1"/>
          <w:sz w:val="24"/>
          <w:szCs w:val="24"/>
          <w14:textFill>
            <w14:solidFill>
              <w14:schemeClr w14:val="tx1"/>
            </w14:solidFill>
          </w14:textFill>
        </w:rPr>
        <w:t>规定，对小</w:t>
      </w:r>
      <w:r>
        <w:rPr>
          <w:rFonts w:hint="eastAsia" w:ascii="宋体" w:hAnsi="宋体" w:cs="宋体"/>
          <w:color w:val="000000" w:themeColor="text1"/>
          <w:sz w:val="24"/>
          <w:szCs w:val="24"/>
          <w:lang w:eastAsia="zh-CN"/>
          <w14:textFill>
            <w14:solidFill>
              <w14:schemeClr w14:val="tx1"/>
            </w14:solidFill>
          </w14:textFill>
        </w:rPr>
        <w:t>、小</w:t>
      </w:r>
      <w:r>
        <w:rPr>
          <w:rFonts w:ascii="宋体" w:hAnsi="宋体" w:cs="宋体"/>
          <w:color w:val="000000" w:themeColor="text1"/>
          <w:sz w:val="24"/>
          <w:szCs w:val="24"/>
          <w14:textFill>
            <w14:solidFill>
              <w14:schemeClr w14:val="tx1"/>
            </w14:solidFill>
          </w14:textFill>
        </w:rPr>
        <w:t>微企业予以价格评分适当优惠。若供应商为小型或微型企业者，必须提供相关部门出具的证明材料（《中小企业声明函》，其参与评分的投标报价取值按投标报价的94%计（即按投标报价扣除6%后计算）。</w:t>
      </w:r>
    </w:p>
    <w:p w14:paraId="5B82105A">
      <w:pPr>
        <w:spacing w:line="49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6.</w:t>
      </w:r>
      <w:r>
        <w:rPr>
          <w:rFonts w:ascii="宋体" w:hAnsi="宋体" w:cs="宋体"/>
          <w:color w:val="000000" w:themeColor="text1"/>
          <w:sz w:val="24"/>
          <w:szCs w:val="24"/>
          <w14:textFill>
            <w14:solidFill>
              <w14:schemeClr w14:val="tx1"/>
            </w14:solidFill>
          </w14:textFill>
        </w:rPr>
        <w:t>环保节能原则：在本次采购活动中，应当</w:t>
      </w:r>
      <w:r>
        <w:rPr>
          <w:rFonts w:hint="eastAsia" w:ascii="宋体" w:hAnsi="宋体" w:cs="宋体"/>
          <w:color w:val="000000" w:themeColor="text1"/>
          <w:sz w:val="24"/>
          <w:szCs w:val="24"/>
          <w:lang w:eastAsia="zh-CN"/>
          <w14:textFill>
            <w14:solidFill>
              <w14:schemeClr w14:val="tx1"/>
            </w14:solidFill>
          </w14:textFill>
        </w:rPr>
        <w:t>优先采购</w:t>
      </w:r>
      <w:r>
        <w:rPr>
          <w:rFonts w:ascii="宋体" w:hAnsi="宋体" w:cs="宋体"/>
          <w:color w:val="000000" w:themeColor="text1"/>
          <w:sz w:val="24"/>
          <w:szCs w:val="24"/>
          <w14:textFill>
            <w14:solidFill>
              <w14:schemeClr w14:val="tx1"/>
            </w14:solidFill>
          </w14:textFill>
        </w:rPr>
        <w:t>节能、环保产品。节能、环保产品是指列入财政部、国家发展改革委制定的《节能产品政府采购清单》和财政部、国家环境保护总局制定的《环境标志产品政府采购清单》的产品。</w:t>
      </w:r>
    </w:p>
    <w:p w14:paraId="7AC7A03D">
      <w:pPr>
        <w:spacing w:line="49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7.</w:t>
      </w:r>
      <w:r>
        <w:rPr>
          <w:rFonts w:ascii="宋体" w:hAnsi="宋体" w:cs="宋体"/>
          <w:color w:val="000000" w:themeColor="text1"/>
          <w:sz w:val="24"/>
          <w:szCs w:val="24"/>
          <w14:textFill>
            <w14:solidFill>
              <w14:schemeClr w14:val="tx1"/>
            </w14:solidFill>
          </w14:textFill>
        </w:rPr>
        <w:t>提供相同品牌产品且通过资格审查、符合性审查的不同</w:t>
      </w:r>
      <w:r>
        <w:rPr>
          <w:rFonts w:hint="eastAsia" w:ascii="宋体" w:hAnsi="宋体" w:cs="宋体"/>
          <w:color w:val="000000" w:themeColor="text1"/>
          <w:sz w:val="24"/>
          <w:szCs w:val="24"/>
          <w14:textFill>
            <w14:solidFill>
              <w14:schemeClr w14:val="tx1"/>
            </w14:solidFill>
          </w14:textFill>
        </w:rPr>
        <w:t>供应商</w:t>
      </w:r>
      <w:r>
        <w:rPr>
          <w:rFonts w:ascii="宋体" w:hAnsi="宋体" w:cs="宋体"/>
          <w:color w:val="000000" w:themeColor="text1"/>
          <w:sz w:val="24"/>
          <w:szCs w:val="24"/>
          <w14:textFill>
            <w14:solidFill>
              <w14:schemeClr w14:val="tx1"/>
            </w14:solidFill>
          </w14:textFill>
        </w:rPr>
        <w:t>参加同一合同项下投标的，按一家</w:t>
      </w:r>
      <w:r>
        <w:rPr>
          <w:rFonts w:hint="eastAsia" w:ascii="宋体" w:hAnsi="宋体" w:cs="宋体"/>
          <w:color w:val="000000" w:themeColor="text1"/>
          <w:sz w:val="24"/>
          <w:szCs w:val="24"/>
          <w14:textFill>
            <w14:solidFill>
              <w14:schemeClr w14:val="tx1"/>
            </w14:solidFill>
          </w14:textFill>
        </w:rPr>
        <w:t>供应商</w:t>
      </w:r>
      <w:r>
        <w:rPr>
          <w:rFonts w:ascii="宋体" w:hAnsi="宋体" w:cs="宋体"/>
          <w:color w:val="000000" w:themeColor="text1"/>
          <w:sz w:val="24"/>
          <w:szCs w:val="24"/>
          <w14:textFill>
            <w14:solidFill>
              <w14:schemeClr w14:val="tx1"/>
            </w14:solidFill>
          </w14:textFill>
        </w:rPr>
        <w:t>计算，评审后得分最高的同品牌</w:t>
      </w:r>
      <w:r>
        <w:rPr>
          <w:rFonts w:hint="eastAsia" w:ascii="宋体" w:hAnsi="宋体" w:cs="宋体"/>
          <w:color w:val="000000" w:themeColor="text1"/>
          <w:sz w:val="24"/>
          <w:szCs w:val="24"/>
          <w14:textFill>
            <w14:solidFill>
              <w14:schemeClr w14:val="tx1"/>
            </w14:solidFill>
          </w14:textFill>
        </w:rPr>
        <w:t>供应商</w:t>
      </w:r>
      <w:r>
        <w:rPr>
          <w:rFonts w:ascii="宋体" w:hAnsi="宋体" w:cs="宋体"/>
          <w:color w:val="000000" w:themeColor="text1"/>
          <w:sz w:val="24"/>
          <w:szCs w:val="24"/>
          <w14:textFill>
            <w14:solidFill>
              <w14:schemeClr w14:val="tx1"/>
            </w14:solidFill>
          </w14:textFill>
        </w:rPr>
        <w:t>获得中标人推荐资格；评审得分相同的，由采购人或者采购人委托</w:t>
      </w:r>
      <w:r>
        <w:rPr>
          <w:rFonts w:hint="eastAsia" w:ascii="宋体" w:hAnsi="宋体" w:cs="宋体"/>
          <w:color w:val="000000" w:themeColor="text1"/>
          <w:sz w:val="24"/>
          <w:szCs w:val="24"/>
          <w14:textFill>
            <w14:solidFill>
              <w14:schemeClr w14:val="tx1"/>
            </w14:solidFill>
          </w14:textFill>
        </w:rPr>
        <w:t>磋商小组</w:t>
      </w:r>
      <w:r>
        <w:rPr>
          <w:rFonts w:ascii="宋体" w:hAnsi="宋体" w:cs="宋体"/>
          <w:color w:val="000000" w:themeColor="text1"/>
          <w:sz w:val="24"/>
          <w:szCs w:val="24"/>
          <w14:textFill>
            <w14:solidFill>
              <w14:schemeClr w14:val="tx1"/>
            </w14:solidFill>
          </w14:textFill>
        </w:rPr>
        <w:t>按照</w:t>
      </w:r>
      <w:r>
        <w:rPr>
          <w:rFonts w:hint="eastAsia" w:ascii="宋体" w:hAnsi="宋体" w:cs="宋体"/>
          <w:color w:val="000000" w:themeColor="text1"/>
          <w:sz w:val="24"/>
          <w:szCs w:val="24"/>
          <w14:textFill>
            <w14:solidFill>
              <w14:schemeClr w14:val="tx1"/>
            </w14:solidFill>
          </w14:textFill>
        </w:rPr>
        <w:t>竞争性磋商文件</w:t>
      </w:r>
      <w:r>
        <w:rPr>
          <w:rFonts w:ascii="宋体" w:hAnsi="宋体" w:cs="宋体"/>
          <w:color w:val="000000" w:themeColor="text1"/>
          <w:sz w:val="24"/>
          <w:szCs w:val="24"/>
          <w14:textFill>
            <w14:solidFill>
              <w14:schemeClr w14:val="tx1"/>
            </w14:solidFill>
          </w14:textFill>
        </w:rPr>
        <w:t>规定的方式确定一个</w:t>
      </w:r>
      <w:r>
        <w:rPr>
          <w:rFonts w:hint="eastAsia" w:ascii="宋体" w:hAnsi="宋体" w:cs="宋体"/>
          <w:color w:val="000000" w:themeColor="text1"/>
          <w:sz w:val="24"/>
          <w:szCs w:val="24"/>
          <w14:textFill>
            <w14:solidFill>
              <w14:schemeClr w14:val="tx1"/>
            </w14:solidFill>
          </w14:textFill>
        </w:rPr>
        <w:t>供应商</w:t>
      </w:r>
      <w:r>
        <w:rPr>
          <w:rFonts w:ascii="宋体" w:hAnsi="宋体" w:cs="宋体"/>
          <w:color w:val="000000" w:themeColor="text1"/>
          <w:sz w:val="24"/>
          <w:szCs w:val="24"/>
          <w14:textFill>
            <w14:solidFill>
              <w14:schemeClr w14:val="tx1"/>
            </w14:solidFill>
          </w14:textFill>
        </w:rPr>
        <w:t>获得中标人推荐资格，</w:t>
      </w:r>
      <w:r>
        <w:rPr>
          <w:rFonts w:hint="eastAsia" w:ascii="宋体" w:hAnsi="宋体" w:cs="宋体"/>
          <w:color w:val="000000" w:themeColor="text1"/>
          <w:sz w:val="24"/>
          <w:szCs w:val="24"/>
          <w14:textFill>
            <w14:solidFill>
              <w14:schemeClr w14:val="tx1"/>
            </w14:solidFill>
          </w14:textFill>
        </w:rPr>
        <w:t>竞争性磋商文件</w:t>
      </w:r>
      <w:r>
        <w:rPr>
          <w:rFonts w:ascii="宋体" w:hAnsi="宋体" w:cs="宋体"/>
          <w:color w:val="000000" w:themeColor="text1"/>
          <w:sz w:val="24"/>
          <w:szCs w:val="24"/>
          <w14:textFill>
            <w14:solidFill>
              <w14:schemeClr w14:val="tx1"/>
            </w14:solidFill>
          </w14:textFill>
        </w:rPr>
        <w:t>未规定的采取随机抽取方式确定，其他同品牌</w:t>
      </w:r>
      <w:r>
        <w:rPr>
          <w:rFonts w:hint="eastAsia" w:ascii="宋体" w:hAnsi="宋体" w:cs="宋体"/>
          <w:color w:val="000000" w:themeColor="text1"/>
          <w:sz w:val="24"/>
          <w:szCs w:val="24"/>
          <w14:textFill>
            <w14:solidFill>
              <w14:schemeClr w14:val="tx1"/>
            </w14:solidFill>
          </w14:textFill>
        </w:rPr>
        <w:t>供应商</w:t>
      </w:r>
      <w:r>
        <w:rPr>
          <w:rFonts w:ascii="宋体" w:hAnsi="宋体" w:cs="宋体"/>
          <w:color w:val="000000" w:themeColor="text1"/>
          <w:sz w:val="24"/>
          <w:szCs w:val="24"/>
          <w14:textFill>
            <w14:solidFill>
              <w14:schemeClr w14:val="tx1"/>
            </w14:solidFill>
          </w14:textFill>
        </w:rPr>
        <w:t>不作为中标候选人。</w:t>
      </w:r>
    </w:p>
    <w:p w14:paraId="64E285AC">
      <w:pPr>
        <w:spacing w:line="490" w:lineRule="exact"/>
        <w:ind w:firstLine="480" w:firstLineChars="200"/>
        <w:jc w:val="lef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非单一产品采购项目，采购人应当根据采购项目技术构成、产品价格比重等合理确定核心产品，并在</w:t>
      </w:r>
      <w:r>
        <w:rPr>
          <w:rFonts w:hint="eastAsia" w:ascii="宋体" w:hAnsi="宋体" w:cs="宋体"/>
          <w:color w:val="000000" w:themeColor="text1"/>
          <w:sz w:val="24"/>
          <w:szCs w:val="24"/>
          <w14:textFill>
            <w14:solidFill>
              <w14:schemeClr w14:val="tx1"/>
            </w14:solidFill>
          </w14:textFill>
        </w:rPr>
        <w:t>竞争性磋商文件</w:t>
      </w:r>
      <w:r>
        <w:rPr>
          <w:rFonts w:ascii="宋体" w:hAnsi="宋体" w:cs="宋体"/>
          <w:color w:val="000000" w:themeColor="text1"/>
          <w:sz w:val="24"/>
          <w:szCs w:val="24"/>
          <w14:textFill>
            <w14:solidFill>
              <w14:schemeClr w14:val="tx1"/>
            </w14:solidFill>
          </w14:textFill>
        </w:rPr>
        <w:t>中载明。多家</w:t>
      </w:r>
      <w:r>
        <w:rPr>
          <w:rFonts w:hint="eastAsia" w:ascii="宋体" w:hAnsi="宋体" w:cs="宋体"/>
          <w:color w:val="000000" w:themeColor="text1"/>
          <w:sz w:val="24"/>
          <w:szCs w:val="24"/>
          <w14:textFill>
            <w14:solidFill>
              <w14:schemeClr w14:val="tx1"/>
            </w14:solidFill>
          </w14:textFill>
        </w:rPr>
        <w:t>供应商</w:t>
      </w:r>
      <w:r>
        <w:rPr>
          <w:rFonts w:ascii="宋体" w:hAnsi="宋体" w:cs="宋体"/>
          <w:color w:val="000000" w:themeColor="text1"/>
          <w:sz w:val="24"/>
          <w:szCs w:val="24"/>
          <w14:textFill>
            <w14:solidFill>
              <w14:schemeClr w14:val="tx1"/>
            </w14:solidFill>
          </w14:textFill>
        </w:rPr>
        <w:t>提供的核心产品品牌相同的，按前款规定处理。</w:t>
      </w:r>
    </w:p>
    <w:p w14:paraId="2343488F">
      <w:pPr>
        <w:adjustRightInd w:val="0"/>
        <w:snapToGrid w:val="0"/>
        <w:spacing w:line="520" w:lineRule="exact"/>
        <w:ind w:firstLine="482" w:firstLineChars="200"/>
        <w:rPr>
          <w:rFonts w:ascii="宋体" w:hAnsi="宋体" w:cs="宋体"/>
          <w:b/>
          <w:color w:val="000000" w:themeColor="text1"/>
          <w:sz w:val="24"/>
          <w:szCs w:val="22"/>
          <w14:textFill>
            <w14:solidFill>
              <w14:schemeClr w14:val="tx1"/>
            </w14:solidFill>
          </w14:textFill>
        </w:rPr>
      </w:pPr>
      <w:r>
        <w:rPr>
          <w:rFonts w:hint="eastAsia" w:ascii="宋体" w:hAnsi="宋体" w:cs="宋体"/>
          <w:b/>
          <w:color w:val="000000" w:themeColor="text1"/>
          <w:sz w:val="24"/>
          <w:szCs w:val="22"/>
          <w14:textFill>
            <w14:solidFill>
              <w14:schemeClr w14:val="tx1"/>
            </w14:solidFill>
          </w14:textFill>
        </w:rPr>
        <w:t>十二、本项目落实政府采购政策</w:t>
      </w:r>
    </w:p>
    <w:p w14:paraId="1A401CAF">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关于中小企业、监狱企业、残疾人福利性企业的说明：</w:t>
      </w:r>
    </w:p>
    <w:p w14:paraId="69184E11">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lang w:eastAsia="zh-CN"/>
          <w14:textFill>
            <w14:solidFill>
              <w14:schemeClr w14:val="tx1"/>
            </w14:solidFill>
          </w14:textFill>
        </w:rPr>
        <w:t>1.</w:t>
      </w:r>
      <w:r>
        <w:rPr>
          <w:rFonts w:hint="eastAsia" w:ascii="宋体" w:hAnsi="宋体" w:cs="宋体"/>
          <w:color w:val="000000" w:themeColor="text1"/>
          <w:kern w:val="0"/>
          <w:sz w:val="24"/>
          <w:szCs w:val="21"/>
          <w14:textFill>
            <w14:solidFill>
              <w14:schemeClr w14:val="tx1"/>
            </w14:solidFill>
          </w14:textFill>
        </w:rPr>
        <w:t>落实促进支持中小企业、监狱企业、残疾人福利性单位发展、脱贫攻坚工作的政策(如为专门面向中小企业的采购项目（或采购包），不执行1.1、1.2、1.3条款。)</w:t>
      </w:r>
    </w:p>
    <w:p w14:paraId="4D6FD091">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1.1 《政府采购促进中小企业发展管理办法》（财库〔2020〕46号）</w:t>
      </w:r>
    </w:p>
    <w:p w14:paraId="78750971">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在政府采购活动中，供应商提供的货物、工程或者服务符合下列情形的，享受《办法》规定的中小企业扶持政策</w:t>
      </w:r>
      <w:r>
        <w:rPr>
          <w:rFonts w:hint="eastAsia" w:ascii="宋体" w:hAnsi="宋体" w:cs="宋体"/>
          <w:color w:val="000000" w:themeColor="text1"/>
          <w:kern w:val="0"/>
          <w:sz w:val="24"/>
          <w:szCs w:val="21"/>
          <w:lang w:eastAsia="zh-CN"/>
          <w14:textFill>
            <w14:solidFill>
              <w14:schemeClr w14:val="tx1"/>
            </w14:solidFill>
          </w14:textFill>
        </w:rPr>
        <w:t>：</w:t>
      </w:r>
    </w:p>
    <w:p w14:paraId="37B872C2">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lang w:eastAsia="zh-CN"/>
          <w14:textFill>
            <w14:solidFill>
              <w14:schemeClr w14:val="tx1"/>
            </w14:solidFill>
          </w14:textFill>
        </w:rPr>
        <w:t>（一）</w:t>
      </w:r>
      <w:r>
        <w:rPr>
          <w:rFonts w:hint="eastAsia" w:ascii="宋体" w:hAnsi="宋体" w:cs="宋体"/>
          <w:color w:val="000000" w:themeColor="text1"/>
          <w:kern w:val="0"/>
          <w:sz w:val="24"/>
          <w:szCs w:val="21"/>
          <w14:textFill>
            <w14:solidFill>
              <w14:schemeClr w14:val="tx1"/>
            </w14:solidFill>
          </w14:textFill>
        </w:rPr>
        <w:t>在货物采购项目中，货物由中小企业制造，即货物由中小企业生产且使用该中小企业商号或者注册商标；</w:t>
      </w:r>
    </w:p>
    <w:p w14:paraId="13F16FE4">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lang w:eastAsia="zh-CN"/>
          <w14:textFill>
            <w14:solidFill>
              <w14:schemeClr w14:val="tx1"/>
            </w14:solidFill>
          </w14:textFill>
        </w:rPr>
        <w:t>（二）</w:t>
      </w:r>
      <w:r>
        <w:rPr>
          <w:rFonts w:hint="eastAsia" w:ascii="宋体" w:hAnsi="宋体" w:cs="宋体"/>
          <w:color w:val="000000" w:themeColor="text1"/>
          <w:kern w:val="0"/>
          <w:sz w:val="24"/>
          <w:szCs w:val="21"/>
          <w14:textFill>
            <w14:solidFill>
              <w14:schemeClr w14:val="tx1"/>
            </w14:solidFill>
          </w14:textFill>
        </w:rPr>
        <w:t>在工程采购项目中，工程由中小企业承建，即工程施工单位为中小企业；</w:t>
      </w:r>
    </w:p>
    <w:p w14:paraId="798B0E62">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lang w:eastAsia="zh-CN"/>
          <w14:textFill>
            <w14:solidFill>
              <w14:schemeClr w14:val="tx1"/>
            </w14:solidFill>
          </w14:textFill>
        </w:rPr>
        <w:t>（三）</w:t>
      </w:r>
      <w:r>
        <w:rPr>
          <w:rFonts w:hint="eastAsia" w:ascii="宋体" w:hAnsi="宋体" w:cs="宋体"/>
          <w:color w:val="000000" w:themeColor="text1"/>
          <w:kern w:val="0"/>
          <w:sz w:val="24"/>
          <w:szCs w:val="21"/>
          <w14:textFill>
            <w14:solidFill>
              <w14:schemeClr w14:val="tx1"/>
            </w14:solidFill>
          </w14:textFill>
        </w:rPr>
        <w:t>在服务采购项目中，服务由中小企业承接，即提供服务的人员为中小企业依照《中华人民共和国劳动合同法》订立劳动合同的从业人员。</w:t>
      </w:r>
    </w:p>
    <w:p w14:paraId="3CFABE93">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在货物采购项目中，供应商提供的货物既有中小企业制造货物，也有大型企业制造货物的，不享受《办法》规定的中小企业扶持政策。</w:t>
      </w:r>
    </w:p>
    <w:p w14:paraId="6A4B59C4">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以联合体形式参加政府采购活动，联合体各方均为中小企业的，联合体视同中小企业。其中，联合体各方均为小微企业的，联合体视同小微企业。</w:t>
      </w:r>
    </w:p>
    <w:p w14:paraId="44F59412">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依据《办法》规定享受扶持政策获得政府采购合同的，小微企业不得将合同分包给大中型企业，中型企业不得将合同分包给大型企业。</w:t>
      </w:r>
    </w:p>
    <w:p w14:paraId="1423A3EE">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根据《政府采购促进中小企业发展管理办法</w:t>
      </w:r>
      <w:r>
        <w:rPr>
          <w:rFonts w:hint="eastAsia" w:ascii="宋体" w:hAnsi="宋体" w:cs="宋体"/>
          <w:color w:val="000000" w:themeColor="text1"/>
          <w:kern w:val="0"/>
          <w:sz w:val="24"/>
          <w:szCs w:val="21"/>
          <w:lang w:eastAsia="zh-CN"/>
          <w14:textFill>
            <w14:solidFill>
              <w14:schemeClr w14:val="tx1"/>
            </w14:solidFill>
          </w14:textFill>
        </w:rPr>
        <w:t>》</w:t>
      </w:r>
      <w:r>
        <w:rPr>
          <w:rFonts w:hint="eastAsia" w:ascii="宋体" w:hAnsi="宋体" w:cs="宋体"/>
          <w:color w:val="000000" w:themeColor="text1"/>
          <w:kern w:val="0"/>
          <w:sz w:val="24"/>
          <w:szCs w:val="21"/>
          <w14:textFill>
            <w14:solidFill>
              <w14:schemeClr w14:val="tx1"/>
            </w14:solidFill>
          </w14:textFill>
        </w:rPr>
        <w:t>（财库〔2020〕46号）规定，参加政府采购活动的中小企业应当提供《中小企业声明函》。供应商提供的《中小企业声明函》原件必须真实，否则，按照有关规定予以处理。</w:t>
      </w:r>
    </w:p>
    <w:p w14:paraId="0E332A59">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根据《政府采购促进中小企业发展管理办法》的相关规定，小微企业报价给予10%</w:t>
      </w:r>
      <w:r>
        <w:rPr>
          <w:rFonts w:hint="eastAsia" w:ascii="宋体" w:hAnsi="宋体" w:cs="宋体"/>
          <w:color w:val="000000" w:themeColor="text1"/>
          <w:kern w:val="0"/>
          <w:sz w:val="24"/>
          <w:szCs w:val="21"/>
          <w:lang w:eastAsia="zh-CN"/>
          <w14:textFill>
            <w14:solidFill>
              <w14:schemeClr w14:val="tx1"/>
            </w14:solidFill>
          </w14:textFill>
        </w:rPr>
        <w:t>（</w:t>
      </w:r>
      <w:r>
        <w:rPr>
          <w:rFonts w:hint="eastAsia" w:ascii="宋体" w:hAnsi="宋体" w:cs="宋体"/>
          <w:color w:val="000000" w:themeColor="text1"/>
          <w:kern w:val="0"/>
          <w:sz w:val="24"/>
          <w:szCs w:val="21"/>
          <w14:textFill>
            <w14:solidFill>
              <w14:schemeClr w14:val="tx1"/>
            </w14:solidFill>
          </w14:textFill>
        </w:rPr>
        <w:t>工程项目为3%</w:t>
      </w:r>
      <w:r>
        <w:rPr>
          <w:rFonts w:hint="eastAsia" w:ascii="宋体" w:hAnsi="宋体" w:cs="宋体"/>
          <w:color w:val="000000" w:themeColor="text1"/>
          <w:kern w:val="0"/>
          <w:sz w:val="24"/>
          <w:szCs w:val="21"/>
          <w:lang w:eastAsia="zh-CN"/>
          <w14:textFill>
            <w14:solidFill>
              <w14:schemeClr w14:val="tx1"/>
            </w14:solidFill>
          </w14:textFill>
        </w:rPr>
        <w:t>）</w:t>
      </w:r>
      <w:r>
        <w:rPr>
          <w:rFonts w:hint="eastAsia" w:ascii="宋体" w:hAnsi="宋体" w:cs="宋体"/>
          <w:color w:val="000000" w:themeColor="text1"/>
          <w:kern w:val="0"/>
          <w:sz w:val="24"/>
          <w:szCs w:val="21"/>
          <w14:textFill>
            <w14:solidFill>
              <w14:schemeClr w14:val="tx1"/>
            </w14:solidFill>
          </w14:textFill>
        </w:rPr>
        <w:t>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218CC3A2">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w:t>
      </w:r>
      <w:r>
        <w:rPr>
          <w:rFonts w:hint="eastAsia" w:ascii="宋体" w:hAnsi="宋体" w:cs="宋体"/>
          <w:color w:val="000000" w:themeColor="text1"/>
          <w:kern w:val="0"/>
          <w:sz w:val="24"/>
          <w:szCs w:val="21"/>
          <w:lang w:eastAsia="zh-CN"/>
          <w14:textFill>
            <w14:solidFill>
              <w14:schemeClr w14:val="tx1"/>
            </w14:solidFill>
          </w14:textFill>
        </w:rPr>
        <w:t>（</w:t>
      </w:r>
      <w:r>
        <w:rPr>
          <w:rFonts w:hint="eastAsia" w:ascii="宋体" w:hAnsi="宋体" w:cs="宋体"/>
          <w:color w:val="000000" w:themeColor="text1"/>
          <w:kern w:val="0"/>
          <w:sz w:val="24"/>
          <w:szCs w:val="21"/>
          <w14:textFill>
            <w14:solidFill>
              <w14:schemeClr w14:val="tx1"/>
            </w14:solidFill>
          </w14:textFill>
        </w:rPr>
        <w:t>工程项目为1%</w:t>
      </w:r>
      <w:r>
        <w:rPr>
          <w:rFonts w:hint="eastAsia" w:ascii="宋体" w:hAnsi="宋体" w:cs="宋体"/>
          <w:color w:val="000000" w:themeColor="text1"/>
          <w:kern w:val="0"/>
          <w:sz w:val="24"/>
          <w:szCs w:val="21"/>
          <w:lang w:eastAsia="zh-CN"/>
          <w14:textFill>
            <w14:solidFill>
              <w14:schemeClr w14:val="tx1"/>
            </w14:solidFill>
          </w14:textFill>
        </w:rPr>
        <w:t>）</w:t>
      </w:r>
      <w:r>
        <w:rPr>
          <w:rFonts w:hint="eastAsia" w:ascii="宋体" w:hAnsi="宋体" w:cs="宋体"/>
          <w:color w:val="000000" w:themeColor="text1"/>
          <w:kern w:val="0"/>
          <w:sz w:val="24"/>
          <w:szCs w:val="21"/>
          <w14:textFill>
            <w14:solidFill>
              <w14:schemeClr w14:val="tx1"/>
            </w14:solidFill>
          </w14:textFill>
        </w:rPr>
        <w:t>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21CB9EE4">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1.2 《财政部 司法部关于政府采购支持监狱企业发展有关问题的通知》（财库〔2014〕68号）</w:t>
      </w:r>
    </w:p>
    <w:p w14:paraId="5BE577D2">
      <w:pPr>
        <w:adjustRightInd w:val="0"/>
        <w:snapToGrid w:val="0"/>
        <w:spacing w:line="480" w:lineRule="exact"/>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监狱企业参加政府采购活动时，应当提供由省级以上监狱管理局、戒毒管理局（含新疆生产建设兵团）出具的属于监狱企业的证明文件。在政府采购活动中，监狱企业视同小型、微型企业。</w:t>
      </w:r>
    </w:p>
    <w:p w14:paraId="2EE7E53E">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1.3 《三部门联合发布关于促进残疾人就业政府采购政策的通知》（财库〔2017〕141号）</w:t>
      </w:r>
    </w:p>
    <w:p w14:paraId="51150054">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5A41105F">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lang w:eastAsia="zh-CN"/>
          <w14:textFill>
            <w14:solidFill>
              <w14:schemeClr w14:val="tx1"/>
            </w14:solidFill>
          </w14:textFill>
        </w:rPr>
        <w:t>2.</w:t>
      </w:r>
      <w:r>
        <w:rPr>
          <w:rFonts w:hint="eastAsia" w:ascii="宋体" w:hAnsi="宋体" w:cs="宋体"/>
          <w:color w:val="000000" w:themeColor="text1"/>
          <w:kern w:val="0"/>
          <w:sz w:val="24"/>
          <w:szCs w:val="21"/>
          <w14:textFill>
            <w14:solidFill>
              <w14:schemeClr w14:val="tx1"/>
            </w14:solidFill>
          </w14:textFill>
        </w:rPr>
        <w:t>落实优先采购节能、环保产品的政策</w:t>
      </w:r>
    </w:p>
    <w:p w14:paraId="2C5D3C7B">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2.1 根据《财政部 国家发展改革委关于印发〈节能产品政府采购实施意见〉的通知》（财库〔2004〕185号）规定“政府采购属于节能产品品目清单的，在技术、服务等指标同等条件下，应当优先采购节能品目清单的节能产品。”</w:t>
      </w:r>
    </w:p>
    <w:p w14:paraId="4BF12E25">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2.2 根据《财政部</w:t>
      </w:r>
      <w:r>
        <w:rPr>
          <w:rFonts w:hint="eastAsia" w:ascii="宋体" w:hAnsi="宋体" w:cs="宋体"/>
          <w:color w:val="000000" w:themeColor="text1"/>
          <w:kern w:val="0"/>
          <w:sz w:val="24"/>
          <w:szCs w:val="21"/>
          <w:lang w:eastAsia="zh-CN"/>
          <w14:textFill>
            <w14:solidFill>
              <w14:schemeClr w14:val="tx1"/>
            </w14:solidFill>
          </w14:textFill>
        </w:rPr>
        <w:t xml:space="preserve"> 环保总局</w:t>
      </w:r>
      <w:r>
        <w:rPr>
          <w:rFonts w:hint="eastAsia" w:ascii="宋体" w:hAnsi="宋体" w:cs="宋体"/>
          <w:color w:val="000000" w:themeColor="text1"/>
          <w:kern w:val="0"/>
          <w:sz w:val="24"/>
          <w:szCs w:val="21"/>
          <w14:textFill>
            <w14:solidFill>
              <w14:schemeClr w14:val="tx1"/>
            </w14:solidFill>
          </w14:textFill>
        </w:rPr>
        <w:t>关于环境标志产品政府采购实施的意见》（财库〔2006〕90号）规定</w:t>
      </w:r>
      <w:r>
        <w:rPr>
          <w:rFonts w:hint="eastAsia" w:ascii="宋体" w:hAnsi="宋体" w:cs="宋体"/>
          <w:color w:val="000000" w:themeColor="text1"/>
          <w:kern w:val="0"/>
          <w:sz w:val="24"/>
          <w:szCs w:val="21"/>
          <w:lang w:eastAsia="zh-CN"/>
          <w14:textFill>
            <w14:solidFill>
              <w14:schemeClr w14:val="tx1"/>
            </w14:solidFill>
          </w14:textFill>
        </w:rPr>
        <w:t>：“</w:t>
      </w:r>
      <w:r>
        <w:rPr>
          <w:rFonts w:hint="eastAsia" w:ascii="宋体" w:hAnsi="宋体" w:cs="宋体"/>
          <w:color w:val="000000" w:themeColor="text1"/>
          <w:kern w:val="0"/>
          <w:sz w:val="24"/>
          <w:szCs w:val="21"/>
          <w14:textFill>
            <w14:solidFill>
              <w14:schemeClr w14:val="tx1"/>
            </w14:solidFill>
          </w14:textFill>
        </w:rPr>
        <w:t>采购人采购的产品属于环境标志产品政府采购清单中品目的，在性能、技术、服务等指标同等条件下，应当优先采购清单中的产品</w:t>
      </w:r>
      <w:r>
        <w:rPr>
          <w:rFonts w:hint="eastAsia" w:ascii="宋体" w:hAnsi="宋体" w:cs="宋体"/>
          <w:color w:val="000000" w:themeColor="text1"/>
          <w:kern w:val="0"/>
          <w:sz w:val="24"/>
          <w:szCs w:val="21"/>
          <w:lang w:eastAsia="zh-CN"/>
          <w14:textFill>
            <w14:solidFill>
              <w14:schemeClr w14:val="tx1"/>
            </w14:solidFill>
          </w14:textFill>
        </w:rPr>
        <w:t>。”</w:t>
      </w:r>
    </w:p>
    <w:p w14:paraId="24025D5F">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2.3 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14:paraId="66F7CD37">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2.4 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27E16BAC">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所有投标产品进入 “节能产品政府采购品目清单”的，应提供相关证书复印件，相关证书的颁发机构应来自《参与实施政府采购节能产品认证机构名录》。</w:t>
      </w:r>
    </w:p>
    <w:p w14:paraId="44292DD2">
      <w:pPr>
        <w:adjustRightInd w:val="0"/>
        <w:snapToGrid w:val="0"/>
        <w:spacing w:line="480" w:lineRule="exact"/>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所有投标产品进入“环境标志产品政府采购品目清单”的，应提供相关证书复印件，相关证书的颁发机构应来自《参与实施政府采购环境标志产品认证机构名录》。</w:t>
      </w:r>
    </w:p>
    <w:p w14:paraId="307FE3BC">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lang w:eastAsia="zh-CN"/>
          <w14:textFill>
            <w14:solidFill>
              <w14:schemeClr w14:val="tx1"/>
            </w14:solidFill>
          </w14:textFill>
        </w:rPr>
        <w:t>3.</w:t>
      </w:r>
      <w:r>
        <w:rPr>
          <w:rFonts w:hint="eastAsia" w:ascii="宋体" w:hAnsi="宋体" w:cs="宋体"/>
          <w:color w:val="000000" w:themeColor="text1"/>
          <w:kern w:val="0"/>
          <w:sz w:val="24"/>
          <w:szCs w:val="21"/>
          <w14:textFill>
            <w14:solidFill>
              <w14:schemeClr w14:val="tx1"/>
            </w14:solidFill>
          </w14:textFill>
        </w:rPr>
        <w:t>政府采购信用融资政策</w:t>
      </w:r>
    </w:p>
    <w:p w14:paraId="00D4CE36">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35698435">
      <w:pPr>
        <w:adjustRightInd w:val="0"/>
        <w:snapToGrid w:val="0"/>
        <w:spacing w:line="480" w:lineRule="exact"/>
        <w:ind w:firstLine="480" w:firstLineChars="200"/>
        <w:textAlignment w:val="center"/>
        <w:rPr>
          <w:rFonts w:ascii="宋体" w:hAnsi="宋体" w:cs="宋体"/>
          <w:color w:val="000000" w:themeColor="text1"/>
          <w:kern w:val="0"/>
          <w:sz w:val="24"/>
          <w:szCs w:val="21"/>
          <w14:textFill>
            <w14:solidFill>
              <w14:schemeClr w14:val="tx1"/>
            </w14:solidFill>
          </w14:textFill>
        </w:rPr>
      </w:pPr>
      <w:r>
        <w:rPr>
          <w:rFonts w:hint="eastAsia" w:ascii="宋体" w:hAnsi="宋体" w:cs="宋体"/>
          <w:color w:val="000000" w:themeColor="text1"/>
          <w:kern w:val="0"/>
          <w:sz w:val="24"/>
          <w:szCs w:val="21"/>
          <w14:textFill>
            <w14:solidFill>
              <w14:schemeClr w14:val="tx1"/>
            </w14:solidFill>
          </w14:textFill>
        </w:rPr>
        <w:t>依据《陕西省财政厅关于印发〈陕西省中小企业政府采购信用融资办法〉的通知》（陕财办采〔2018〕23号）、《陕西省财政厅关于加快推进我省中小企业政府采购信用融资工作的通知》（陕财办采[2020]15号），有融资需求的供应商可根据自身情况，在“陕西政府采购信用融资平台（含各市分平台）”查询并办理相关业务。</w:t>
      </w:r>
    </w:p>
    <w:p w14:paraId="7AF125EE">
      <w:pPr>
        <w:adjustRightInd w:val="0"/>
        <w:snapToGrid w:val="0"/>
        <w:spacing w:line="480" w:lineRule="exact"/>
        <w:textAlignment w:val="center"/>
        <w:rPr>
          <w:rFonts w:ascii="宋体" w:hAnsi="宋体" w:cs="宋体"/>
          <w:b/>
          <w:bCs/>
          <w:color w:val="000000" w:themeColor="text1"/>
          <w:sz w:val="24"/>
          <w:szCs w:val="24"/>
          <w:lang w:val="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十三、</w:t>
      </w:r>
      <w:r>
        <w:rPr>
          <w:rFonts w:hint="eastAsia" w:ascii="宋体" w:hAnsi="宋体" w:cs="宋体"/>
          <w:b/>
          <w:bCs/>
          <w:color w:val="000000" w:themeColor="text1"/>
          <w:sz w:val="24"/>
          <w:szCs w:val="24"/>
          <w:lang w:val="zh-CN"/>
          <w14:textFill>
            <w14:solidFill>
              <w14:schemeClr w14:val="tx1"/>
            </w14:solidFill>
          </w14:textFill>
        </w:rPr>
        <w:t>磋商小组</w:t>
      </w:r>
    </w:p>
    <w:p w14:paraId="5AB6E591">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磋商小组由评审专家</w:t>
      </w:r>
      <w:r>
        <w:rPr>
          <w:rFonts w:hint="eastAsia"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zh-CN"/>
          <w14:textFill>
            <w14:solidFill>
              <w14:schemeClr w14:val="tx1"/>
            </w14:solidFill>
          </w14:textFill>
        </w:rPr>
        <w:t>人及</w:t>
      </w:r>
      <w:r>
        <w:rPr>
          <w:rFonts w:hint="eastAsia" w:ascii="宋体" w:hAnsi="宋体" w:cs="宋体"/>
          <w:color w:val="000000" w:themeColor="text1"/>
          <w:sz w:val="24"/>
          <w:szCs w:val="24"/>
          <w14:textFill>
            <w14:solidFill>
              <w14:schemeClr w14:val="tx1"/>
            </w14:solidFill>
          </w14:textFill>
        </w:rPr>
        <w:t>1名采购人代表</w:t>
      </w:r>
      <w:r>
        <w:rPr>
          <w:rFonts w:hint="eastAsia" w:ascii="宋体" w:hAnsi="宋体" w:cs="宋体"/>
          <w:color w:val="000000" w:themeColor="text1"/>
          <w:sz w:val="24"/>
          <w:szCs w:val="24"/>
          <w:lang w:val="zh-CN"/>
          <w14:textFill>
            <w14:solidFill>
              <w14:schemeClr w14:val="tx1"/>
            </w14:solidFill>
          </w14:textFill>
        </w:rPr>
        <w:t>共同组成。评审专家应当从专家库内相关专业的专家名单中随机抽取。</w:t>
      </w:r>
    </w:p>
    <w:p w14:paraId="3AF0AF9C">
      <w:pPr>
        <w:adjustRightInd w:val="0"/>
        <w:snapToGrid w:val="0"/>
        <w:spacing w:line="480" w:lineRule="exact"/>
        <w:textAlignment w:val="center"/>
        <w:rPr>
          <w:rFonts w:ascii="宋体" w:hAnsi="宋体" w:cs="宋体"/>
          <w:b/>
          <w:bCs/>
          <w:color w:val="000000" w:themeColor="text1"/>
          <w:sz w:val="24"/>
          <w:szCs w:val="24"/>
          <w:lang w:val="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十四、</w:t>
      </w:r>
      <w:r>
        <w:rPr>
          <w:rFonts w:hint="eastAsia" w:ascii="宋体" w:hAnsi="宋体" w:cs="宋体"/>
          <w:b/>
          <w:bCs/>
          <w:color w:val="000000" w:themeColor="text1"/>
          <w:sz w:val="24"/>
          <w:szCs w:val="24"/>
          <w:lang w:val="zh-CN"/>
          <w14:textFill>
            <w14:solidFill>
              <w14:schemeClr w14:val="tx1"/>
            </w14:solidFill>
          </w14:textFill>
        </w:rPr>
        <w:t>磋商评审纪律</w:t>
      </w:r>
    </w:p>
    <w:p w14:paraId="02C67D05">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14.1磋商小组成员内部讨论的情况和意见必须保密，任何人不得以任何形式透露给供应商或与供应商有关的单位或个人。</w:t>
      </w:r>
    </w:p>
    <w:p w14:paraId="1205E147">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14.2在磋商过程中，供应商不得以任何形式对磋商小组成员进行旨在影响磋商结果的私下接触，否则取消其磋商资格。</w:t>
      </w:r>
    </w:p>
    <w:p w14:paraId="72CD2C87">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14.3磋商小组采用的以及与磋商有关的人员应当对评审情况和评审过程中获悉的国家秘密、商业秘密予以保密。</w:t>
      </w:r>
    </w:p>
    <w:p w14:paraId="55710437">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14.4供应商不得泄露竞争性磋商活动中应当保密的情况和资料，不得与其他供应商串通损害国家利益、社会公共利益或者他人合法权益。</w:t>
      </w:r>
    </w:p>
    <w:p w14:paraId="3DD299B9">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w:t>
      </w:r>
      <w:r>
        <w:rPr>
          <w:rFonts w:hint="eastAsia" w:ascii="宋体" w:hAnsi="宋体" w:cs="宋体"/>
          <w:color w:val="000000" w:themeColor="text1"/>
          <w:sz w:val="24"/>
          <w:szCs w:val="24"/>
          <w:lang w:val="zh-CN"/>
          <w14:textFill>
            <w14:solidFill>
              <w14:schemeClr w14:val="tx1"/>
            </w14:solidFill>
          </w14:textFill>
        </w:rPr>
        <w:t>.5供应商不得相互串通响应或者与采购人串通响应，不得向采购人或者评审委员会成员行贿谋取成交，不得以他人名义响应或者以其他方式弄虚作假骗取成交；供应商不得以任何方式干扰、影响评审工作。</w:t>
      </w:r>
    </w:p>
    <w:p w14:paraId="309773C3">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14.6评审委员会成员不得收受他人的财物或者其他好处，不得向他人透露对响应文件的评审和比较、成交候选人的推荐情况以及评审有关的其他情况。在评审活动中，评审委员会成员应当客观、公正地履行职责，遵守职业道德，不得擅离职守，影响评审程序正常进行，不得使用评审办法中没有规定的评审因素和标准进行评审。</w:t>
      </w:r>
    </w:p>
    <w:p w14:paraId="546098C5">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14.7与评审活动有关的工作人员不得收受他人的财物或者其他好处，不得向他人透露对响应文件的评审和比较、成交候选人的推荐情况以及评审有关的其他情况。在评审活动中，与评审活动有关的工作人员不得擅离职守，影响评审程序正常进行。</w:t>
      </w:r>
    </w:p>
    <w:p w14:paraId="66201876">
      <w:pPr>
        <w:adjustRightInd w:val="0"/>
        <w:snapToGrid w:val="0"/>
        <w:spacing w:line="480" w:lineRule="exact"/>
        <w:textAlignment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十五、无效响应</w:t>
      </w:r>
      <w:r>
        <w:rPr>
          <w:rFonts w:hint="eastAsia" w:ascii="宋体" w:hAnsi="宋体" w:cs="宋体"/>
          <w:b/>
          <w:bCs/>
          <w:color w:val="000000" w:themeColor="text1"/>
          <w:sz w:val="24"/>
          <w:szCs w:val="24"/>
          <w14:textFill>
            <w14:solidFill>
              <w14:schemeClr w14:val="tx1"/>
            </w14:solidFill>
          </w14:textFill>
        </w:rPr>
        <w:t>文件情况</w:t>
      </w:r>
      <w:r>
        <w:rPr>
          <w:rFonts w:hint="eastAsia" w:ascii="宋体" w:hAnsi="宋体" w:cs="宋体"/>
          <w:b/>
          <w:color w:val="000000" w:themeColor="text1"/>
          <w:sz w:val="24"/>
          <w:szCs w:val="24"/>
          <w14:textFill>
            <w14:solidFill>
              <w14:schemeClr w14:val="tx1"/>
            </w14:solidFill>
          </w14:textFill>
        </w:rPr>
        <w:t>说明</w:t>
      </w:r>
    </w:p>
    <w:p w14:paraId="3081F0EA">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bookmarkStart w:id="7" w:name="_Toc428362250"/>
      <w:bookmarkStart w:id="8" w:name="_Toc428365919"/>
      <w:bookmarkStart w:id="9" w:name="_Toc428362159"/>
      <w:r>
        <w:rPr>
          <w:rFonts w:hint="eastAsia" w:ascii="宋体" w:hAnsi="宋体" w:cs="宋体"/>
          <w:color w:val="000000" w:themeColor="text1"/>
          <w:sz w:val="24"/>
          <w:szCs w:val="24"/>
          <w:lang w:val="zh-CN"/>
          <w14:textFill>
            <w14:solidFill>
              <w14:schemeClr w14:val="tx1"/>
            </w14:solidFill>
          </w14:textFill>
        </w:rPr>
        <w:t>响应文件有下列情形之一的，应当按照无效响应文件处理：</w:t>
      </w:r>
      <w:bookmarkEnd w:id="7"/>
      <w:bookmarkEnd w:id="8"/>
      <w:bookmarkEnd w:id="9"/>
    </w:p>
    <w:p w14:paraId="391B7437">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bookmarkStart w:id="10" w:name="_Toc428365920"/>
      <w:bookmarkStart w:id="11" w:name="_Toc428362160"/>
      <w:bookmarkStart w:id="12" w:name="_Toc428362251"/>
      <w:r>
        <w:rPr>
          <w:rFonts w:hint="eastAsia" w:ascii="宋体" w:hAnsi="宋体" w:cs="宋体"/>
          <w:color w:val="000000" w:themeColor="text1"/>
          <w:sz w:val="24"/>
          <w:szCs w:val="24"/>
          <w:lang w:val="zh-CN"/>
          <w14:textFill>
            <w14:solidFill>
              <w14:schemeClr w14:val="tx1"/>
            </w14:solidFill>
          </w14:textFill>
        </w:rPr>
        <w:t>15.1未在规定的截止时间内递交的；</w:t>
      </w:r>
      <w:bookmarkEnd w:id="10"/>
      <w:bookmarkEnd w:id="11"/>
      <w:bookmarkEnd w:id="12"/>
    </w:p>
    <w:p w14:paraId="1049091C">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bookmarkStart w:id="13" w:name="_Toc428362252"/>
      <w:bookmarkStart w:id="14" w:name="_Toc428362161"/>
      <w:bookmarkStart w:id="15" w:name="_Toc428365921"/>
      <w:r>
        <w:rPr>
          <w:rFonts w:hint="eastAsia" w:ascii="宋体" w:hAnsi="宋体" w:cs="宋体"/>
          <w:color w:val="000000" w:themeColor="text1"/>
          <w:sz w:val="24"/>
          <w:szCs w:val="24"/>
          <w:lang w:val="zh-CN"/>
          <w14:textFill>
            <w14:solidFill>
              <w14:schemeClr w14:val="tx1"/>
            </w14:solidFill>
          </w14:textFill>
        </w:rPr>
        <w:t>15.2未按采购文件规定要求签署、盖章的；</w:t>
      </w:r>
      <w:bookmarkEnd w:id="13"/>
      <w:bookmarkEnd w:id="14"/>
      <w:bookmarkEnd w:id="15"/>
    </w:p>
    <w:p w14:paraId="0EA0B19E">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bookmarkStart w:id="16" w:name="_Toc428362254"/>
      <w:bookmarkStart w:id="17" w:name="_Toc428362163"/>
      <w:bookmarkStart w:id="18" w:name="_Toc428365923"/>
      <w:r>
        <w:rPr>
          <w:rFonts w:hint="eastAsia" w:ascii="宋体" w:hAnsi="宋体" w:cs="宋体"/>
          <w:color w:val="000000" w:themeColor="text1"/>
          <w:sz w:val="24"/>
          <w:szCs w:val="24"/>
          <w:lang w:val="zh-CN"/>
          <w14:textFill>
            <w14:solidFill>
              <w14:schemeClr w14:val="tx1"/>
            </w14:solidFill>
          </w14:textFill>
        </w:rPr>
        <w:t>15.</w:t>
      </w:r>
      <w:r>
        <w:rPr>
          <w:rFonts w:hint="eastAsia"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lang w:val="zh-CN"/>
          <w14:textFill>
            <w14:solidFill>
              <w14:schemeClr w14:val="tx1"/>
            </w14:solidFill>
          </w14:textFill>
        </w:rPr>
        <w:t>不具备采购文件中规定的资格要求的；</w:t>
      </w:r>
      <w:bookmarkEnd w:id="16"/>
      <w:bookmarkEnd w:id="17"/>
      <w:bookmarkEnd w:id="18"/>
    </w:p>
    <w:p w14:paraId="597487D3">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bookmarkStart w:id="19" w:name="_Toc428365926"/>
      <w:bookmarkStart w:id="20" w:name="_Toc428362257"/>
      <w:bookmarkStart w:id="21" w:name="_Toc428362166"/>
      <w:r>
        <w:rPr>
          <w:rFonts w:hint="eastAsia" w:ascii="宋体" w:hAnsi="宋体" w:cs="宋体"/>
          <w:color w:val="000000" w:themeColor="text1"/>
          <w:sz w:val="24"/>
          <w:szCs w:val="24"/>
          <w:lang w:val="zh-CN"/>
          <w14:textFill>
            <w14:solidFill>
              <w14:schemeClr w14:val="tx1"/>
            </w14:solidFill>
          </w14:textFill>
        </w:rPr>
        <w:t>15.</w:t>
      </w:r>
      <w:r>
        <w:rPr>
          <w:rFonts w:hint="eastAsia"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lang w:val="zh-CN"/>
          <w14:textFill>
            <w14:solidFill>
              <w14:schemeClr w14:val="tx1"/>
            </w14:solidFill>
          </w14:textFill>
        </w:rPr>
        <w:t>未全部响应采购文件规定的实质性要求的；</w:t>
      </w:r>
      <w:bookmarkEnd w:id="19"/>
      <w:bookmarkEnd w:id="20"/>
      <w:bookmarkEnd w:id="21"/>
    </w:p>
    <w:p w14:paraId="3652934A">
      <w:pPr>
        <w:adjustRightInd w:val="0"/>
        <w:snapToGrid w:val="0"/>
        <w:spacing w:line="46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15.5磋商有效期自磋商之日起算；</w:t>
      </w:r>
    </w:p>
    <w:p w14:paraId="12486A79">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bookmarkStart w:id="22" w:name="_Toc428365927"/>
      <w:bookmarkStart w:id="23" w:name="_Toc428362258"/>
      <w:bookmarkStart w:id="24" w:name="_Toc428362167"/>
      <w:r>
        <w:rPr>
          <w:rFonts w:hint="eastAsia" w:ascii="宋体" w:hAnsi="宋体" w:cs="宋体"/>
          <w:color w:val="000000" w:themeColor="text1"/>
          <w:sz w:val="24"/>
          <w:szCs w:val="24"/>
          <w:lang w:val="zh-CN"/>
          <w14:textFill>
            <w14:solidFill>
              <w14:schemeClr w14:val="tx1"/>
            </w14:solidFill>
          </w14:textFill>
        </w:rPr>
        <w:t>15.</w:t>
      </w:r>
      <w:r>
        <w:rPr>
          <w:rFonts w:hint="eastAsia" w:ascii="宋体" w:hAnsi="宋体" w:cs="宋体"/>
          <w:color w:val="000000" w:themeColor="text1"/>
          <w:sz w:val="24"/>
          <w:szCs w:val="24"/>
          <w14:textFill>
            <w14:solidFill>
              <w14:schemeClr w14:val="tx1"/>
            </w14:solidFill>
          </w14:textFill>
        </w:rPr>
        <w:t>6</w:t>
      </w:r>
      <w:r>
        <w:rPr>
          <w:rFonts w:hint="eastAsia" w:ascii="宋体" w:hAnsi="宋体" w:cs="宋体"/>
          <w:color w:val="000000" w:themeColor="text1"/>
          <w:sz w:val="24"/>
          <w:szCs w:val="24"/>
          <w:lang w:val="zh-CN"/>
          <w14:textFill>
            <w14:solidFill>
              <w14:schemeClr w14:val="tx1"/>
            </w14:solidFill>
          </w14:textFill>
        </w:rPr>
        <w:t>不符合法律法规规定的其他情形。</w:t>
      </w:r>
      <w:bookmarkEnd w:id="22"/>
      <w:bookmarkEnd w:id="23"/>
      <w:bookmarkEnd w:id="24"/>
    </w:p>
    <w:p w14:paraId="45C27418">
      <w:pPr>
        <w:adjustRightInd w:val="0"/>
        <w:snapToGrid w:val="0"/>
        <w:spacing w:line="480" w:lineRule="exact"/>
        <w:textAlignment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十六、成交公告</w:t>
      </w:r>
    </w:p>
    <w:p w14:paraId="37ABC64D">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成交公告内容应当包括采购人和采购代理机构的名称、地址、联系方式，项目名称和项目编号，成交供应商名称、地址，服务要求以及磋商小组成员。</w:t>
      </w:r>
    </w:p>
    <w:p w14:paraId="159047CF">
      <w:pPr>
        <w:adjustRightInd w:val="0"/>
        <w:snapToGrid w:val="0"/>
        <w:spacing w:line="480" w:lineRule="exact"/>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十七、成交</w:t>
      </w:r>
      <w:r>
        <w:rPr>
          <w:rFonts w:hint="eastAsia" w:ascii="宋体" w:hAnsi="宋体" w:cs="宋体"/>
          <w:b/>
          <w:color w:val="000000" w:themeColor="text1"/>
          <w:sz w:val="24"/>
          <w:szCs w:val="24"/>
          <w14:textFill>
            <w14:solidFill>
              <w14:schemeClr w14:val="tx1"/>
            </w14:solidFill>
          </w14:textFill>
        </w:rPr>
        <w:t>通知</w:t>
      </w:r>
    </w:p>
    <w:p w14:paraId="1FFD34D0">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17</w:t>
      </w:r>
      <w:r>
        <w:rPr>
          <w:rFonts w:hint="eastAsia" w:ascii="宋体" w:hAnsi="宋体" w:cs="宋体"/>
          <w:color w:val="000000" w:themeColor="text1"/>
          <w:sz w:val="24"/>
          <w:szCs w:val="24"/>
          <w:lang w:val="zh-CN"/>
          <w14:textFill>
            <w14:solidFill>
              <w14:schemeClr w14:val="tx1"/>
            </w14:solidFill>
          </w14:textFill>
        </w:rPr>
        <w:t>.1在磋商有效期内，采购代理机构以书面形式通知所选定的成交供应商。通知也可采用传真的形式，但需要随附书面确认。</w:t>
      </w:r>
    </w:p>
    <w:p w14:paraId="3223CB66">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17</w:t>
      </w:r>
      <w:r>
        <w:rPr>
          <w:rFonts w:hint="eastAsia" w:ascii="宋体" w:hAnsi="宋体" w:cs="宋体"/>
          <w:color w:val="000000" w:themeColor="text1"/>
          <w:sz w:val="24"/>
          <w:szCs w:val="24"/>
          <w:lang w:val="zh-CN"/>
          <w14:textFill>
            <w14:solidFill>
              <w14:schemeClr w14:val="tx1"/>
            </w14:solidFill>
          </w14:textFill>
        </w:rPr>
        <w:t>.2当成交供应商按规定与采购人签订合同后，采购代理机构将向其他供应商发出落标通知。采购代理机构对落标的供应商不作落标原因的解释。</w:t>
      </w:r>
    </w:p>
    <w:p w14:paraId="117A4212">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17</w:t>
      </w:r>
      <w:r>
        <w:rPr>
          <w:rFonts w:hint="eastAsia" w:ascii="宋体" w:hAnsi="宋体" w:cs="宋体"/>
          <w:color w:val="000000" w:themeColor="text1"/>
          <w:sz w:val="24"/>
          <w:szCs w:val="24"/>
          <w:lang w:val="zh-CN"/>
          <w14:textFill>
            <w14:solidFill>
              <w14:schemeClr w14:val="tx1"/>
            </w14:solidFill>
          </w14:textFill>
        </w:rPr>
        <w:t>.3成交通知书将是合同的一个组成部分。</w:t>
      </w:r>
    </w:p>
    <w:p w14:paraId="4D6F4154">
      <w:pPr>
        <w:adjustRightInd w:val="0"/>
        <w:snapToGrid w:val="0"/>
        <w:spacing w:line="480" w:lineRule="exact"/>
        <w:textAlignment w:val="center"/>
        <w:rPr>
          <w:rFonts w:ascii="宋体" w:hAnsi="宋体" w:cs="宋体"/>
          <w:b/>
          <w:color w:val="000000" w:themeColor="text1"/>
          <w:sz w:val="24"/>
          <w:szCs w:val="24"/>
          <w14:textFill>
            <w14:solidFill>
              <w14:schemeClr w14:val="tx1"/>
            </w14:solidFill>
          </w14:textFill>
        </w:rPr>
      </w:pPr>
      <w:bookmarkStart w:id="25" w:name="_Toc21145"/>
      <w:bookmarkStart w:id="26" w:name="_Toc428362260"/>
      <w:bookmarkStart w:id="27" w:name="_Toc428365929"/>
      <w:bookmarkStart w:id="28" w:name="_Toc10967"/>
      <w:bookmarkStart w:id="29" w:name="_Toc428362169"/>
      <w:r>
        <w:rPr>
          <w:rFonts w:hint="eastAsia" w:ascii="宋体" w:hAnsi="宋体" w:cs="宋体"/>
          <w:b/>
          <w:color w:val="000000" w:themeColor="text1"/>
          <w:sz w:val="24"/>
          <w:szCs w:val="24"/>
          <w14:textFill>
            <w14:solidFill>
              <w14:schemeClr w14:val="tx1"/>
            </w14:solidFill>
          </w14:textFill>
        </w:rPr>
        <w:t>十八、</w:t>
      </w:r>
      <w:r>
        <w:rPr>
          <w:rFonts w:hint="eastAsia" w:ascii="宋体" w:hAnsi="宋体" w:cs="宋体"/>
          <w:b/>
          <w:bCs/>
          <w:color w:val="000000" w:themeColor="text1"/>
          <w:sz w:val="24"/>
          <w:szCs w:val="24"/>
          <w14:textFill>
            <w14:solidFill>
              <w14:schemeClr w14:val="tx1"/>
            </w14:solidFill>
          </w14:textFill>
        </w:rPr>
        <w:t>合同</w:t>
      </w:r>
      <w:r>
        <w:rPr>
          <w:rFonts w:hint="eastAsia" w:ascii="宋体" w:hAnsi="宋体" w:cs="宋体"/>
          <w:b/>
          <w:color w:val="000000" w:themeColor="text1"/>
          <w:sz w:val="24"/>
          <w:szCs w:val="24"/>
          <w14:textFill>
            <w14:solidFill>
              <w14:schemeClr w14:val="tx1"/>
            </w14:solidFill>
          </w14:textFill>
        </w:rPr>
        <w:t>授予</w:t>
      </w:r>
      <w:bookmarkEnd w:id="25"/>
      <w:bookmarkEnd w:id="26"/>
      <w:bookmarkEnd w:id="27"/>
      <w:bookmarkEnd w:id="28"/>
      <w:bookmarkEnd w:id="29"/>
    </w:p>
    <w:p w14:paraId="73676013">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bookmarkStart w:id="30" w:name="_Toc428362170"/>
      <w:bookmarkStart w:id="31" w:name="_Toc428365930"/>
      <w:bookmarkStart w:id="32" w:name="_Toc428362261"/>
      <w:r>
        <w:rPr>
          <w:rFonts w:hint="eastAsia" w:ascii="宋体" w:hAnsi="宋体" w:cs="宋体"/>
          <w:color w:val="000000" w:themeColor="text1"/>
          <w:sz w:val="24"/>
          <w:szCs w:val="24"/>
          <w14:textFill>
            <w14:solidFill>
              <w14:schemeClr w14:val="tx1"/>
            </w14:solidFill>
          </w14:textFill>
        </w:rPr>
        <w:t>18</w:t>
      </w:r>
      <w:r>
        <w:rPr>
          <w:rFonts w:hint="eastAsia" w:ascii="宋体" w:hAnsi="宋体" w:cs="宋体"/>
          <w:color w:val="000000" w:themeColor="text1"/>
          <w:sz w:val="24"/>
          <w:szCs w:val="24"/>
          <w:lang w:val="zh-CN"/>
          <w14:textFill>
            <w14:solidFill>
              <w14:schemeClr w14:val="tx1"/>
            </w14:solidFill>
          </w14:textFill>
        </w:rPr>
        <w:t>.1磋商文件、响应文件及磋商过程中有关补充文件均作为合同附件，并与合同具有相同的法律效力。</w:t>
      </w:r>
      <w:bookmarkEnd w:id="30"/>
      <w:bookmarkEnd w:id="31"/>
      <w:bookmarkEnd w:id="32"/>
    </w:p>
    <w:p w14:paraId="41FE2C06">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bookmarkStart w:id="33" w:name="_Toc428365931"/>
      <w:bookmarkStart w:id="34" w:name="_Toc428362262"/>
      <w:bookmarkStart w:id="35" w:name="_Toc428362171"/>
      <w:r>
        <w:rPr>
          <w:rFonts w:hint="eastAsia" w:ascii="宋体" w:hAnsi="宋体" w:cs="宋体"/>
          <w:color w:val="000000" w:themeColor="text1"/>
          <w:sz w:val="24"/>
          <w:szCs w:val="24"/>
          <w14:textFill>
            <w14:solidFill>
              <w14:schemeClr w14:val="tx1"/>
            </w14:solidFill>
          </w14:textFill>
        </w:rPr>
        <w:t>18</w:t>
      </w:r>
      <w:r>
        <w:rPr>
          <w:rFonts w:hint="eastAsia" w:ascii="宋体" w:hAnsi="宋体" w:cs="宋体"/>
          <w:color w:val="000000" w:themeColor="text1"/>
          <w:sz w:val="24"/>
          <w:szCs w:val="24"/>
          <w:lang w:val="zh-CN"/>
          <w14:textFill>
            <w14:solidFill>
              <w14:schemeClr w14:val="tx1"/>
            </w14:solidFill>
          </w14:textFill>
        </w:rPr>
        <w:t>.2当按照合同履行义务，完成磋商项目时。未经采购人同意，成交供应商不得向他人转让成交项目。</w:t>
      </w:r>
      <w:bookmarkEnd w:id="33"/>
      <w:bookmarkEnd w:id="34"/>
      <w:bookmarkEnd w:id="35"/>
    </w:p>
    <w:p w14:paraId="12B38FEE">
      <w:pPr>
        <w:adjustRightInd w:val="0"/>
        <w:snapToGrid w:val="0"/>
        <w:spacing w:line="480" w:lineRule="exact"/>
        <w:textAlignment w:val="center"/>
        <w:rPr>
          <w:rFonts w:ascii="宋体" w:hAnsi="宋体" w:cs="宋体"/>
          <w:b/>
          <w:bCs/>
          <w:color w:val="000000" w:themeColor="text1"/>
          <w:sz w:val="24"/>
          <w:szCs w:val="24"/>
          <w14:textFill>
            <w14:solidFill>
              <w14:schemeClr w14:val="tx1"/>
            </w14:solidFill>
          </w14:textFill>
        </w:rPr>
      </w:pPr>
      <w:bookmarkStart w:id="36" w:name="_Toc21005"/>
      <w:bookmarkStart w:id="37" w:name="_Toc428362263"/>
      <w:bookmarkStart w:id="38" w:name="_Toc428362172"/>
      <w:bookmarkStart w:id="39" w:name="_Toc428365932"/>
      <w:bookmarkStart w:id="40" w:name="_Toc13401"/>
      <w:r>
        <w:rPr>
          <w:rFonts w:hint="eastAsia" w:ascii="宋体" w:hAnsi="宋体" w:cs="宋体"/>
          <w:b/>
          <w:bCs/>
          <w:color w:val="000000" w:themeColor="text1"/>
          <w:sz w:val="24"/>
          <w:szCs w:val="24"/>
          <w14:textFill>
            <w14:solidFill>
              <w14:schemeClr w14:val="tx1"/>
            </w14:solidFill>
          </w14:textFill>
        </w:rPr>
        <w:t>十九、本项目磋商有效期为</w:t>
      </w:r>
      <w:r>
        <w:rPr>
          <w:rFonts w:hint="eastAsia" w:ascii="宋体" w:hAnsi="宋体" w:cs="宋体"/>
          <w:b/>
          <w:bCs/>
          <w:color w:val="000000" w:themeColor="text1"/>
          <w:sz w:val="24"/>
          <w:szCs w:val="24"/>
          <w:u w:val="single"/>
          <w14:textFill>
            <w14:solidFill>
              <w14:schemeClr w14:val="tx1"/>
            </w14:solidFill>
          </w14:textFill>
        </w:rPr>
        <w:t>90</w:t>
      </w:r>
      <w:r>
        <w:rPr>
          <w:rFonts w:hint="eastAsia" w:ascii="宋体" w:hAnsi="宋体" w:cs="宋体"/>
          <w:b/>
          <w:bCs/>
          <w:color w:val="000000" w:themeColor="text1"/>
          <w:sz w:val="24"/>
          <w:szCs w:val="24"/>
          <w14:textFill>
            <w14:solidFill>
              <w14:schemeClr w14:val="tx1"/>
            </w14:solidFill>
          </w14:textFill>
        </w:rPr>
        <w:t>天。</w:t>
      </w:r>
      <w:bookmarkEnd w:id="36"/>
      <w:bookmarkEnd w:id="37"/>
      <w:bookmarkEnd w:id="38"/>
      <w:bookmarkEnd w:id="39"/>
      <w:bookmarkEnd w:id="40"/>
    </w:p>
    <w:p w14:paraId="40750047">
      <w:pPr>
        <w:adjustRightInd w:val="0"/>
        <w:snapToGrid w:val="0"/>
        <w:spacing w:line="480" w:lineRule="exact"/>
        <w:textAlignment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二十、签订合同</w:t>
      </w:r>
    </w:p>
    <w:p w14:paraId="2D7032D9">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20</w:t>
      </w:r>
      <w:r>
        <w:rPr>
          <w:rFonts w:hint="eastAsia" w:ascii="宋体" w:hAnsi="宋体" w:cs="宋体"/>
          <w:color w:val="000000" w:themeColor="text1"/>
          <w:sz w:val="24"/>
          <w:szCs w:val="24"/>
          <w:lang w:val="zh-CN"/>
          <w14:textFill>
            <w14:solidFill>
              <w14:schemeClr w14:val="tx1"/>
            </w14:solidFill>
          </w14:textFill>
        </w:rPr>
        <w:t>.1成交供应商应在成交通知书发出之日起</w:t>
      </w:r>
      <w:r>
        <w:rPr>
          <w:rFonts w:hint="eastAsia" w:ascii="宋体" w:hAnsi="宋体" w:cs="宋体"/>
          <w:color w:val="000000" w:themeColor="text1"/>
          <w:sz w:val="24"/>
          <w:szCs w:val="24"/>
          <w14:textFill>
            <w14:solidFill>
              <w14:schemeClr w14:val="tx1"/>
            </w14:solidFill>
          </w14:textFill>
        </w:rPr>
        <w:t>7</w:t>
      </w:r>
      <w:r>
        <w:rPr>
          <w:rFonts w:hint="eastAsia" w:ascii="宋体" w:hAnsi="宋体" w:cs="宋体"/>
          <w:color w:val="000000" w:themeColor="text1"/>
          <w:sz w:val="24"/>
          <w:szCs w:val="24"/>
          <w:lang w:val="zh-CN"/>
          <w14:textFill>
            <w14:solidFill>
              <w14:schemeClr w14:val="tx1"/>
            </w14:solidFill>
          </w14:textFill>
        </w:rPr>
        <w:t>日内按成交通知书规定的时间、地点与采购人签订合同，否则按违约处理，并赔偿本次及再次采购所发生的费用。</w:t>
      </w:r>
    </w:p>
    <w:p w14:paraId="5B19E387">
      <w:pPr>
        <w:adjustRightInd w:val="0"/>
        <w:snapToGrid w:val="0"/>
        <w:spacing w:line="46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20</w:t>
      </w:r>
      <w:r>
        <w:rPr>
          <w:rFonts w:hint="eastAsia" w:ascii="宋体" w:hAnsi="宋体" w:cs="宋体"/>
          <w:color w:val="000000" w:themeColor="text1"/>
          <w:sz w:val="24"/>
          <w:szCs w:val="24"/>
          <w:lang w:val="zh-CN"/>
          <w14:textFill>
            <w14:solidFill>
              <w14:schemeClr w14:val="tx1"/>
            </w14:solidFill>
          </w14:textFill>
        </w:rPr>
        <w:t>.2磋商文件、成交供应商的响应报价文件及评审过程中有关澄清文件均应作为合同附件，并与合同具有相同的法律效力。</w:t>
      </w:r>
    </w:p>
    <w:p w14:paraId="1AE292D0">
      <w:pPr>
        <w:adjustRightInd w:val="0"/>
        <w:snapToGrid w:val="0"/>
        <w:spacing w:line="480" w:lineRule="exact"/>
        <w:textAlignment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二十一、成交结果公告</w:t>
      </w:r>
    </w:p>
    <w:p w14:paraId="77ECE440">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采购代理机构收到采购人“成交复函”后，两个工作日内在财政部门指定的媒体上公告成交结果，并同时向成交供应商发出“成交通知书”。</w:t>
      </w:r>
    </w:p>
    <w:p w14:paraId="187FDC83">
      <w:pPr>
        <w:adjustRightInd w:val="0"/>
        <w:snapToGrid w:val="0"/>
        <w:spacing w:line="480" w:lineRule="exact"/>
        <w:textAlignment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二十二、质疑处理</w:t>
      </w:r>
    </w:p>
    <w:p w14:paraId="33B49E26">
      <w:pPr>
        <w:adjustRightInd w:val="0"/>
        <w:snapToGrid w:val="0"/>
        <w:spacing w:line="480" w:lineRule="exact"/>
        <w:ind w:firstLine="240" w:firstLineChars="1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w:t>
      </w:r>
      <w:r>
        <w:rPr>
          <w:rFonts w:hint="eastAsia" w:ascii="宋体" w:hAnsi="宋体" w:cs="宋体"/>
          <w:color w:val="000000" w:themeColor="text1"/>
          <w:sz w:val="24"/>
          <w:szCs w:val="24"/>
          <w:lang w:val="zh-CN"/>
          <w14:textFill>
            <w14:solidFill>
              <w14:schemeClr w14:val="tx1"/>
            </w14:solidFill>
          </w14:textFill>
        </w:rPr>
        <w:t>质疑</w:t>
      </w:r>
    </w:p>
    <w:p w14:paraId="1AFD5DEB">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w:t>
      </w:r>
    </w:p>
    <w:p w14:paraId="6456D6FF">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（2）提出质疑的供应商应当是参与本项目采购活动的供应商。</w:t>
      </w:r>
    </w:p>
    <w:p w14:paraId="0E369550">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（3）潜在供应商已依法获取其可质疑的采购文件的，可以对该文件提出质疑。对采购文件提出质疑的，应当在获取采购文件（以供应商填写报名登记表的时间为准）起7个工作日内提出。</w:t>
      </w:r>
    </w:p>
    <w:p w14:paraId="38486C4B">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（4）供应商提出质疑应当提交质疑函和必要的证明材料，质疑函应当包括下列内容：</w:t>
      </w:r>
    </w:p>
    <w:p w14:paraId="790B343E">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① 供应商的姓名或者名称、地址、邮编、联系人及联系电话；</w:t>
      </w:r>
    </w:p>
    <w:p w14:paraId="4AA22558">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② 质疑项目的名称、编号；</w:t>
      </w:r>
    </w:p>
    <w:p w14:paraId="1174EB70">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③ 具体、明确的质疑事项和与质疑事项相关的请求；</w:t>
      </w:r>
    </w:p>
    <w:p w14:paraId="666B4126">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④ 事实依据；</w:t>
      </w:r>
    </w:p>
    <w:p w14:paraId="257ACFB3">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⑤ 必要的法律依据；</w:t>
      </w:r>
    </w:p>
    <w:p w14:paraId="20216217">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⑥ 提出质疑的日期。</w:t>
      </w:r>
    </w:p>
    <w:p w14:paraId="658BE4B7">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（5）供应商为自然人的，应当由本人签字；供应商为法人或者其他组织的，应当由法定代表人、主要负责人，或者其授权代表签字或者盖章并加盖公章。</w:t>
      </w:r>
    </w:p>
    <w:p w14:paraId="5F26C204">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w:t>
      </w:r>
    </w:p>
    <w:p w14:paraId="2F96456D">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（7）采购人负责供应商质疑答复。采购人委托采购代理机构采购的，采购代理机构在委托授权范围内作出答复。</w:t>
      </w:r>
    </w:p>
    <w:p w14:paraId="0749D9BA">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（8）接收质疑函的方式和联系方式：</w:t>
      </w:r>
    </w:p>
    <w:p w14:paraId="03710B14">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① 接收质疑函的方式：书面递交质疑函纸质版（当面递交）或PDF格式扫描件（发至电子邮箱）</w:t>
      </w:r>
    </w:p>
    <w:p w14:paraId="3CE3A9C1">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② 联系方式：</w:t>
      </w:r>
    </w:p>
    <w:p w14:paraId="2E5AF18B">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采购人名称：安康市市政园林处</w:t>
      </w:r>
    </w:p>
    <w:p w14:paraId="6847E10E">
      <w:pPr>
        <w:adjustRightInd w:val="0"/>
        <w:snapToGrid w:val="0"/>
        <w:spacing w:line="480" w:lineRule="exact"/>
        <w:ind w:firstLine="480" w:firstLineChars="200"/>
        <w:textAlignment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地    址：</w:t>
      </w:r>
      <w:r>
        <w:rPr>
          <w:rFonts w:hint="eastAsia" w:ascii="宋体" w:hAnsi="宋体" w:cs="宋体"/>
          <w:color w:val="000000" w:themeColor="text1"/>
          <w:sz w:val="24"/>
          <w:szCs w:val="24"/>
          <w14:textFill>
            <w14:solidFill>
              <w14:schemeClr w14:val="tx1"/>
            </w14:solidFill>
          </w14:textFill>
        </w:rPr>
        <w:t>安康市</w:t>
      </w:r>
      <w:r>
        <w:rPr>
          <w:rFonts w:hint="eastAsia" w:ascii="宋体" w:hAnsi="宋体" w:cs="宋体"/>
          <w:color w:val="000000" w:themeColor="text1"/>
          <w:sz w:val="24"/>
          <w:szCs w:val="24"/>
          <w:lang w:val="en-US" w:eastAsia="zh-CN"/>
          <w14:textFill>
            <w14:solidFill>
              <w14:schemeClr w14:val="tx1"/>
            </w14:solidFill>
          </w14:textFill>
        </w:rPr>
        <w:t>建设大厦7楼</w:t>
      </w:r>
    </w:p>
    <w:p w14:paraId="29B55FFA">
      <w:pPr>
        <w:adjustRightInd w:val="0"/>
        <w:snapToGrid w:val="0"/>
        <w:spacing w:line="480" w:lineRule="exact"/>
        <w:ind w:firstLine="480" w:firstLineChars="200"/>
        <w:textAlignment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联系方式：</w:t>
      </w:r>
      <w:r>
        <w:rPr>
          <w:rFonts w:hint="eastAsia" w:ascii="宋体" w:hAnsi="宋体" w:cs="宋体"/>
          <w:color w:val="000000" w:themeColor="text1"/>
          <w:sz w:val="24"/>
          <w:szCs w:val="24"/>
          <w:lang w:eastAsia="zh-CN"/>
          <w14:textFill>
            <w14:solidFill>
              <w14:schemeClr w14:val="tx1"/>
            </w14:solidFill>
          </w14:textFill>
        </w:rPr>
        <w:t>0915-3230552</w:t>
      </w:r>
    </w:p>
    <w:p w14:paraId="160A7CDF">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采购代理机构：陕西德丰盛和项目管理有限公司</w:t>
      </w:r>
    </w:p>
    <w:p w14:paraId="24508CE9">
      <w:pPr>
        <w:adjustRightInd w:val="0"/>
        <w:snapToGrid w:val="0"/>
        <w:spacing w:line="48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地    址：安康市汉滨区瀛湖路151号馨康佳苑二单元1603室</w:t>
      </w:r>
    </w:p>
    <w:p w14:paraId="7C4610F3">
      <w:pPr>
        <w:adjustRightInd w:val="0"/>
        <w:snapToGrid w:val="0"/>
        <w:spacing w:line="480" w:lineRule="exact"/>
        <w:ind w:firstLine="480" w:firstLineChars="200"/>
        <w:textAlignment w:val="center"/>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联系方式：</w:t>
      </w:r>
      <w:r>
        <w:rPr>
          <w:rFonts w:hint="eastAsia" w:ascii="宋体" w:hAnsi="宋体" w:cs="宋体"/>
          <w:color w:val="000000" w:themeColor="text1"/>
          <w:sz w:val="24"/>
          <w:szCs w:val="24"/>
          <w:lang w:eastAsia="zh-CN"/>
          <w14:textFill>
            <w14:solidFill>
              <w14:schemeClr w14:val="tx1"/>
            </w14:solidFill>
          </w14:textFill>
        </w:rPr>
        <w:t>13038911166</w:t>
      </w:r>
    </w:p>
    <w:p w14:paraId="677EE12E">
      <w:pPr>
        <w:adjustRightInd w:val="0"/>
        <w:snapToGrid w:val="0"/>
        <w:spacing w:line="48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邮    箱：</w:t>
      </w:r>
      <w:r>
        <w:rPr>
          <w:rFonts w:hint="eastAsia" w:ascii="宋体" w:hAnsi="宋体" w:cs="宋体"/>
          <w:color w:val="000000" w:themeColor="text1"/>
          <w:sz w:val="24"/>
          <w:szCs w:val="24"/>
          <w:lang w:eastAsia="zh-CN"/>
          <w14:textFill>
            <w14:solidFill>
              <w14:schemeClr w14:val="tx1"/>
            </w14:solidFill>
          </w14:textFill>
        </w:rPr>
        <w:t>297940360</w:t>
      </w:r>
      <w:r>
        <w:rPr>
          <w:rFonts w:hint="eastAsia" w:ascii="宋体" w:hAnsi="宋体" w:cs="宋体"/>
          <w:color w:val="000000" w:themeColor="text1"/>
          <w:sz w:val="24"/>
          <w:szCs w:val="24"/>
          <w14:textFill>
            <w14:solidFill>
              <w14:schemeClr w14:val="tx1"/>
            </w14:solidFill>
          </w14:textFill>
        </w:rPr>
        <w:t>@qq.com</w:t>
      </w:r>
    </w:p>
    <w:p w14:paraId="0338CD07">
      <w:pPr>
        <w:adjustRightInd w:val="0"/>
        <w:snapToGrid w:val="0"/>
        <w:spacing w:line="480" w:lineRule="exact"/>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2 投诉</w:t>
      </w:r>
    </w:p>
    <w:p w14:paraId="372982B2">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（1）质疑供应商对采购人、采购代理机构的答复不满意，或者采购人、采购代理机构未在规定时间内作出答复的，可以在答复期满后15个工作日内向同级财政部门提起投诉。</w:t>
      </w:r>
    </w:p>
    <w:p w14:paraId="175D435D">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（2）投诉人投诉时，应当提交投诉书和必要的证明材料，并按照被投诉采购人、采购代理机构（以下简称被投诉人）和与投诉事项有关的供应商数量提供投诉书的副本。投诉书应当包括下列内容：</w:t>
      </w:r>
    </w:p>
    <w:p w14:paraId="1A2711E7">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① 投诉人和被投诉人的姓名或者名称、通讯地址、邮编、联系人及联系电话；</w:t>
      </w:r>
    </w:p>
    <w:p w14:paraId="7AFC4CAC">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② 质疑和质疑答复情况说明及相关证明材料；</w:t>
      </w:r>
    </w:p>
    <w:p w14:paraId="753086D7">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③ 具体、明确的投诉事项和与投诉事项相关的投诉请求；</w:t>
      </w:r>
    </w:p>
    <w:p w14:paraId="093D0EA3">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④ 事实依据；</w:t>
      </w:r>
    </w:p>
    <w:p w14:paraId="51B40213">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⑤ 法律依据；</w:t>
      </w:r>
    </w:p>
    <w:p w14:paraId="1A754F94">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⑥ 提起投诉的日期。</w:t>
      </w:r>
    </w:p>
    <w:p w14:paraId="50ADCCE9">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（3）投诉人为自然人的，应当由本人签字；投诉人为法人或者其他组织的，应当由法定代表人、主要负责人，或者其授权代表签字或者盖章，并加盖公章。</w:t>
      </w:r>
    </w:p>
    <w:p w14:paraId="4AA1D52D">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（4）投诉人提起投诉应当符合下列条件：</w:t>
      </w:r>
    </w:p>
    <w:p w14:paraId="3FB2D2D2">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① 提起投诉前已依法进行质疑；</w:t>
      </w:r>
    </w:p>
    <w:p w14:paraId="4E738FC2">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② 投诉书内容符合《政府采购质疑和投诉办法》（财政部令第94号）的规定；</w:t>
      </w:r>
    </w:p>
    <w:p w14:paraId="79C89FAE">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③ 在投诉有效期限内提起投诉；</w:t>
      </w:r>
    </w:p>
    <w:p w14:paraId="1564B99D">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④ 同一投诉事项未经财政部门投诉处理；</w:t>
      </w:r>
    </w:p>
    <w:p w14:paraId="50B69F36">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⑤ 财政部规定的其他条件。</w:t>
      </w:r>
    </w:p>
    <w:p w14:paraId="7F6CFF1F">
      <w:pPr>
        <w:adjustRightInd w:val="0"/>
        <w:snapToGrid w:val="0"/>
        <w:spacing w:line="480" w:lineRule="exact"/>
        <w:ind w:firstLine="480" w:firstLineChars="200"/>
        <w:textAlignment w:val="center"/>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（5）供应商投诉的事项不得超出已质疑事项的范围，但基于质疑答复内容提出的投诉事项除外。</w:t>
      </w:r>
    </w:p>
    <w:p w14:paraId="4FD854A4">
      <w:pPr>
        <w:adjustRightInd w:val="0"/>
        <w:snapToGrid w:val="0"/>
        <w:spacing w:line="480" w:lineRule="exact"/>
        <w:textAlignment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二十三、保密</w:t>
      </w:r>
    </w:p>
    <w:p w14:paraId="4698E710">
      <w:pPr>
        <w:adjustRightInd w:val="0"/>
        <w:snapToGrid w:val="0"/>
        <w:spacing w:line="460" w:lineRule="exact"/>
        <w:ind w:firstLine="480" w:firstLineChars="200"/>
        <w:textAlignment w:val="center"/>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参与竞争性磋商响应活动的各方应对竞争性磋商文件和响应文件中的商业和技术等秘密保密，违者应对由此造成的后果承担法律责任。</w:t>
      </w:r>
      <w:bookmarkStart w:id="41" w:name="_Toc6171"/>
      <w:bookmarkStart w:id="42" w:name="_Toc18766"/>
      <w:bookmarkStart w:id="43" w:name="_Toc30504"/>
    </w:p>
    <w:bookmarkEnd w:id="41"/>
    <w:bookmarkEnd w:id="42"/>
    <w:bookmarkEnd w:id="43"/>
    <w:p w14:paraId="745DC036">
      <w:pPr>
        <w:rPr>
          <w:rFonts w:ascii="宋体" w:hAnsi="宋体" w:cs="宋体"/>
          <w:bCs/>
          <w:color w:val="000000" w:themeColor="text1"/>
          <w:sz w:val="36"/>
          <w:szCs w:val="36"/>
          <w14:textFill>
            <w14:solidFill>
              <w14:schemeClr w14:val="tx1"/>
            </w14:solidFill>
          </w14:textFill>
        </w:rPr>
        <w:sectPr>
          <w:pgSz w:w="11906" w:h="16838"/>
          <w:pgMar w:top="1587" w:right="1474" w:bottom="1474" w:left="1587" w:header="851" w:footer="992" w:gutter="0"/>
          <w:cols w:space="720" w:num="1"/>
          <w:docGrid w:type="lines" w:linePitch="312" w:charSpace="0"/>
        </w:sectPr>
      </w:pPr>
      <w:bookmarkStart w:id="44" w:name="_Toc428365988"/>
    </w:p>
    <w:p w14:paraId="675B2B4D">
      <w:pPr>
        <w:numPr>
          <w:ilvl w:val="0"/>
          <w:numId w:val="4"/>
        </w:numPr>
        <w:spacing w:line="440" w:lineRule="exact"/>
        <w:jc w:val="center"/>
        <w:rPr>
          <w:rFonts w:hint="eastAsia" w:ascii="宋体" w:hAnsi="宋体"/>
          <w:b/>
          <w:color w:val="000000" w:themeColor="text1"/>
          <w:sz w:val="32"/>
          <w:szCs w:val="22"/>
          <w14:textFill>
            <w14:solidFill>
              <w14:schemeClr w14:val="tx1"/>
            </w14:solidFill>
          </w14:textFill>
        </w:rPr>
      </w:pPr>
      <w:r>
        <w:rPr>
          <w:rFonts w:ascii="宋体" w:hAnsi="宋体"/>
          <w:b/>
          <w:color w:val="000000" w:themeColor="text1"/>
          <w:sz w:val="32"/>
          <w:szCs w:val="22"/>
          <w14:textFill>
            <w14:solidFill>
              <w14:schemeClr w14:val="tx1"/>
            </w14:solidFill>
          </w14:textFill>
        </w:rPr>
        <w:t xml:space="preserve">   </w:t>
      </w:r>
      <w:r>
        <w:rPr>
          <w:rFonts w:hint="eastAsia" w:ascii="宋体" w:hAnsi="宋体"/>
          <w:b/>
          <w:color w:val="000000" w:themeColor="text1"/>
          <w:sz w:val="32"/>
          <w:szCs w:val="22"/>
          <w14:textFill>
            <w14:solidFill>
              <w14:schemeClr w14:val="tx1"/>
            </w14:solidFill>
          </w14:textFill>
        </w:rPr>
        <w:t>商务条款</w:t>
      </w:r>
    </w:p>
    <w:p w14:paraId="7C5A60B5">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ascii="宋体" w:hAnsi="宋体"/>
          <w:b/>
          <w:color w:val="000000" w:themeColor="text1"/>
          <w:sz w:val="32"/>
          <w:szCs w:val="22"/>
          <w14:textFill>
            <w14:solidFill>
              <w14:schemeClr w14:val="tx1"/>
            </w14:solidFill>
          </w14:textFill>
        </w:rPr>
      </w:pPr>
    </w:p>
    <w:p w14:paraId="43BD303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一、项目概况</w:t>
      </w:r>
    </w:p>
    <w:p w14:paraId="75ADC86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本项目服务覆盖</w:t>
      </w:r>
      <w:r>
        <w:rPr>
          <w:rFonts w:hint="eastAsia" w:ascii="宋体" w:hAnsi="宋体" w:cs="宋体"/>
          <w:b w:val="0"/>
          <w:bCs/>
          <w:sz w:val="24"/>
          <w:szCs w:val="24"/>
          <w:lang w:val="en-US" w:eastAsia="zh-CN"/>
        </w:rPr>
        <w:t>安康中心城区排水检查井8798座、排水雨水边井9495座</w:t>
      </w:r>
      <w:r>
        <w:rPr>
          <w:rFonts w:hint="eastAsia" w:ascii="宋体" w:hAnsi="宋体" w:eastAsia="宋体" w:cs="宋体"/>
          <w:b w:val="0"/>
          <w:bCs/>
          <w:sz w:val="24"/>
          <w:szCs w:val="24"/>
          <w:lang w:val="en-US" w:eastAsia="zh-CN"/>
        </w:rPr>
        <w:t>、截水沟69座、截流堰15处、排水口16处、排水边沟4100米</w:t>
      </w:r>
      <w:r>
        <w:rPr>
          <w:rFonts w:hint="eastAsia" w:ascii="宋体" w:hAnsi="宋体" w:cs="宋体"/>
          <w:b w:val="0"/>
          <w:bCs/>
          <w:sz w:val="24"/>
          <w:szCs w:val="24"/>
          <w:lang w:val="en-US" w:eastAsia="zh-CN"/>
        </w:rPr>
        <w:t>，以</w:t>
      </w:r>
      <w:r>
        <w:rPr>
          <w:rFonts w:hint="eastAsia" w:ascii="宋体" w:hAnsi="宋体" w:eastAsia="宋体" w:cs="宋体"/>
          <w:b w:val="0"/>
          <w:bCs/>
          <w:sz w:val="24"/>
          <w:szCs w:val="24"/>
          <w:lang w:val="en-US" w:eastAsia="zh-CN"/>
        </w:rPr>
        <w:t>及安康市市政园林处泵站管护科、道桥管护科办公院落、喇叭洞泵站等区域，核心开展“四害”防制、孳生源治理、环境消杀，落实常态化管网病媒生物防控，做到全域覆盖、不留死角。</w:t>
      </w:r>
    </w:p>
    <w:p w14:paraId="447E7F6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二、人员配置与资质保障</w:t>
      </w:r>
    </w:p>
    <w:p w14:paraId="23B996E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1.项目负责人：配备1名具备市政管网病媒消杀实操经验、责任心强的专职项目负责人，全程统筹月度作业计划、现场管控、整改落实、资料报送及采购方对接工作。</w:t>
      </w:r>
    </w:p>
    <w:p w14:paraId="42E5DFA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2.作业人员要求：所有实操人员均持有相关部门核发的病媒生物防制专业培训合格证书，人员固定上岗，定期开展安全操作、药剂规范使用再培训。</w:t>
      </w:r>
    </w:p>
    <w:p w14:paraId="6DAF486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3.人员管理制度：建立人员考勤、岗前安全交底、作业规范考核制度，严禁无证人员上岗作业。</w:t>
      </w:r>
    </w:p>
    <w:p w14:paraId="609BDCA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三、作业标准</w:t>
      </w:r>
    </w:p>
    <w:p w14:paraId="264BDA9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w:t>
      </w:r>
      <w:r>
        <w:rPr>
          <w:rFonts w:hint="eastAsia" w:ascii="宋体" w:hAnsi="宋体" w:eastAsia="宋体" w:cs="宋体"/>
          <w:sz w:val="24"/>
          <w:szCs w:val="24"/>
          <w:lang w:eastAsia="zh-CN"/>
        </w:rPr>
        <w:t>存在积水的设施</w:t>
      </w:r>
      <w:r>
        <w:rPr>
          <w:rFonts w:hint="eastAsia" w:ascii="宋体" w:hAnsi="宋体" w:eastAsia="宋体" w:cs="宋体"/>
          <w:sz w:val="24"/>
          <w:szCs w:val="24"/>
        </w:rPr>
        <w:t>每月</w:t>
      </w:r>
      <w:r>
        <w:rPr>
          <w:rFonts w:hint="eastAsia" w:ascii="宋体" w:hAnsi="宋体" w:eastAsia="宋体" w:cs="宋体"/>
          <w:sz w:val="24"/>
          <w:szCs w:val="24"/>
          <w:lang w:eastAsia="zh-CN"/>
        </w:rPr>
        <w:t>至少</w:t>
      </w:r>
      <w:r>
        <w:rPr>
          <w:rFonts w:hint="eastAsia" w:ascii="宋体" w:hAnsi="宋体" w:cs="宋体"/>
          <w:sz w:val="24"/>
          <w:szCs w:val="24"/>
          <w:lang w:eastAsia="zh-CN"/>
        </w:rPr>
        <w:t>进行4</w:t>
      </w:r>
      <w:r>
        <w:rPr>
          <w:rFonts w:hint="eastAsia" w:ascii="宋体" w:hAnsi="宋体" w:eastAsia="宋体" w:cs="宋体"/>
          <w:sz w:val="24"/>
          <w:szCs w:val="24"/>
          <w:lang w:val="en-US" w:eastAsia="zh-CN"/>
        </w:rPr>
        <w:t>次</w:t>
      </w:r>
      <w:r>
        <w:rPr>
          <w:rFonts w:hint="eastAsia" w:ascii="宋体" w:hAnsi="宋体" w:eastAsia="宋体" w:cs="宋体"/>
          <w:sz w:val="24"/>
          <w:szCs w:val="24"/>
        </w:rPr>
        <w:t>杀</w:t>
      </w:r>
      <w:r>
        <w:rPr>
          <w:rFonts w:hint="eastAsia" w:ascii="宋体" w:hAnsi="宋体" w:eastAsia="宋体" w:cs="宋体"/>
          <w:sz w:val="24"/>
          <w:szCs w:val="24"/>
          <w:lang w:eastAsia="zh-CN"/>
        </w:rPr>
        <w:t>蚴</w:t>
      </w:r>
      <w:r>
        <w:rPr>
          <w:rFonts w:hint="eastAsia" w:ascii="宋体" w:hAnsi="宋体" w:eastAsia="宋体" w:cs="宋体"/>
          <w:sz w:val="24"/>
          <w:szCs w:val="24"/>
        </w:rPr>
        <w:t>防制</w:t>
      </w:r>
      <w:r>
        <w:rPr>
          <w:rFonts w:hint="eastAsia" w:ascii="宋体" w:hAnsi="宋体" w:eastAsia="宋体" w:cs="宋体"/>
          <w:sz w:val="24"/>
          <w:szCs w:val="24"/>
          <w:lang w:eastAsia="zh-CN"/>
        </w:rPr>
        <w:t>，无积水</w:t>
      </w:r>
      <w:r>
        <w:rPr>
          <w:rFonts w:hint="eastAsia" w:ascii="宋体" w:hAnsi="宋体" w:eastAsia="宋体" w:cs="宋体"/>
          <w:sz w:val="24"/>
          <w:szCs w:val="24"/>
          <w:lang w:val="en-US" w:eastAsia="zh-CN"/>
        </w:rPr>
        <w:t>的</w:t>
      </w:r>
      <w:r>
        <w:rPr>
          <w:rFonts w:hint="eastAsia" w:ascii="宋体" w:hAnsi="宋体" w:eastAsia="宋体" w:cs="宋体"/>
          <w:sz w:val="24"/>
          <w:szCs w:val="24"/>
          <w:lang w:eastAsia="zh-CN"/>
        </w:rPr>
        <w:t>设施按正常</w:t>
      </w:r>
      <w:r>
        <w:rPr>
          <w:rFonts w:hint="eastAsia" w:ascii="宋体" w:hAnsi="宋体" w:eastAsia="宋体" w:cs="宋体"/>
          <w:sz w:val="24"/>
          <w:szCs w:val="24"/>
          <w:lang w:val="en-US" w:eastAsia="zh-CN"/>
        </w:rPr>
        <w:t>1</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2次进行消杀</w:t>
      </w:r>
      <w:r>
        <w:rPr>
          <w:rFonts w:hint="eastAsia" w:ascii="宋体" w:hAnsi="宋体" w:cs="宋体"/>
          <w:sz w:val="24"/>
          <w:szCs w:val="24"/>
          <w:lang w:val="en-US" w:eastAsia="zh-CN"/>
        </w:rPr>
        <w:t>防治投药</w:t>
      </w:r>
      <w:r>
        <w:rPr>
          <w:rFonts w:hint="eastAsia" w:ascii="宋体" w:hAnsi="宋体" w:eastAsia="宋体" w:cs="宋体"/>
          <w:sz w:val="24"/>
          <w:szCs w:val="24"/>
        </w:rPr>
        <w:t>工作</w:t>
      </w:r>
      <w:r>
        <w:rPr>
          <w:rFonts w:hint="eastAsia" w:ascii="宋体" w:hAnsi="宋体" w:eastAsia="宋体" w:cs="宋体"/>
          <w:sz w:val="24"/>
          <w:szCs w:val="24"/>
          <w:lang w:eastAsia="zh-CN"/>
        </w:rPr>
        <w:t>。</w:t>
      </w:r>
    </w:p>
    <w:p w14:paraId="28DBD76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2.严格按照采购方划定的道路片区编排作业顺序，按月度工期计划逐街逐井推进，严格落实</w:t>
      </w:r>
      <w:r>
        <w:rPr>
          <w:rFonts w:hint="eastAsia" w:ascii="宋体" w:hAnsi="宋体" w:cs="宋体"/>
          <w:b w:val="0"/>
          <w:bCs/>
          <w:sz w:val="24"/>
          <w:szCs w:val="24"/>
          <w:lang w:val="en-US" w:eastAsia="zh-CN"/>
        </w:rPr>
        <w:t>“城不漏街、街不漏井”</w:t>
      </w:r>
      <w:r>
        <w:rPr>
          <w:rFonts w:hint="eastAsia" w:ascii="宋体" w:hAnsi="宋体" w:eastAsia="宋体" w:cs="宋体"/>
          <w:b w:val="0"/>
          <w:bCs/>
          <w:sz w:val="24"/>
          <w:szCs w:val="24"/>
          <w:lang w:val="en-US" w:eastAsia="zh-CN"/>
        </w:rPr>
        <w:t>，对泵站院落、办公区域同步开展环境消杀、孳生地清理，做到管网设施与附属区域同步防控。</w:t>
      </w:r>
    </w:p>
    <w:p w14:paraId="3C3BD8C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3.作业人员统一身着专业消杀标志工作服，规范佩戴防护用具，严格按照药剂配比、安全操作流程作业；</w:t>
      </w:r>
    </w:p>
    <w:p w14:paraId="7784A40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4.每一处消杀点位，在井边砼道牙平行粘贴统一制式的“病媒生物防制”作业标签，标注作业日期、作业人员，做到有据可查；</w:t>
      </w:r>
    </w:p>
    <w:p w14:paraId="048360F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5.每条作业道路现场拍摄1–2张清晰实景作业照片，包含作业场景、药剂投放、标签张贴等内容，每月1–3日连同当月作业单一并报送采购方归档。</w:t>
      </w:r>
    </w:p>
    <w:p w14:paraId="56A58CF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6.药剂选用符合国家卫生杀虫药剂标准的合规产品，建立药剂出入库台账，杜绝违禁药剂使用。</w:t>
      </w:r>
    </w:p>
    <w:p w14:paraId="0A2DBB2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四、质量管控与整改机制</w:t>
      </w:r>
    </w:p>
    <w:p w14:paraId="32412B1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1.建立完善的质量保证体系，包含技术操作规程、档案管理制度、安全管理制度、应急处置预案、月度巡检制度；</w:t>
      </w:r>
    </w:p>
    <w:p w14:paraId="36FD260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2.积极配合采购方日常检查、随机抽查，接到整改通知后，3日内完成问题点位返工消杀、孳生源清理，并提交整改回执；</w:t>
      </w:r>
    </w:p>
    <w:p w14:paraId="1BBEAA0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3.建立作业档案，对每月作业点位、投药记录、照片资料、整改台账、人员设备台账统一归档，随时接受采购方核查。</w:t>
      </w:r>
    </w:p>
    <w:p w14:paraId="4BE68181">
      <w:pPr>
        <w:jc w:val="center"/>
        <w:rPr>
          <w:rFonts w:ascii="宋体" w:hAnsi="宋体" w:cs="宋体"/>
          <w:bCs/>
          <w:color w:val="000000" w:themeColor="text1"/>
          <w:sz w:val="36"/>
          <w:szCs w:val="36"/>
          <w14:textFill>
            <w14:solidFill>
              <w14:schemeClr w14:val="tx1"/>
            </w14:solidFill>
          </w14:textFill>
        </w:rPr>
      </w:pPr>
    </w:p>
    <w:p w14:paraId="38611F0F">
      <w:pPr>
        <w:jc w:val="center"/>
        <w:rPr>
          <w:rFonts w:ascii="宋体" w:hAnsi="宋体" w:cs="宋体"/>
          <w:bCs/>
          <w:color w:val="000000" w:themeColor="text1"/>
          <w:sz w:val="36"/>
          <w:szCs w:val="36"/>
          <w14:textFill>
            <w14:solidFill>
              <w14:schemeClr w14:val="tx1"/>
            </w14:solidFill>
          </w14:textFill>
        </w:rPr>
      </w:pPr>
    </w:p>
    <w:p w14:paraId="217AD307">
      <w:pPr>
        <w:jc w:val="center"/>
        <w:rPr>
          <w:rFonts w:ascii="宋体" w:hAnsi="宋体" w:cs="宋体"/>
          <w:bCs/>
          <w:color w:val="000000" w:themeColor="text1"/>
          <w:sz w:val="36"/>
          <w:szCs w:val="36"/>
          <w14:textFill>
            <w14:solidFill>
              <w14:schemeClr w14:val="tx1"/>
            </w14:solidFill>
          </w14:textFill>
        </w:rPr>
      </w:pPr>
    </w:p>
    <w:p w14:paraId="5A7D747F">
      <w:pPr>
        <w:jc w:val="center"/>
        <w:rPr>
          <w:rFonts w:ascii="宋体" w:hAnsi="宋体" w:cs="宋体"/>
          <w:bCs/>
          <w:color w:val="000000" w:themeColor="text1"/>
          <w:sz w:val="36"/>
          <w:szCs w:val="36"/>
          <w14:textFill>
            <w14:solidFill>
              <w14:schemeClr w14:val="tx1"/>
            </w14:solidFill>
          </w14:textFill>
        </w:rPr>
      </w:pPr>
    </w:p>
    <w:p w14:paraId="3506D7A2">
      <w:pPr>
        <w:jc w:val="center"/>
        <w:rPr>
          <w:rFonts w:ascii="宋体" w:hAnsi="宋体" w:cs="宋体"/>
          <w:bCs/>
          <w:color w:val="000000" w:themeColor="text1"/>
          <w:sz w:val="36"/>
          <w:szCs w:val="36"/>
          <w14:textFill>
            <w14:solidFill>
              <w14:schemeClr w14:val="tx1"/>
            </w14:solidFill>
          </w14:textFill>
        </w:rPr>
      </w:pPr>
    </w:p>
    <w:p w14:paraId="6BF2AE25">
      <w:pPr>
        <w:jc w:val="center"/>
        <w:rPr>
          <w:rFonts w:ascii="宋体" w:hAnsi="宋体" w:cs="宋体"/>
          <w:bCs/>
          <w:color w:val="000000" w:themeColor="text1"/>
          <w:sz w:val="36"/>
          <w:szCs w:val="36"/>
          <w14:textFill>
            <w14:solidFill>
              <w14:schemeClr w14:val="tx1"/>
            </w14:solidFill>
          </w14:textFill>
        </w:rPr>
      </w:pPr>
    </w:p>
    <w:p w14:paraId="24380DB9">
      <w:pPr>
        <w:jc w:val="center"/>
        <w:rPr>
          <w:rFonts w:ascii="宋体" w:hAnsi="宋体" w:cs="宋体"/>
          <w:bCs/>
          <w:color w:val="000000" w:themeColor="text1"/>
          <w:sz w:val="36"/>
          <w:szCs w:val="36"/>
          <w14:textFill>
            <w14:solidFill>
              <w14:schemeClr w14:val="tx1"/>
            </w14:solidFill>
          </w14:textFill>
        </w:rPr>
      </w:pPr>
    </w:p>
    <w:p w14:paraId="7FED9039">
      <w:pPr>
        <w:jc w:val="both"/>
        <w:rPr>
          <w:rFonts w:ascii="宋体" w:hAnsi="宋体" w:cs="宋体"/>
          <w:bCs/>
          <w:color w:val="000000" w:themeColor="text1"/>
          <w:sz w:val="36"/>
          <w:szCs w:val="36"/>
          <w14:textFill>
            <w14:solidFill>
              <w14:schemeClr w14:val="tx1"/>
            </w14:solidFill>
          </w14:textFill>
        </w:rPr>
      </w:pPr>
    </w:p>
    <w:p w14:paraId="03C12D5F">
      <w:pPr>
        <w:jc w:val="center"/>
        <w:rPr>
          <w:rFonts w:ascii="宋体" w:hAnsi="宋体" w:cs="宋体"/>
          <w:bCs/>
          <w:color w:val="000000" w:themeColor="text1"/>
          <w:sz w:val="36"/>
          <w:szCs w:val="36"/>
          <w14:textFill>
            <w14:solidFill>
              <w14:schemeClr w14:val="tx1"/>
            </w14:solidFill>
          </w14:textFill>
        </w:rPr>
      </w:pPr>
      <w:r>
        <w:rPr>
          <w:rFonts w:hint="eastAsia" w:ascii="宋体" w:hAnsi="宋体" w:cs="宋体"/>
          <w:bCs/>
          <w:color w:val="000000" w:themeColor="text1"/>
          <w:sz w:val="36"/>
          <w:szCs w:val="36"/>
          <w14:textFill>
            <w14:solidFill>
              <w14:schemeClr w14:val="tx1"/>
            </w14:solidFill>
          </w14:textFill>
        </w:rPr>
        <w:t>第四章 合同条款及格式</w:t>
      </w:r>
    </w:p>
    <w:p w14:paraId="74B39382">
      <w:pPr>
        <w:pStyle w:val="49"/>
        <w:keepNext w:val="0"/>
        <w:keepLines w:val="0"/>
        <w:pageBreakBefore w:val="0"/>
        <w:shd w:val="clear" w:color="auto" w:fill="FFFFFF"/>
        <w:kinsoku/>
        <w:wordWrap/>
        <w:overflowPunct/>
        <w:topLinePunct w:val="0"/>
        <w:bidi w:val="0"/>
        <w:adjustRightInd/>
        <w:snapToGrid/>
        <w:spacing w:before="0" w:beforeAutospacing="0" w:after="0" w:afterAutospacing="0" w:line="400" w:lineRule="exact"/>
        <w:ind w:firstLine="643" w:firstLineChars="200"/>
        <w:jc w:val="center"/>
        <w:textAlignment w:val="auto"/>
        <w:rPr>
          <w:rFonts w:hint="eastAsia" w:ascii="宋体" w:hAnsi="宋体" w:eastAsia="宋体" w:cs="宋体"/>
          <w:sz w:val="24"/>
          <w:szCs w:val="24"/>
        </w:rPr>
      </w:pPr>
      <w:r>
        <w:rPr>
          <w:rFonts w:hint="eastAsia" w:ascii="宋体" w:hAnsi="宋体" w:eastAsia="宋体" w:cs="宋体"/>
          <w:b/>
          <w:bCs/>
          <w:sz w:val="32"/>
          <w:szCs w:val="32"/>
          <w:lang w:val="en-US" w:eastAsia="zh-CN"/>
        </w:rPr>
        <w:t>合同主要条款</w:t>
      </w:r>
    </w:p>
    <w:p w14:paraId="3D7EE1D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一、项目名称</w:t>
      </w:r>
    </w:p>
    <w:p w14:paraId="38102D8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2026年安康中心城区市政排水设施病媒生物防制消杀项目</w:t>
      </w:r>
    </w:p>
    <w:p w14:paraId="2FBE7E5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二、服务期限、范围及内容</w:t>
      </w:r>
    </w:p>
    <w:p w14:paraId="1F8CB16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1.服务期限：365日历天，自合同签订之日起计算。</w:t>
      </w:r>
    </w:p>
    <w:p w14:paraId="5045303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服务范围：安康中心城区排水检查井8798座、排水雨水边井9495座、截水沟69座、截流堰15处、排水口16处、排水边沟4100米，以及安康市市政园林处泵站管护科、道桥管护科办公院落、喇叭洞泵站、东坝泵站等全部指定区域。</w:t>
      </w:r>
    </w:p>
    <w:p w14:paraId="484DE6E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3.服务内容：开展“四害”防制、</w:t>
      </w:r>
      <w:r>
        <w:rPr>
          <w:rFonts w:hint="eastAsia" w:ascii="宋体" w:hAnsi="宋体" w:cs="宋体"/>
          <w:b w:val="0"/>
          <w:bCs w:val="0"/>
          <w:sz w:val="24"/>
          <w:szCs w:val="24"/>
          <w:lang w:val="en-US" w:eastAsia="zh-CN"/>
        </w:rPr>
        <w:t>孳生源治理</w:t>
      </w:r>
      <w:r>
        <w:rPr>
          <w:rFonts w:hint="eastAsia" w:ascii="宋体" w:hAnsi="宋体" w:eastAsia="宋体" w:cs="宋体"/>
          <w:b w:val="0"/>
          <w:bCs w:val="0"/>
          <w:sz w:val="24"/>
          <w:szCs w:val="24"/>
          <w:lang w:val="en-US" w:eastAsia="zh-CN"/>
        </w:rPr>
        <w:t>、环境消杀、蚊虫杀蚴投药、鼠蟑饵剂投放、病媒密度管控等常态化防控工作。</w:t>
      </w:r>
    </w:p>
    <w:p w14:paraId="121FAD3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三、双方权利和义务</w:t>
      </w:r>
    </w:p>
    <w:p w14:paraId="2C43521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（一）甲方权利义务</w:t>
      </w:r>
    </w:p>
    <w:p w14:paraId="085659C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1.向乙方提供城区排水设施点位台账、道路划分、设施分布等相关基础资料和数据。</w:t>
      </w:r>
    </w:p>
    <w:p w14:paraId="4951C71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2.负责排水管网日常清淤、积水清理，减少病媒生物</w:t>
      </w:r>
      <w:r>
        <w:rPr>
          <w:rFonts w:hint="eastAsia" w:ascii="宋体" w:hAnsi="宋体" w:cs="宋体"/>
          <w:b w:val="0"/>
          <w:bCs w:val="0"/>
          <w:sz w:val="24"/>
          <w:szCs w:val="24"/>
          <w:lang w:val="en-US" w:eastAsia="zh-CN"/>
        </w:rPr>
        <w:t>滋生</w:t>
      </w:r>
      <w:r>
        <w:rPr>
          <w:rFonts w:hint="eastAsia" w:ascii="宋体" w:hAnsi="宋体" w:eastAsia="宋体" w:cs="宋体"/>
          <w:b w:val="0"/>
          <w:bCs w:val="0"/>
          <w:sz w:val="24"/>
          <w:szCs w:val="24"/>
          <w:lang w:val="en-US" w:eastAsia="zh-CN"/>
        </w:rPr>
        <w:t>源头，为乙方消杀作业提供必要作业条件。</w:t>
      </w:r>
    </w:p>
    <w:p w14:paraId="1698F72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3.有权对乙方消杀作业开展日常检查、随机抽查，对消杀不到位、作业不规范、点位遗漏等问题，有权责令乙方限期整改。</w:t>
      </w:r>
    </w:p>
    <w:p w14:paraId="1C4AEA4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4.按合同约定按时完成服务费用结算。</w:t>
      </w:r>
    </w:p>
    <w:p w14:paraId="4BAF3C2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（二）乙方权利义务</w:t>
      </w:r>
    </w:p>
    <w:p w14:paraId="24E646C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1.合同签订后3个工作日内，向甲方提交完善的市政排水管网病媒生物防制专项实施方案、月度及季度管护计划、人员及设备配置方案、现场管理及应急处置方案。</w:t>
      </w:r>
    </w:p>
    <w:p w14:paraId="333D85B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2.严格遵照《国家爱卫办病媒生物防制规范》《国家卫生城市标准》《安康市病媒生物防制工作规范》及安康市创卫、创建办相关工作要求，因地制宜、科学投药，保障防制效果。</w:t>
      </w:r>
    </w:p>
    <w:p w14:paraId="098C496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3.所有消杀药剂、饵剂均选用符合国家卫生杀虫药剂标准的合规产品，建立药剂出入库台账，严禁使用违禁药剂，不得危害人身健康、污染周边水体及市政环境。</w:t>
      </w:r>
    </w:p>
    <w:p w14:paraId="174ECF9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4.消杀作业不得影响市政排水设施正常运行及市政日常养护作业；作业开启井盖、井篦后必须压实扣牢，作业全过程</w:t>
      </w:r>
      <w:r>
        <w:rPr>
          <w:rFonts w:hint="eastAsia" w:ascii="宋体" w:hAnsi="宋体" w:cs="宋体"/>
          <w:b w:val="0"/>
          <w:bCs w:val="0"/>
          <w:sz w:val="24"/>
          <w:szCs w:val="24"/>
          <w:lang w:val="en-US" w:eastAsia="zh-CN"/>
        </w:rPr>
        <w:t>的安全</w:t>
      </w:r>
      <w:r>
        <w:rPr>
          <w:rFonts w:hint="eastAsia" w:ascii="宋体" w:hAnsi="宋体" w:eastAsia="宋体" w:cs="宋体"/>
          <w:b w:val="0"/>
          <w:bCs w:val="0"/>
          <w:sz w:val="24"/>
          <w:szCs w:val="24"/>
          <w:lang w:val="en-US" w:eastAsia="zh-CN"/>
        </w:rPr>
        <w:t>防护、人员安全事故全部由乙方自行</w:t>
      </w:r>
      <w:r>
        <w:rPr>
          <w:rFonts w:hint="eastAsia" w:ascii="宋体" w:hAnsi="宋体" w:cs="宋体"/>
          <w:b w:val="0"/>
          <w:bCs w:val="0"/>
          <w:sz w:val="24"/>
          <w:szCs w:val="24"/>
          <w:lang w:val="en-US" w:eastAsia="zh-CN"/>
        </w:rPr>
        <w:t>承担</w:t>
      </w:r>
      <w:r>
        <w:rPr>
          <w:rFonts w:hint="eastAsia" w:ascii="宋体" w:hAnsi="宋体" w:eastAsia="宋体" w:cs="宋体"/>
          <w:b w:val="0"/>
          <w:bCs w:val="0"/>
          <w:sz w:val="24"/>
          <w:szCs w:val="24"/>
          <w:lang w:val="en-US" w:eastAsia="zh-CN"/>
        </w:rPr>
        <w:t>。</w:t>
      </w:r>
    </w:p>
    <w:p w14:paraId="1D7E926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5.服从甲方调度，配合完成汛期、创卫迎检等特殊时段应急消杀、临时补救及整改工作。</w:t>
      </w:r>
    </w:p>
    <w:p w14:paraId="626B53D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6.保障本项目病媒防制工作顺利通过各级爱卫办、疾控中心、创建办检查验收，确保各项指标达标。</w:t>
      </w:r>
    </w:p>
    <w:p w14:paraId="354A049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四、工作要求</w:t>
      </w:r>
    </w:p>
    <w:p w14:paraId="759FB9D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1.合同签订后，乙方须指派1名具备丰富实操经验、责任心强的专职项目负责人，全程负责本合同周期内病媒生物防制统筹管理工作，人员未经甲方同意不得随意更换。</w:t>
      </w:r>
    </w:p>
    <w:p w14:paraId="66D8F91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2.消杀频次严格执行：存在积水的排水设施，每月至少完成4次杀蚴防制投药；无积水的排水设施，每月开展1-2次消杀投药作业。</w:t>
      </w:r>
    </w:p>
    <w:p w14:paraId="0357BC1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3.乙方须按照甲方划定的道路顺序编制月度作业工期计划，逐街逐井依次作业，严格落实“城不漏街，街不漏井”，做到全域无死角。</w:t>
      </w:r>
    </w:p>
    <w:p w14:paraId="4952DF5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4.每条作业道路须拍摄1</w:t>
      </w:r>
      <w:r>
        <w:rPr>
          <w:rFonts w:hint="eastAsia" w:ascii="宋体" w:hAnsi="宋体" w:cs="宋体"/>
          <w:b w:val="0"/>
          <w:bCs w:val="0"/>
          <w:sz w:val="24"/>
          <w:szCs w:val="24"/>
          <w:lang w:val="en-US" w:eastAsia="zh-CN"/>
        </w:rPr>
        <w:t>—</w:t>
      </w:r>
      <w:r>
        <w:rPr>
          <w:rFonts w:hint="eastAsia" w:ascii="宋体" w:hAnsi="宋体" w:eastAsia="宋体" w:cs="宋体"/>
          <w:b w:val="0"/>
          <w:bCs w:val="0"/>
          <w:sz w:val="24"/>
          <w:szCs w:val="24"/>
          <w:lang w:val="en-US" w:eastAsia="zh-CN"/>
        </w:rPr>
        <w:t>2张</w:t>
      </w:r>
      <w:r>
        <w:rPr>
          <w:rFonts w:hint="eastAsia" w:ascii="宋体" w:hAnsi="宋体" w:cs="宋体"/>
          <w:b w:val="0"/>
          <w:bCs w:val="0"/>
          <w:sz w:val="24"/>
          <w:szCs w:val="24"/>
          <w:lang w:val="en-US" w:eastAsia="zh-CN"/>
        </w:rPr>
        <w:t>翔实</w:t>
      </w:r>
      <w:r>
        <w:rPr>
          <w:rFonts w:hint="eastAsia" w:ascii="宋体" w:hAnsi="宋体" w:eastAsia="宋体" w:cs="宋体"/>
          <w:b w:val="0"/>
          <w:bCs w:val="0"/>
          <w:sz w:val="24"/>
          <w:szCs w:val="24"/>
          <w:lang w:val="en-US" w:eastAsia="zh-CN"/>
        </w:rPr>
        <w:t>现场作业照片，每月1日至3日随同当月作业服务单一并报送甲方归档。</w:t>
      </w:r>
    </w:p>
    <w:p w14:paraId="5633F87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5.每个消杀点位，须在井边砼道牙平行粘贴统一制式“病媒生物防制”作业标签，标注作业日期、作业人员信息。</w:t>
      </w:r>
    </w:p>
    <w:p w14:paraId="45912BC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6.作业人员上岗必须身着专业消杀标志工作服，规范佩戴防护用具，文明规范施工。</w:t>
      </w:r>
    </w:p>
    <w:p w14:paraId="566BC67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7.甲方开展检查、抽查时，乙方须安排专人按时到场配合；检查发现消杀不到位、点位遗漏、标签缺失等问题，乙方须在3日内完成整改并提交整改回执。若因乙方工作不到位受到创建办、爱卫办及行业主管部门督办、通报的，每次扣除乙方服务费2000元，在当期结算款项中直接抵扣。</w:t>
      </w:r>
    </w:p>
    <w:p w14:paraId="73AD8D1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五、质量管控与档案管理</w:t>
      </w:r>
    </w:p>
    <w:p w14:paraId="55738EB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1.乙方须建立完善的质量保证体系，健全技术操作规程、档案管理、安全作业、应急处置、月度巡检等管理制度。</w:t>
      </w:r>
    </w:p>
    <w:p w14:paraId="0DA4283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2.建立完整作业档案，包含月度作业台账、投药记录、现场照片、整改资料、人员设备台账、药剂出入库台账等，随时接受甲方核查。</w:t>
      </w:r>
    </w:p>
    <w:p w14:paraId="3AFF149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3.乙方定期开展病媒密度自查，根据季节变化动态调整消杀方案，夏季蚊虫高发期加密杀蚴频次，冬季强化鼠类防控。</w:t>
      </w:r>
    </w:p>
    <w:p w14:paraId="0CD3216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六、费用结算</w:t>
      </w:r>
    </w:p>
    <w:p w14:paraId="6ACE507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甲方采用银行转账方式向乙方分期支付服务价款，乙方按照结算金额开具合法有效增值税发票。</w:t>
      </w:r>
    </w:p>
    <w:p w14:paraId="1DBD9E6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七、其他约定</w:t>
      </w:r>
    </w:p>
    <w:p w14:paraId="37049F2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1.本合同未尽事宜，双方可签订补充协议，补充协议与本合同具有同等法律效力。</w:t>
      </w:r>
    </w:p>
    <w:p w14:paraId="5BA5EEE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2.因乙方作业不规范、整改不及时造成创卫验收不通过、甲方被主管部门处罚的，全部责任及损失由乙方承担。</w:t>
      </w:r>
    </w:p>
    <w:p w14:paraId="14AFC876">
      <w:pPr>
        <w:spacing w:line="560" w:lineRule="exact"/>
        <w:ind w:firstLine="480" w:firstLineChars="200"/>
        <w:rPr>
          <w:rFonts w:hAnsi="宋体"/>
          <w:color w:val="000000" w:themeColor="text1"/>
          <w:sz w:val="24"/>
          <w14:textFill>
            <w14:solidFill>
              <w14:schemeClr w14:val="tx1"/>
            </w14:solidFill>
          </w14:textFill>
        </w:rPr>
      </w:pPr>
    </w:p>
    <w:p w14:paraId="2388B963">
      <w:pPr>
        <w:spacing w:line="360" w:lineRule="auto"/>
        <w:jc w:val="center"/>
        <w:rPr>
          <w:rFonts w:ascii="宋体" w:hAnsi="宋体"/>
          <w:b/>
          <w:color w:val="000000" w:themeColor="text1"/>
          <w:spacing w:val="30"/>
          <w:sz w:val="52"/>
          <w:szCs w:val="52"/>
          <w14:textFill>
            <w14:solidFill>
              <w14:schemeClr w14:val="tx1"/>
            </w14:solidFill>
          </w14:textFill>
        </w:rPr>
      </w:pPr>
    </w:p>
    <w:p w14:paraId="757A8E0A">
      <w:pPr>
        <w:autoSpaceDE w:val="0"/>
        <w:autoSpaceDN w:val="0"/>
        <w:adjustRightInd w:val="0"/>
        <w:spacing w:line="360" w:lineRule="auto"/>
        <w:jc w:val="center"/>
        <w:rPr>
          <w:rFonts w:ascii="宋体" w:hAnsi="宋体" w:cs="宋体"/>
          <w:b/>
          <w:bCs/>
          <w:color w:val="000000" w:themeColor="text1"/>
          <w:kern w:val="44"/>
          <w:sz w:val="36"/>
          <w:szCs w:val="36"/>
          <w:lang w:val="zh-CN"/>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br w:type="page"/>
      </w:r>
      <w:r>
        <w:rPr>
          <w:rFonts w:hint="eastAsia" w:ascii="宋体" w:hAnsi="宋体" w:cs="宋体"/>
          <w:b/>
          <w:bCs/>
          <w:color w:val="000000" w:themeColor="text1"/>
          <w:kern w:val="44"/>
          <w:sz w:val="36"/>
          <w:szCs w:val="36"/>
          <w14:textFill>
            <w14:solidFill>
              <w14:schemeClr w14:val="tx1"/>
            </w14:solidFill>
          </w14:textFill>
        </w:rPr>
        <w:t xml:space="preserve">第五章   </w:t>
      </w:r>
      <w:r>
        <w:rPr>
          <w:rFonts w:hint="eastAsia" w:ascii="宋体" w:hAnsi="宋体" w:cs="宋体"/>
          <w:b/>
          <w:bCs/>
          <w:color w:val="000000" w:themeColor="text1"/>
          <w:kern w:val="44"/>
          <w:sz w:val="36"/>
          <w:szCs w:val="36"/>
          <w:lang w:val="zh-CN"/>
          <w14:textFill>
            <w14:solidFill>
              <w14:schemeClr w14:val="tx1"/>
            </w14:solidFill>
          </w14:textFill>
        </w:rPr>
        <w:t>响应性文件格式</w:t>
      </w:r>
    </w:p>
    <w:p w14:paraId="0A85C5C7">
      <w:pPr>
        <w:tabs>
          <w:tab w:val="left" w:pos="1440"/>
        </w:tabs>
        <w:spacing w:line="360" w:lineRule="auto"/>
        <w:jc w:val="center"/>
        <w:rPr>
          <w:rFonts w:ascii="宋体" w:hAnsi="宋体" w:cs="宋体"/>
          <w:b/>
          <w:color w:val="000000" w:themeColor="text1"/>
          <w:sz w:val="30"/>
          <w:szCs w:val="30"/>
          <w14:textFill>
            <w14:solidFill>
              <w14:schemeClr w14:val="tx1"/>
            </w14:solidFill>
          </w14:textFill>
        </w:rPr>
      </w:pPr>
    </w:p>
    <w:p w14:paraId="11BA6C2F">
      <w:pPr>
        <w:tabs>
          <w:tab w:val="left" w:pos="1440"/>
        </w:tabs>
        <w:spacing w:line="360" w:lineRule="auto"/>
        <w:jc w:val="center"/>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响应性文件封面格式</w:t>
      </w:r>
    </w:p>
    <w:p w14:paraId="6D2E2DB3">
      <w:pPr>
        <w:tabs>
          <w:tab w:val="left" w:pos="1440"/>
        </w:tabs>
        <w:spacing w:line="360" w:lineRule="auto"/>
        <w:rPr>
          <w:rFonts w:ascii="宋体" w:hAnsi="宋体" w:cs="宋体"/>
          <w:b/>
          <w:color w:val="000000" w:themeColor="text1"/>
          <w:sz w:val="36"/>
          <w:szCs w:val="48"/>
          <w:u w:val="single"/>
          <w14:textFill>
            <w14:solidFill>
              <w14:schemeClr w14:val="tx1"/>
            </w14:solidFill>
          </w14:textFill>
        </w:rPr>
      </w:pPr>
    </w:p>
    <w:p w14:paraId="1E7C9361">
      <w:pPr>
        <w:tabs>
          <w:tab w:val="left" w:pos="1440"/>
        </w:tabs>
        <w:spacing w:line="360" w:lineRule="auto"/>
        <w:rPr>
          <w:rFonts w:ascii="宋体" w:hAnsi="宋体" w:cs="宋体"/>
          <w:b/>
          <w:color w:val="000000" w:themeColor="text1"/>
          <w:sz w:val="36"/>
          <w:szCs w:val="48"/>
          <w14:textFill>
            <w14:solidFill>
              <w14:schemeClr w14:val="tx1"/>
            </w14:solidFill>
          </w14:textFill>
        </w:rPr>
      </w:pPr>
      <w:r>
        <w:rPr>
          <w:rFonts w:hint="eastAsia" w:ascii="宋体" w:hAnsi="宋体" w:cs="宋体"/>
          <w:b/>
          <w:color w:val="000000" w:themeColor="text1"/>
          <w:sz w:val="36"/>
          <w:szCs w:val="48"/>
          <w:u w:val="single"/>
          <w14:textFill>
            <w14:solidFill>
              <w14:schemeClr w14:val="tx1"/>
            </w14:solidFill>
          </w14:textFill>
        </w:rPr>
        <w:t xml:space="preserve">                              （项目名称）</w:t>
      </w:r>
    </w:p>
    <w:p w14:paraId="06C44D2D">
      <w:pPr>
        <w:tabs>
          <w:tab w:val="left" w:pos="1440"/>
        </w:tabs>
        <w:spacing w:line="360" w:lineRule="auto"/>
        <w:jc w:val="center"/>
        <w:rPr>
          <w:rFonts w:ascii="宋体" w:hAnsi="宋体" w:cs="宋体"/>
          <w:b/>
          <w:color w:val="000000" w:themeColor="text1"/>
          <w:sz w:val="48"/>
          <w:szCs w:val="48"/>
          <w14:textFill>
            <w14:solidFill>
              <w14:schemeClr w14:val="tx1"/>
            </w14:solidFill>
          </w14:textFill>
        </w:rPr>
      </w:pPr>
    </w:p>
    <w:p w14:paraId="385E09E2">
      <w:pPr>
        <w:tabs>
          <w:tab w:val="left" w:pos="1440"/>
        </w:tabs>
        <w:spacing w:line="360" w:lineRule="auto"/>
        <w:jc w:val="center"/>
        <w:rPr>
          <w:rFonts w:ascii="宋体" w:hAnsi="宋体" w:cs="宋体"/>
          <w:b/>
          <w:color w:val="000000" w:themeColor="text1"/>
          <w:sz w:val="48"/>
          <w:szCs w:val="48"/>
          <w14:textFill>
            <w14:solidFill>
              <w14:schemeClr w14:val="tx1"/>
            </w14:solidFill>
          </w14:textFill>
        </w:rPr>
      </w:pPr>
    </w:p>
    <w:p w14:paraId="204D2D65">
      <w:pPr>
        <w:tabs>
          <w:tab w:val="left" w:pos="1440"/>
        </w:tabs>
        <w:spacing w:line="360" w:lineRule="auto"/>
        <w:jc w:val="center"/>
        <w:rPr>
          <w:rFonts w:ascii="宋体" w:hAnsi="宋体" w:cs="宋体"/>
          <w:b/>
          <w:color w:val="000000" w:themeColor="text1"/>
          <w:sz w:val="72"/>
          <w:szCs w:val="48"/>
          <w14:textFill>
            <w14:solidFill>
              <w14:schemeClr w14:val="tx1"/>
            </w14:solidFill>
          </w14:textFill>
        </w:rPr>
      </w:pPr>
      <w:r>
        <w:rPr>
          <w:rFonts w:hint="eastAsia" w:ascii="宋体" w:hAnsi="宋体" w:cs="宋体"/>
          <w:b/>
          <w:color w:val="000000" w:themeColor="text1"/>
          <w:sz w:val="72"/>
          <w:szCs w:val="48"/>
          <w14:textFill>
            <w14:solidFill>
              <w14:schemeClr w14:val="tx1"/>
            </w14:solidFill>
          </w14:textFill>
        </w:rPr>
        <w:t>响应性文件</w:t>
      </w:r>
    </w:p>
    <w:p w14:paraId="4258B21D">
      <w:pPr>
        <w:tabs>
          <w:tab w:val="left" w:pos="1440"/>
        </w:tabs>
        <w:spacing w:line="360" w:lineRule="auto"/>
        <w:jc w:val="center"/>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（项目编号：）</w:t>
      </w:r>
    </w:p>
    <w:p w14:paraId="48D9378F">
      <w:pPr>
        <w:tabs>
          <w:tab w:val="left" w:pos="1440"/>
        </w:tabs>
        <w:spacing w:line="360" w:lineRule="auto"/>
        <w:ind w:firstLine="446" w:firstLineChars="148"/>
        <w:rPr>
          <w:rFonts w:ascii="宋体" w:hAnsi="宋体" w:cs="宋体"/>
          <w:b/>
          <w:color w:val="000000" w:themeColor="text1"/>
          <w:sz w:val="30"/>
          <w:szCs w:val="30"/>
          <w14:textFill>
            <w14:solidFill>
              <w14:schemeClr w14:val="tx1"/>
            </w14:solidFill>
          </w14:textFill>
        </w:rPr>
      </w:pPr>
    </w:p>
    <w:p w14:paraId="2A59FC44">
      <w:pPr>
        <w:tabs>
          <w:tab w:val="left" w:pos="1440"/>
        </w:tabs>
        <w:spacing w:line="360" w:lineRule="auto"/>
        <w:ind w:firstLine="446" w:firstLineChars="148"/>
        <w:rPr>
          <w:rFonts w:ascii="宋体" w:hAnsi="宋体" w:cs="宋体"/>
          <w:b/>
          <w:color w:val="000000" w:themeColor="text1"/>
          <w:sz w:val="30"/>
          <w:szCs w:val="30"/>
          <w14:textFill>
            <w14:solidFill>
              <w14:schemeClr w14:val="tx1"/>
            </w14:solidFill>
          </w14:textFill>
        </w:rPr>
      </w:pPr>
    </w:p>
    <w:p w14:paraId="37B5B6C9">
      <w:pPr>
        <w:tabs>
          <w:tab w:val="left" w:pos="1440"/>
        </w:tabs>
        <w:spacing w:line="360" w:lineRule="auto"/>
        <w:ind w:firstLine="446" w:firstLineChars="148"/>
        <w:rPr>
          <w:rFonts w:ascii="宋体" w:hAnsi="宋体" w:cs="宋体"/>
          <w:b/>
          <w:color w:val="000000" w:themeColor="text1"/>
          <w:sz w:val="30"/>
          <w:szCs w:val="30"/>
          <w14:textFill>
            <w14:solidFill>
              <w14:schemeClr w14:val="tx1"/>
            </w14:solidFill>
          </w14:textFill>
        </w:rPr>
      </w:pPr>
    </w:p>
    <w:p w14:paraId="18AE1278">
      <w:pPr>
        <w:tabs>
          <w:tab w:val="left" w:pos="1440"/>
        </w:tabs>
        <w:spacing w:line="360" w:lineRule="auto"/>
        <w:ind w:firstLine="446" w:firstLineChars="148"/>
        <w:rPr>
          <w:rFonts w:ascii="宋体" w:hAnsi="宋体" w:cs="宋体"/>
          <w:b/>
          <w:color w:val="000000" w:themeColor="text1"/>
          <w:sz w:val="30"/>
          <w:szCs w:val="30"/>
          <w14:textFill>
            <w14:solidFill>
              <w14:schemeClr w14:val="tx1"/>
            </w14:solidFill>
          </w14:textFill>
        </w:rPr>
      </w:pPr>
    </w:p>
    <w:p w14:paraId="229F9106">
      <w:pPr>
        <w:tabs>
          <w:tab w:val="left" w:pos="1440"/>
        </w:tabs>
        <w:spacing w:line="360" w:lineRule="auto"/>
        <w:ind w:firstLine="446" w:firstLineChars="148"/>
        <w:rPr>
          <w:rFonts w:ascii="宋体" w:hAnsi="宋体" w:cs="宋体"/>
          <w:b/>
          <w:color w:val="000000" w:themeColor="text1"/>
          <w:sz w:val="30"/>
          <w:szCs w:val="30"/>
          <w14:textFill>
            <w14:solidFill>
              <w14:schemeClr w14:val="tx1"/>
            </w14:solidFill>
          </w14:textFill>
        </w:rPr>
      </w:pPr>
    </w:p>
    <w:p w14:paraId="6EEAE0D6">
      <w:pPr>
        <w:tabs>
          <w:tab w:val="left" w:pos="1440"/>
        </w:tabs>
        <w:spacing w:line="360" w:lineRule="auto"/>
        <w:ind w:firstLine="446" w:firstLineChars="148"/>
        <w:rPr>
          <w:rFonts w:ascii="宋体" w:hAnsi="宋体" w:cs="宋体"/>
          <w:b/>
          <w:color w:val="000000" w:themeColor="text1"/>
          <w:sz w:val="30"/>
          <w:szCs w:val="30"/>
          <w14:textFill>
            <w14:solidFill>
              <w14:schemeClr w14:val="tx1"/>
            </w14:solidFill>
          </w14:textFill>
        </w:rPr>
      </w:pPr>
    </w:p>
    <w:p w14:paraId="241DC550">
      <w:pPr>
        <w:tabs>
          <w:tab w:val="left" w:pos="1440"/>
        </w:tabs>
        <w:spacing w:line="360" w:lineRule="auto"/>
        <w:ind w:firstLine="446" w:firstLineChars="148"/>
        <w:rPr>
          <w:rFonts w:ascii="宋体" w:hAnsi="宋体" w:cs="宋体"/>
          <w:b/>
          <w:color w:val="000000" w:themeColor="text1"/>
          <w:sz w:val="30"/>
          <w:szCs w:val="30"/>
          <w14:textFill>
            <w14:solidFill>
              <w14:schemeClr w14:val="tx1"/>
            </w14:solidFill>
          </w14:textFill>
        </w:rPr>
      </w:pPr>
    </w:p>
    <w:p w14:paraId="4A962D30">
      <w:pPr>
        <w:tabs>
          <w:tab w:val="left" w:pos="1440"/>
        </w:tabs>
        <w:spacing w:line="360" w:lineRule="auto"/>
        <w:ind w:firstLine="446" w:firstLineChars="148"/>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供应商全称（加盖单位公章）：</w:t>
      </w:r>
    </w:p>
    <w:p w14:paraId="34EB7550">
      <w:pPr>
        <w:tabs>
          <w:tab w:val="left" w:pos="1440"/>
        </w:tabs>
        <w:spacing w:line="360" w:lineRule="auto"/>
        <w:ind w:firstLine="446" w:firstLineChars="148"/>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法定代表人或委托代理人（签字或盖章）：</w:t>
      </w:r>
    </w:p>
    <w:p w14:paraId="7632210C">
      <w:pPr>
        <w:tabs>
          <w:tab w:val="left" w:pos="1440"/>
        </w:tabs>
        <w:spacing w:line="360" w:lineRule="auto"/>
        <w:ind w:firstLine="446" w:firstLineChars="148"/>
        <w:rPr>
          <w:rFonts w:ascii="宋体" w:hAnsi="宋体" w:cs="宋体"/>
          <w:b/>
          <w:bCs/>
          <w:color w:val="000000" w:themeColor="text1"/>
          <w:sz w:val="24"/>
          <w:szCs w:val="21"/>
          <w:lang w:val="zh-CN"/>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日期：   年   月   日</w:t>
      </w:r>
    </w:p>
    <w:bookmarkEnd w:id="44"/>
    <w:p w14:paraId="6CD549CA">
      <w:pPr>
        <w:autoSpaceDE w:val="0"/>
        <w:autoSpaceDN w:val="0"/>
        <w:adjustRightInd w:val="0"/>
        <w:spacing w:line="360" w:lineRule="auto"/>
        <w:jc w:val="center"/>
        <w:rPr>
          <w:rFonts w:ascii="宋体" w:hAnsi="宋体" w:cs="宋体"/>
          <w:color w:val="000000" w:themeColor="text1"/>
          <w:sz w:val="32"/>
          <w:szCs w:val="32"/>
          <w:lang w:val="zh-CN"/>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br w:type="page"/>
      </w:r>
      <w:r>
        <w:rPr>
          <w:rFonts w:hint="eastAsia" w:ascii="宋体" w:hAnsi="宋体" w:cs="宋体"/>
          <w:color w:val="000000" w:themeColor="text1"/>
          <w:sz w:val="32"/>
          <w:szCs w:val="32"/>
          <w:lang w:val="zh-CN"/>
          <w14:textFill>
            <w14:solidFill>
              <w14:schemeClr w14:val="tx1"/>
            </w14:solidFill>
          </w14:textFill>
        </w:rPr>
        <w:t>目录</w:t>
      </w:r>
    </w:p>
    <w:p w14:paraId="0F5DA8DB">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（1）响应函</w:t>
      </w:r>
    </w:p>
    <w:p w14:paraId="3533B4F2">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（2）法定代表人身份证明</w:t>
      </w:r>
    </w:p>
    <w:p w14:paraId="1269F2D6">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（3）授权委托书</w:t>
      </w:r>
    </w:p>
    <w:p w14:paraId="6AC02794">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（4）报价一览表</w:t>
      </w:r>
    </w:p>
    <w:p w14:paraId="161C1E57">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（5）资格证明文件</w:t>
      </w:r>
    </w:p>
    <w:p w14:paraId="36C2A668">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（6）服务项目实施方案</w:t>
      </w:r>
    </w:p>
    <w:p w14:paraId="2A96DD9C">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（7）供应商拒绝政府采购领域商业贿赂承诺书</w:t>
      </w:r>
    </w:p>
    <w:p w14:paraId="2E0B11D3">
      <w:pPr>
        <w:adjustRightInd w:val="0"/>
        <w:snapToGrid w:val="0"/>
        <w:spacing w:line="440" w:lineRule="exact"/>
        <w:ind w:firstLine="480" w:firstLineChars="200"/>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（8）投标商认为需要提供的其他资料</w:t>
      </w:r>
    </w:p>
    <w:p w14:paraId="41279665">
      <w:pPr>
        <w:tabs>
          <w:tab w:val="left" w:pos="720"/>
          <w:tab w:val="left" w:pos="1260"/>
          <w:tab w:val="left" w:pos="2160"/>
          <w:tab w:val="left" w:pos="2880"/>
          <w:tab w:val="left" w:pos="3600"/>
          <w:tab w:val="left" w:pos="4320"/>
          <w:tab w:val="left" w:pos="5040"/>
          <w:tab w:val="left" w:pos="5760"/>
        </w:tabs>
        <w:autoSpaceDE w:val="0"/>
        <w:autoSpaceDN w:val="0"/>
        <w:adjustRightInd w:val="0"/>
        <w:spacing w:before="312" w:beforeLines="100" w:line="360" w:lineRule="auto"/>
        <w:ind w:right="-80" w:firstLine="480" w:firstLineChars="200"/>
        <w:jc w:val="left"/>
        <w:rPr>
          <w:rFonts w:ascii="宋体" w:hAnsi="宋体" w:cs="宋体"/>
          <w:color w:val="000000" w:themeColor="text1"/>
          <w:sz w:val="24"/>
          <w:szCs w:val="28"/>
          <w:lang w:val="zh-CN"/>
          <w14:textFill>
            <w14:solidFill>
              <w14:schemeClr w14:val="tx1"/>
            </w14:solidFill>
          </w14:textFill>
        </w:rPr>
      </w:pPr>
    </w:p>
    <w:p w14:paraId="6F06C6B6">
      <w:pPr>
        <w:tabs>
          <w:tab w:val="left" w:pos="720"/>
          <w:tab w:val="left" w:pos="1260"/>
          <w:tab w:val="left" w:pos="2160"/>
          <w:tab w:val="left" w:pos="2880"/>
          <w:tab w:val="left" w:pos="3600"/>
          <w:tab w:val="left" w:pos="4320"/>
          <w:tab w:val="left" w:pos="5040"/>
          <w:tab w:val="left" w:pos="5760"/>
        </w:tabs>
        <w:autoSpaceDE w:val="0"/>
        <w:autoSpaceDN w:val="0"/>
        <w:adjustRightInd w:val="0"/>
        <w:spacing w:line="360" w:lineRule="auto"/>
        <w:ind w:right="-80" w:firstLine="480" w:firstLineChars="200"/>
        <w:jc w:val="left"/>
        <w:rPr>
          <w:rFonts w:ascii="宋体" w:hAnsi="宋体" w:cs="宋体"/>
          <w:color w:val="000000" w:themeColor="text1"/>
          <w:sz w:val="24"/>
          <w:szCs w:val="28"/>
          <w:lang w:val="zh-CN"/>
          <w14:textFill>
            <w14:solidFill>
              <w14:schemeClr w14:val="tx1"/>
            </w14:solidFill>
          </w14:textFill>
        </w:rPr>
      </w:pPr>
    </w:p>
    <w:p w14:paraId="66DA41B9">
      <w:pPr>
        <w:tabs>
          <w:tab w:val="left" w:pos="720"/>
          <w:tab w:val="left" w:pos="1260"/>
          <w:tab w:val="left" w:pos="2160"/>
          <w:tab w:val="left" w:pos="2880"/>
          <w:tab w:val="left" w:pos="3600"/>
          <w:tab w:val="left" w:pos="4320"/>
          <w:tab w:val="left" w:pos="5040"/>
          <w:tab w:val="left" w:pos="5760"/>
        </w:tabs>
        <w:autoSpaceDE w:val="0"/>
        <w:autoSpaceDN w:val="0"/>
        <w:adjustRightInd w:val="0"/>
        <w:spacing w:line="360" w:lineRule="auto"/>
        <w:ind w:right="-80" w:firstLine="480" w:firstLineChars="200"/>
        <w:jc w:val="left"/>
        <w:rPr>
          <w:rFonts w:ascii="宋体" w:hAnsi="宋体" w:cs="宋体"/>
          <w:color w:val="000000" w:themeColor="text1"/>
          <w:sz w:val="24"/>
          <w:szCs w:val="28"/>
          <w:lang w:val="zh-CN"/>
          <w14:textFill>
            <w14:solidFill>
              <w14:schemeClr w14:val="tx1"/>
            </w14:solidFill>
          </w14:textFill>
        </w:rPr>
      </w:pPr>
    </w:p>
    <w:p w14:paraId="1447F4B4">
      <w:pPr>
        <w:spacing w:line="360" w:lineRule="auto"/>
        <w:rPr>
          <w:rFonts w:ascii="宋体" w:hAnsi="宋体" w:cs="宋体"/>
          <w:color w:val="000000" w:themeColor="text1"/>
          <w14:textFill>
            <w14:solidFill>
              <w14:schemeClr w14:val="tx1"/>
            </w14:solidFill>
          </w14:textFill>
        </w:rPr>
      </w:pPr>
    </w:p>
    <w:p w14:paraId="4E9F8465">
      <w:pPr>
        <w:keepNext/>
        <w:keepLines/>
        <w:spacing w:before="260" w:after="260" w:line="360" w:lineRule="auto"/>
        <w:outlineLvl w:val="1"/>
        <w:rPr>
          <w:rFonts w:ascii="宋体" w:hAnsi="宋体" w:cs="宋体"/>
          <w:b/>
          <w:color w:val="000000" w:themeColor="text1"/>
          <w:kern w:val="1"/>
          <w:sz w:val="32"/>
          <w:szCs w:val="32"/>
          <w14:textFill>
            <w14:solidFill>
              <w14:schemeClr w14:val="tx1"/>
            </w14:solidFill>
          </w14:textFill>
        </w:rPr>
      </w:pPr>
      <w:bookmarkStart w:id="45" w:name="_Toc5799"/>
      <w:bookmarkStart w:id="46" w:name="_Toc2127"/>
    </w:p>
    <w:p w14:paraId="047AAAA2">
      <w:pPr>
        <w:pStyle w:val="8"/>
        <w:rPr>
          <w:rFonts w:ascii="宋体" w:hAnsi="宋体" w:eastAsia="宋体" w:cs="宋体"/>
          <w:b/>
          <w:color w:val="000000" w:themeColor="text1"/>
          <w:kern w:val="1"/>
          <w14:textFill>
            <w14:solidFill>
              <w14:schemeClr w14:val="tx1"/>
            </w14:solidFill>
          </w14:textFill>
        </w:rPr>
      </w:pPr>
    </w:p>
    <w:p w14:paraId="0E2185B3">
      <w:pPr>
        <w:pStyle w:val="8"/>
        <w:rPr>
          <w:rFonts w:ascii="宋体" w:hAnsi="宋体" w:eastAsia="宋体" w:cs="宋体"/>
          <w:b/>
          <w:color w:val="000000" w:themeColor="text1"/>
          <w:kern w:val="1"/>
          <w14:textFill>
            <w14:solidFill>
              <w14:schemeClr w14:val="tx1"/>
            </w14:solidFill>
          </w14:textFill>
        </w:rPr>
      </w:pPr>
    </w:p>
    <w:p w14:paraId="03A44B62">
      <w:pPr>
        <w:pStyle w:val="8"/>
        <w:rPr>
          <w:rFonts w:ascii="宋体" w:hAnsi="宋体" w:eastAsia="宋体" w:cs="宋体"/>
          <w:b/>
          <w:color w:val="000000" w:themeColor="text1"/>
          <w:kern w:val="1"/>
          <w14:textFill>
            <w14:solidFill>
              <w14:schemeClr w14:val="tx1"/>
            </w14:solidFill>
          </w14:textFill>
        </w:rPr>
      </w:pPr>
    </w:p>
    <w:p w14:paraId="55F7F84A">
      <w:pPr>
        <w:keepNext/>
        <w:keepLines/>
        <w:spacing w:before="260" w:after="260" w:line="360" w:lineRule="auto"/>
        <w:outlineLvl w:val="1"/>
        <w:rPr>
          <w:rFonts w:ascii="宋体" w:hAnsi="宋体" w:cs="宋体"/>
          <w:b/>
          <w:color w:val="000000" w:themeColor="text1"/>
          <w:kern w:val="1"/>
          <w:sz w:val="32"/>
          <w:szCs w:val="32"/>
          <w14:textFill>
            <w14:solidFill>
              <w14:schemeClr w14:val="tx1"/>
            </w14:solidFill>
          </w14:textFill>
        </w:rPr>
      </w:pPr>
    </w:p>
    <w:p w14:paraId="78A8D14A">
      <w:pPr>
        <w:keepNext/>
        <w:keepLines/>
        <w:spacing w:before="260" w:after="260" w:line="360" w:lineRule="auto"/>
        <w:outlineLvl w:val="1"/>
        <w:rPr>
          <w:rFonts w:ascii="宋体" w:hAnsi="宋体" w:cs="宋体"/>
          <w:b/>
          <w:color w:val="000000" w:themeColor="text1"/>
          <w:kern w:val="1"/>
          <w:sz w:val="32"/>
          <w:szCs w:val="32"/>
          <w14:textFill>
            <w14:solidFill>
              <w14:schemeClr w14:val="tx1"/>
            </w14:solidFill>
          </w14:textFill>
        </w:rPr>
      </w:pPr>
    </w:p>
    <w:p w14:paraId="0B22D17F">
      <w:pPr>
        <w:pStyle w:val="10"/>
        <w:rPr>
          <w:color w:val="000000" w:themeColor="text1"/>
          <w14:textFill>
            <w14:solidFill>
              <w14:schemeClr w14:val="tx1"/>
            </w14:solidFill>
          </w14:textFill>
        </w:rPr>
      </w:pPr>
    </w:p>
    <w:p w14:paraId="22014265">
      <w:pPr>
        <w:keepNext/>
        <w:keepLines/>
        <w:spacing w:before="260" w:after="260" w:line="360" w:lineRule="auto"/>
        <w:jc w:val="center"/>
        <w:outlineLvl w:val="1"/>
        <w:rPr>
          <w:rStyle w:val="30"/>
          <w:rFonts w:ascii="宋体" w:hAnsi="宋体" w:eastAsia="宋体" w:cs="宋体"/>
          <w:b w:val="0"/>
          <w:bCs/>
          <w:color w:val="000000" w:themeColor="text1"/>
          <w:sz w:val="30"/>
          <w:szCs w:val="30"/>
          <w14:textFill>
            <w14:solidFill>
              <w14:schemeClr w14:val="tx1"/>
            </w14:solidFill>
          </w14:textFill>
        </w:rPr>
      </w:pPr>
      <w:r>
        <w:rPr>
          <w:rFonts w:hint="eastAsia" w:ascii="宋体" w:hAnsi="宋体" w:cs="宋体"/>
          <w:b/>
          <w:color w:val="000000" w:themeColor="text1"/>
          <w:kern w:val="1"/>
          <w:sz w:val="32"/>
          <w:szCs w:val="32"/>
          <w14:textFill>
            <w14:solidFill>
              <w14:schemeClr w14:val="tx1"/>
            </w14:solidFill>
          </w14:textFill>
        </w:rPr>
        <w:t>一、</w:t>
      </w:r>
      <w:bookmarkEnd w:id="45"/>
      <w:bookmarkEnd w:id="46"/>
      <w:r>
        <w:rPr>
          <w:rFonts w:hint="eastAsia" w:ascii="宋体" w:hAnsi="宋体" w:cs="宋体"/>
          <w:b/>
          <w:color w:val="000000" w:themeColor="text1"/>
          <w:kern w:val="1"/>
          <w:sz w:val="32"/>
          <w:szCs w:val="32"/>
          <w14:textFill>
            <w14:solidFill>
              <w14:schemeClr w14:val="tx1"/>
            </w14:solidFill>
          </w14:textFill>
        </w:rPr>
        <w:t>响 应 函</w:t>
      </w:r>
    </w:p>
    <w:p w14:paraId="6500DA7D">
      <w:pPr>
        <w:kinsoku w:val="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陕西德丰盛和项目管理有限公司</w:t>
      </w:r>
      <w:r>
        <w:rPr>
          <w:rFonts w:hint="eastAsia" w:ascii="宋体" w:hAnsi="宋体" w:cs="宋体"/>
          <w:color w:val="000000" w:themeColor="text1"/>
          <w:sz w:val="24"/>
          <w:szCs w:val="24"/>
          <w14:textFill>
            <w14:solidFill>
              <w14:schemeClr w14:val="tx1"/>
            </w14:solidFill>
          </w14:textFill>
        </w:rPr>
        <w:t>：</w:t>
      </w:r>
    </w:p>
    <w:p w14:paraId="7B48B521">
      <w:pPr>
        <w:pStyle w:val="10"/>
        <w:spacing w:line="46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我单位收到贵公司（项目名称和项目编号）投标文件，经详细研究，决定参加本次</w:t>
      </w:r>
      <w:r>
        <w:rPr>
          <w:rFonts w:hint="eastAsia" w:ascii="宋体" w:hAnsi="宋体" w:cs="宋体"/>
          <w:color w:val="000000" w:themeColor="text1"/>
          <w:sz w:val="24"/>
          <w:lang w:eastAsia="zh-CN"/>
          <w14:textFill>
            <w14:solidFill>
              <w14:schemeClr w14:val="tx1"/>
            </w14:solidFill>
          </w14:textFill>
        </w:rPr>
        <w:t>磋商活动</w:t>
      </w:r>
      <w:r>
        <w:rPr>
          <w:rFonts w:hint="eastAsia" w:ascii="宋体" w:hAnsi="宋体" w:cs="宋体"/>
          <w:color w:val="000000" w:themeColor="text1"/>
          <w:sz w:val="24"/>
          <w14:textFill>
            <w14:solidFill>
              <w14:schemeClr w14:val="tx1"/>
            </w14:solidFill>
          </w14:textFill>
        </w:rPr>
        <w:t>。为此，我方郑重声明以下几点，并愿负法律责任。</w:t>
      </w:r>
    </w:p>
    <w:p w14:paraId="728E0A58">
      <w:pPr>
        <w:kinsoku w:val="0"/>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按照磋商文件中的一切要求，提供完全满足采购需求的技术服务和后续服务保障。</w:t>
      </w:r>
    </w:p>
    <w:p w14:paraId="7E0B22FF">
      <w:pPr>
        <w:kinsoku w:val="0"/>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如若成交，将根据投标文件的要求、投标响应文件及承诺条件，全面签约并履行合同规定的责任和义务。</w:t>
      </w:r>
    </w:p>
    <w:p w14:paraId="53FA41D8">
      <w:pPr>
        <w:kinsoku w:val="0"/>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我方已详细阅读和核实投标文件全部内容，完全理解并同意放弃提出含糊不清和误解问题的</w:t>
      </w:r>
      <w:r>
        <w:rPr>
          <w:rFonts w:hint="eastAsia" w:ascii="宋体" w:hAnsi="宋体" w:cs="宋体"/>
          <w:color w:val="000000" w:themeColor="text1"/>
          <w:sz w:val="24"/>
          <w:szCs w:val="24"/>
          <w:lang w:eastAsia="zh-CN"/>
          <w14:textFill>
            <w14:solidFill>
              <w14:schemeClr w14:val="tx1"/>
            </w14:solidFill>
          </w14:textFill>
        </w:rPr>
        <w:t>权利</w:t>
      </w:r>
      <w:r>
        <w:rPr>
          <w:rFonts w:hint="eastAsia" w:ascii="宋体" w:hAnsi="宋体" w:cs="宋体"/>
          <w:color w:val="000000" w:themeColor="text1"/>
          <w:sz w:val="24"/>
          <w:szCs w:val="24"/>
          <w14:textFill>
            <w14:solidFill>
              <w14:schemeClr w14:val="tx1"/>
            </w14:solidFill>
          </w14:textFill>
        </w:rPr>
        <w:t>。</w:t>
      </w:r>
    </w:p>
    <w:p w14:paraId="5114F82B">
      <w:pPr>
        <w:kinsoku w:val="0"/>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同意提供贵方要求的与本次投标有关的任何证明资料。</w:t>
      </w:r>
    </w:p>
    <w:p w14:paraId="6755C471">
      <w:pPr>
        <w:kinsoku w:val="0"/>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我方的投标响应文件自</w:t>
      </w:r>
      <w:r>
        <w:rPr>
          <w:rFonts w:hint="eastAsia" w:ascii="宋体" w:hAnsi="宋体" w:cs="宋体"/>
          <w:color w:val="000000" w:themeColor="text1"/>
          <w:sz w:val="24"/>
          <w:szCs w:val="24"/>
          <w:lang w:eastAsia="zh-CN"/>
          <w14:textFill>
            <w14:solidFill>
              <w14:schemeClr w14:val="tx1"/>
            </w14:solidFill>
          </w14:textFill>
        </w:rPr>
        <w:t>磋商</w:t>
      </w:r>
      <w:r>
        <w:rPr>
          <w:rFonts w:hint="eastAsia" w:ascii="宋体" w:hAnsi="宋体" w:cs="宋体"/>
          <w:color w:val="000000" w:themeColor="text1"/>
          <w:sz w:val="24"/>
          <w:szCs w:val="24"/>
          <w14:textFill>
            <w14:solidFill>
              <w14:schemeClr w14:val="tx1"/>
            </w14:solidFill>
          </w14:textFill>
        </w:rPr>
        <w:t>之</w:t>
      </w:r>
      <w:r>
        <w:rPr>
          <w:rFonts w:hint="eastAsia" w:ascii="宋体" w:hAnsi="宋体" w:cs="宋体"/>
          <w:color w:val="000000" w:themeColor="text1"/>
          <w:sz w:val="24"/>
          <w:szCs w:val="24"/>
          <w:lang w:eastAsia="zh-CN"/>
          <w14:textFill>
            <w14:solidFill>
              <w14:schemeClr w14:val="tx1"/>
            </w14:solidFill>
          </w14:textFill>
        </w:rPr>
        <w:t>日起</w:t>
      </w:r>
      <w:r>
        <w:rPr>
          <w:rFonts w:hint="eastAsia" w:ascii="宋体" w:hAnsi="宋体" w:cs="宋体"/>
          <w:color w:val="000000" w:themeColor="text1"/>
          <w:sz w:val="24"/>
          <w:szCs w:val="24"/>
          <w14:textFill>
            <w14:solidFill>
              <w14:schemeClr w14:val="tx1"/>
            </w14:solidFill>
          </w14:textFill>
        </w:rPr>
        <w:t>计算</w:t>
      </w:r>
      <w:r>
        <w:rPr>
          <w:rFonts w:hint="eastAsia" w:ascii="宋体" w:hAnsi="宋体" w:cs="宋体"/>
          <w:color w:val="000000" w:themeColor="text1"/>
          <w:sz w:val="24"/>
          <w:szCs w:val="24"/>
          <w:lang w:eastAsia="zh-CN"/>
          <w14:textFill>
            <w14:solidFill>
              <w14:schemeClr w14:val="tx1"/>
            </w14:solidFill>
          </w14:textFill>
        </w:rPr>
        <w:t>有效期</w:t>
      </w:r>
      <w:r>
        <w:rPr>
          <w:rFonts w:hint="eastAsia" w:ascii="宋体" w:hAnsi="宋体" w:cs="宋体"/>
          <w:color w:val="000000" w:themeColor="text1"/>
          <w:sz w:val="24"/>
          <w:szCs w:val="24"/>
          <w:u w:val="single"/>
          <w14:textFill>
            <w14:solidFill>
              <w14:schemeClr w14:val="tx1"/>
            </w14:solidFill>
          </w14:textFill>
        </w:rPr>
        <w:t>90</w:t>
      </w:r>
      <w:r>
        <w:rPr>
          <w:rFonts w:hint="eastAsia" w:ascii="宋体" w:hAnsi="宋体" w:cs="宋体"/>
          <w:color w:val="000000" w:themeColor="text1"/>
          <w:sz w:val="24"/>
          <w:szCs w:val="24"/>
          <w14:textFill>
            <w14:solidFill>
              <w14:schemeClr w14:val="tx1"/>
            </w14:solidFill>
          </w14:textFill>
        </w:rPr>
        <w:t>天。</w:t>
      </w:r>
    </w:p>
    <w:p w14:paraId="2504155E">
      <w:pPr>
        <w:kinsoku w:val="0"/>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所有关于本次投标的函电，请按下列地址、方式联系：</w:t>
      </w:r>
    </w:p>
    <w:p w14:paraId="5461D706">
      <w:pPr>
        <w:kinsoku w:val="0"/>
        <w:spacing w:line="460" w:lineRule="exact"/>
        <w:ind w:firstLine="57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地    址：</w:t>
      </w:r>
    </w:p>
    <w:p w14:paraId="06BBAF65">
      <w:pPr>
        <w:kinsoku w:val="0"/>
        <w:spacing w:line="460" w:lineRule="exact"/>
        <w:ind w:firstLine="57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电    话：</w:t>
      </w:r>
    </w:p>
    <w:p w14:paraId="77B0CE9E">
      <w:pPr>
        <w:kinsoku w:val="0"/>
        <w:spacing w:line="460" w:lineRule="exact"/>
        <w:ind w:firstLine="57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传    真：</w:t>
      </w:r>
    </w:p>
    <w:p w14:paraId="1153BC73">
      <w:pPr>
        <w:kinsoku w:val="0"/>
        <w:spacing w:line="460" w:lineRule="exact"/>
        <w:ind w:firstLine="57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邮    编：</w:t>
      </w:r>
    </w:p>
    <w:p w14:paraId="4D89C012">
      <w:pPr>
        <w:kinsoku w:val="0"/>
        <w:spacing w:line="460" w:lineRule="exact"/>
        <w:ind w:firstLine="570"/>
        <w:rPr>
          <w:rFonts w:ascii="宋体" w:hAnsi="宋体" w:cs="宋体"/>
          <w:color w:val="000000" w:themeColor="text1"/>
          <w:sz w:val="24"/>
          <w:szCs w:val="24"/>
          <w14:textFill>
            <w14:solidFill>
              <w14:schemeClr w14:val="tx1"/>
            </w14:solidFill>
          </w14:textFill>
        </w:rPr>
      </w:pPr>
    </w:p>
    <w:p w14:paraId="40581BB8">
      <w:pPr>
        <w:kinsoku w:val="0"/>
        <w:spacing w:line="460" w:lineRule="exact"/>
        <w:ind w:left="1680" w:leftChars="800" w:firstLine="57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供应商：全称（公章）</w:t>
      </w:r>
    </w:p>
    <w:p w14:paraId="6BFC1E6F">
      <w:pPr>
        <w:kinsoku w:val="0"/>
        <w:spacing w:line="460" w:lineRule="exact"/>
        <w:ind w:left="1680" w:leftChars="800" w:firstLine="570"/>
        <w:rPr>
          <w:rFonts w:ascii="宋体" w:hAnsi="宋体" w:cs="宋体"/>
          <w:color w:val="000000" w:themeColor="text1"/>
          <w:sz w:val="24"/>
          <w:szCs w:val="24"/>
          <w14:textFill>
            <w14:solidFill>
              <w14:schemeClr w14:val="tx1"/>
            </w14:solidFill>
          </w14:textFill>
        </w:rPr>
      </w:pPr>
    </w:p>
    <w:p w14:paraId="5D439096">
      <w:pPr>
        <w:kinsoku w:val="0"/>
        <w:spacing w:line="460" w:lineRule="exact"/>
        <w:ind w:left="1680" w:leftChars="800" w:firstLine="57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法定代表人/被授权人（签字）：</w:t>
      </w:r>
    </w:p>
    <w:p w14:paraId="071D2C1E">
      <w:pPr>
        <w:kinsoku w:val="0"/>
        <w:spacing w:line="460" w:lineRule="exact"/>
        <w:ind w:left="1680" w:leftChars="800" w:firstLine="570"/>
        <w:rPr>
          <w:rFonts w:ascii="宋体" w:hAnsi="宋体" w:cs="宋体"/>
          <w:color w:val="000000" w:themeColor="text1"/>
          <w:sz w:val="24"/>
          <w:szCs w:val="24"/>
          <w:u w:val="single"/>
          <w14:textFill>
            <w14:solidFill>
              <w14:schemeClr w14:val="tx1"/>
            </w14:solidFill>
          </w14:textFill>
        </w:rPr>
      </w:pPr>
    </w:p>
    <w:p w14:paraId="06A15D9A">
      <w:pPr>
        <w:kinsoku w:val="0"/>
        <w:spacing w:line="460" w:lineRule="exact"/>
        <w:ind w:firstLine="570"/>
        <w:jc w:val="righ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年    月   日</w:t>
      </w:r>
    </w:p>
    <w:p w14:paraId="75B13300">
      <w:pPr>
        <w:keepNext/>
        <w:keepLines/>
        <w:spacing w:before="260" w:after="260" w:line="360" w:lineRule="auto"/>
        <w:outlineLvl w:val="1"/>
        <w:rPr>
          <w:rFonts w:ascii="宋体" w:hAnsi="宋体" w:cs="宋体"/>
          <w:b/>
          <w:color w:val="000000" w:themeColor="text1"/>
          <w:kern w:val="1"/>
          <w:sz w:val="32"/>
          <w:szCs w:val="32"/>
          <w14:textFill>
            <w14:solidFill>
              <w14:schemeClr w14:val="tx1"/>
            </w14:solidFill>
          </w14:textFill>
        </w:rPr>
      </w:pPr>
      <w:bookmarkStart w:id="47" w:name="_Toc247085877"/>
      <w:bookmarkStart w:id="48" w:name="_Toc152042580"/>
      <w:bookmarkStart w:id="49" w:name="_Toc372533214"/>
      <w:bookmarkStart w:id="50" w:name="_Toc152045791"/>
      <w:bookmarkStart w:id="51" w:name="_Toc428365989"/>
      <w:bookmarkStart w:id="52" w:name="_Toc368303591"/>
      <w:bookmarkStart w:id="53" w:name="_Toc144974860"/>
      <w:bookmarkStart w:id="54" w:name="_Toc246996359"/>
      <w:bookmarkStart w:id="55" w:name="_Toc179632811"/>
      <w:bookmarkStart w:id="56" w:name="_Toc246997102"/>
      <w:bookmarkStart w:id="57" w:name="_Toc19826"/>
      <w:bookmarkStart w:id="58" w:name="_Toc29227"/>
    </w:p>
    <w:p w14:paraId="5DDC4BDF">
      <w:pPr>
        <w:pStyle w:val="10"/>
        <w:rPr>
          <w:color w:val="000000" w:themeColor="text1"/>
          <w14:textFill>
            <w14:solidFill>
              <w14:schemeClr w14:val="tx1"/>
            </w14:solidFill>
          </w14:textFill>
        </w:rPr>
      </w:pPr>
    </w:p>
    <w:p w14:paraId="4A8CC8D5">
      <w:pPr>
        <w:keepNext/>
        <w:keepLines/>
        <w:spacing w:before="260" w:after="260" w:line="360" w:lineRule="auto"/>
        <w:jc w:val="center"/>
        <w:outlineLvl w:val="1"/>
        <w:rPr>
          <w:rStyle w:val="30"/>
          <w:rFonts w:ascii="宋体" w:hAnsi="宋体" w:eastAsia="宋体" w:cs="宋体"/>
          <w:b w:val="0"/>
          <w:bCs/>
          <w:color w:val="000000" w:themeColor="text1"/>
          <w:sz w:val="30"/>
          <w:szCs w:val="30"/>
          <w14:textFill>
            <w14:solidFill>
              <w14:schemeClr w14:val="tx1"/>
            </w14:solidFill>
          </w14:textFill>
        </w:rPr>
      </w:pPr>
      <w:r>
        <w:rPr>
          <w:rFonts w:hint="eastAsia" w:ascii="宋体" w:hAnsi="宋体" w:cs="宋体"/>
          <w:b/>
          <w:color w:val="000000" w:themeColor="text1"/>
          <w:kern w:val="1"/>
          <w:sz w:val="32"/>
          <w:szCs w:val="32"/>
          <w14:textFill>
            <w14:solidFill>
              <w14:schemeClr w14:val="tx1"/>
            </w14:solidFill>
          </w14:textFill>
        </w:rPr>
        <w:t>二、法定代表人身份证明</w:t>
      </w:r>
      <w:bookmarkEnd w:id="47"/>
      <w:bookmarkEnd w:id="48"/>
      <w:bookmarkEnd w:id="49"/>
      <w:bookmarkEnd w:id="50"/>
      <w:bookmarkEnd w:id="51"/>
      <w:bookmarkEnd w:id="52"/>
      <w:bookmarkEnd w:id="53"/>
      <w:bookmarkEnd w:id="54"/>
      <w:bookmarkEnd w:id="55"/>
      <w:bookmarkEnd w:id="56"/>
      <w:bookmarkEnd w:id="57"/>
      <w:bookmarkEnd w:id="58"/>
    </w:p>
    <w:p w14:paraId="697398A6">
      <w:pPr>
        <w:spacing w:line="360" w:lineRule="auto"/>
        <w:rPr>
          <w:rFonts w:ascii="宋体" w:hAnsi="宋体" w:cs="宋体"/>
          <w:color w:val="000000" w:themeColor="text1"/>
          <w:szCs w:val="21"/>
          <w14:textFill>
            <w14:solidFill>
              <w14:schemeClr w14:val="tx1"/>
            </w14:solidFill>
          </w14:textFill>
        </w:rPr>
      </w:pPr>
    </w:p>
    <w:p w14:paraId="7EC9EDFB">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供应商名称：</w:t>
      </w:r>
    </w:p>
    <w:p w14:paraId="6BD02EC2">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单位性质：</w:t>
      </w:r>
    </w:p>
    <w:p w14:paraId="488C7DBE">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地址：</w:t>
      </w:r>
    </w:p>
    <w:p w14:paraId="77F81FEE">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成立时间：年月日</w:t>
      </w:r>
    </w:p>
    <w:p w14:paraId="6F979C81">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经营期限：</w:t>
      </w:r>
    </w:p>
    <w:p w14:paraId="55DE9675">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姓名：   性别：   年龄：   职务：</w:t>
      </w:r>
    </w:p>
    <w:p w14:paraId="2A0905DB">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系 （供应商名称）的法定代表人。</w:t>
      </w:r>
    </w:p>
    <w:p w14:paraId="47984162">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特此证明。</w:t>
      </w:r>
    </w:p>
    <w:p w14:paraId="63DF37D1">
      <w:pPr>
        <w:spacing w:line="360" w:lineRule="auto"/>
        <w:rPr>
          <w:rFonts w:ascii="宋体" w:hAnsi="宋体" w:cs="宋体"/>
          <w:color w:val="000000" w:themeColor="text1"/>
          <w:sz w:val="24"/>
          <w:szCs w:val="24"/>
          <w14:textFill>
            <w14:solidFill>
              <w14:schemeClr w14:val="tx1"/>
            </w14:solidFill>
          </w14:textFill>
        </w:rPr>
      </w:pPr>
    </w:p>
    <w:p w14:paraId="20225E71">
      <w:pPr>
        <w:spacing w:line="360" w:lineRule="auto"/>
        <w:rPr>
          <w:rFonts w:ascii="宋体" w:hAnsi="宋体" w:cs="宋体"/>
          <w:color w:val="000000" w:themeColor="text1"/>
          <w:sz w:val="24"/>
          <w:szCs w:val="24"/>
          <w14:textFill>
            <w14:solidFill>
              <w14:schemeClr w14:val="tx1"/>
            </w14:solidFill>
          </w14:textFill>
        </w:rPr>
      </w:pPr>
    </w:p>
    <w:p w14:paraId="10070C6F">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供应商：（盖单位章）</w:t>
      </w:r>
    </w:p>
    <w:p w14:paraId="7234CC00">
      <w:pPr>
        <w:spacing w:line="360" w:lineRule="auto"/>
        <w:ind w:firstLine="3600" w:firstLineChars="15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年  月  日           </w:t>
      </w:r>
    </w:p>
    <w:p w14:paraId="7F9C8753">
      <w:pPr>
        <w:keepNext/>
        <w:keepLines/>
        <w:spacing w:before="260" w:after="260" w:line="360" w:lineRule="auto"/>
        <w:outlineLvl w:val="1"/>
        <w:rPr>
          <w:rFonts w:ascii="宋体" w:hAnsi="宋体" w:cs="宋体"/>
          <w:b/>
          <w:color w:val="000000" w:themeColor="text1"/>
          <w:kern w:val="1"/>
          <w:sz w:val="32"/>
          <w:szCs w:val="32"/>
          <w14:textFill>
            <w14:solidFill>
              <w14:schemeClr w14:val="tx1"/>
            </w14:solidFill>
          </w14:textFill>
        </w:rPr>
      </w:pPr>
      <w:bookmarkStart w:id="59" w:name="_Toc21030"/>
      <w:bookmarkStart w:id="60" w:name="_Toc18879"/>
    </w:p>
    <w:p w14:paraId="70C2B106">
      <w:pPr>
        <w:keepNext/>
        <w:keepLines/>
        <w:spacing w:before="260" w:after="260" w:line="360" w:lineRule="auto"/>
        <w:outlineLvl w:val="1"/>
        <w:rPr>
          <w:rFonts w:ascii="宋体" w:hAnsi="宋体" w:cs="宋体"/>
          <w:b/>
          <w:color w:val="000000" w:themeColor="text1"/>
          <w:kern w:val="1"/>
          <w:sz w:val="32"/>
          <w:szCs w:val="32"/>
          <w14:textFill>
            <w14:solidFill>
              <w14:schemeClr w14:val="tx1"/>
            </w14:solidFill>
          </w14:textFill>
        </w:rPr>
      </w:pPr>
    </w:p>
    <w:p w14:paraId="0BB5CF72">
      <w:pPr>
        <w:pStyle w:val="8"/>
        <w:rPr>
          <w:rFonts w:ascii="宋体" w:hAnsi="宋体" w:eastAsia="宋体" w:cs="宋体"/>
          <w:b/>
          <w:color w:val="000000" w:themeColor="text1"/>
          <w:kern w:val="1"/>
          <w14:textFill>
            <w14:solidFill>
              <w14:schemeClr w14:val="tx1"/>
            </w14:solidFill>
          </w14:textFill>
        </w:rPr>
      </w:pPr>
    </w:p>
    <w:p w14:paraId="08F9ECD7">
      <w:pPr>
        <w:pStyle w:val="8"/>
        <w:rPr>
          <w:rFonts w:ascii="宋体" w:hAnsi="宋体" w:eastAsia="宋体" w:cs="宋体"/>
          <w:b/>
          <w:color w:val="000000" w:themeColor="text1"/>
          <w:kern w:val="1"/>
          <w14:textFill>
            <w14:solidFill>
              <w14:schemeClr w14:val="tx1"/>
            </w14:solidFill>
          </w14:textFill>
        </w:rPr>
      </w:pPr>
    </w:p>
    <w:p w14:paraId="40217A84">
      <w:pPr>
        <w:pStyle w:val="8"/>
        <w:rPr>
          <w:rFonts w:ascii="宋体" w:hAnsi="宋体" w:eastAsia="宋体" w:cs="宋体"/>
          <w:b/>
          <w:color w:val="000000" w:themeColor="text1"/>
          <w:kern w:val="1"/>
          <w14:textFill>
            <w14:solidFill>
              <w14:schemeClr w14:val="tx1"/>
            </w14:solidFill>
          </w14:textFill>
        </w:rPr>
      </w:pPr>
    </w:p>
    <w:p w14:paraId="044BDCA7">
      <w:pPr>
        <w:pStyle w:val="8"/>
        <w:rPr>
          <w:rFonts w:ascii="宋体" w:hAnsi="宋体" w:eastAsia="宋体" w:cs="宋体"/>
          <w:b/>
          <w:color w:val="000000" w:themeColor="text1"/>
          <w:kern w:val="1"/>
          <w14:textFill>
            <w14:solidFill>
              <w14:schemeClr w14:val="tx1"/>
            </w14:solidFill>
          </w14:textFill>
        </w:rPr>
      </w:pPr>
    </w:p>
    <w:p w14:paraId="0A92F2A1">
      <w:pPr>
        <w:pStyle w:val="8"/>
        <w:rPr>
          <w:rFonts w:ascii="宋体" w:hAnsi="宋体" w:eastAsia="宋体" w:cs="宋体"/>
          <w:b/>
          <w:color w:val="000000" w:themeColor="text1"/>
          <w:kern w:val="1"/>
          <w14:textFill>
            <w14:solidFill>
              <w14:schemeClr w14:val="tx1"/>
            </w14:solidFill>
          </w14:textFill>
        </w:rPr>
      </w:pPr>
    </w:p>
    <w:p w14:paraId="5FAB07F8">
      <w:pPr>
        <w:pStyle w:val="8"/>
        <w:rPr>
          <w:rFonts w:ascii="宋体" w:hAnsi="宋体" w:eastAsia="宋体" w:cs="宋体"/>
          <w:b/>
          <w:color w:val="000000" w:themeColor="text1"/>
          <w:kern w:val="1"/>
          <w14:textFill>
            <w14:solidFill>
              <w14:schemeClr w14:val="tx1"/>
            </w14:solidFill>
          </w14:textFill>
        </w:rPr>
      </w:pPr>
    </w:p>
    <w:p w14:paraId="6EE8B5C6">
      <w:pPr>
        <w:keepNext/>
        <w:keepLines/>
        <w:spacing w:before="260" w:after="260" w:line="360" w:lineRule="auto"/>
        <w:jc w:val="center"/>
        <w:outlineLvl w:val="1"/>
        <w:rPr>
          <w:rStyle w:val="30"/>
          <w:rFonts w:ascii="宋体" w:hAnsi="宋体" w:eastAsia="宋体" w:cs="宋体"/>
          <w:b w:val="0"/>
          <w:bCs/>
          <w:color w:val="000000" w:themeColor="text1"/>
          <w:sz w:val="30"/>
          <w:szCs w:val="30"/>
          <w14:textFill>
            <w14:solidFill>
              <w14:schemeClr w14:val="tx1"/>
            </w14:solidFill>
          </w14:textFill>
        </w:rPr>
      </w:pPr>
      <w:r>
        <w:rPr>
          <w:rFonts w:hint="eastAsia" w:ascii="宋体" w:hAnsi="宋体" w:cs="宋体"/>
          <w:b/>
          <w:color w:val="000000" w:themeColor="text1"/>
          <w:kern w:val="1"/>
          <w:sz w:val="32"/>
          <w:szCs w:val="32"/>
          <w14:textFill>
            <w14:solidFill>
              <w14:schemeClr w14:val="tx1"/>
            </w14:solidFill>
          </w14:textFill>
        </w:rPr>
        <w:t>三、授权委托书</w:t>
      </w:r>
      <w:bookmarkEnd w:id="59"/>
      <w:bookmarkEnd w:id="60"/>
    </w:p>
    <w:p w14:paraId="06CADCB2">
      <w:pPr>
        <w:topLinePunct/>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人（姓名）系（供应商名称）的法定代表人，现委托（姓名）为我方代理人。代理人根据授权，以我方名义签署、澄清、说明、补正、递交、撤回、修改（项目名称）响应文件、签订合同和处理有关事宜，其法律后果由我方承担。</w:t>
      </w:r>
    </w:p>
    <w:p w14:paraId="78D1E6D1">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委托期限</w:t>
      </w:r>
      <w:r>
        <w:rPr>
          <w:rFonts w:hint="eastAsia" w:ascii="宋体" w:hAnsi="宋体" w:cs="宋体"/>
          <w:color w:val="000000" w:themeColor="text1"/>
          <w:sz w:val="24"/>
          <w:szCs w:val="24"/>
          <w:lang w:eastAsia="zh-CN"/>
          <w14:textFill>
            <w14:solidFill>
              <w14:schemeClr w14:val="tx1"/>
            </w14:solidFill>
          </w14:textFill>
        </w:rPr>
        <w:t>：</w:t>
      </w:r>
    </w:p>
    <w:p w14:paraId="7CBB92B8">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代理人无转委托权。</w:t>
      </w:r>
    </w:p>
    <w:p w14:paraId="1E26927C">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附：法定代表人身份证和委托代理人身份证</w:t>
      </w:r>
    </w:p>
    <w:p w14:paraId="6308DE47">
      <w:pPr>
        <w:spacing w:line="360" w:lineRule="auto"/>
        <w:rPr>
          <w:rFonts w:ascii="宋体" w:hAnsi="宋体" w:cs="宋体"/>
          <w:color w:val="000000" w:themeColor="text1"/>
          <w:sz w:val="24"/>
          <w:szCs w:val="24"/>
          <w14:textFill>
            <w14:solidFill>
              <w14:schemeClr w14:val="tx1"/>
            </w14:solidFill>
          </w14:textFill>
        </w:rPr>
      </w:pPr>
    </w:p>
    <w:p w14:paraId="6B4085FF">
      <w:pPr>
        <w:spacing w:line="360" w:lineRule="auto"/>
        <w:rPr>
          <w:rFonts w:ascii="宋体" w:hAnsi="宋体" w:cs="宋体"/>
          <w:color w:val="000000" w:themeColor="text1"/>
          <w:sz w:val="24"/>
          <w:szCs w:val="24"/>
          <w14:textFill>
            <w14:solidFill>
              <w14:schemeClr w14:val="tx1"/>
            </w14:solidFill>
          </w14:textFill>
        </w:rPr>
      </w:pPr>
    </w:p>
    <w:p w14:paraId="1F370654">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供应商：（盖单位章）</w:t>
      </w:r>
    </w:p>
    <w:p w14:paraId="669E818A">
      <w:pPr>
        <w:spacing w:line="360" w:lineRule="auto"/>
        <w:rPr>
          <w:rFonts w:ascii="宋体" w:hAnsi="宋体" w:cs="宋体"/>
          <w:color w:val="000000" w:themeColor="text1"/>
          <w:sz w:val="24"/>
          <w:szCs w:val="24"/>
          <w14:textFill>
            <w14:solidFill>
              <w14:schemeClr w14:val="tx1"/>
            </w14:solidFill>
          </w14:textFill>
        </w:rPr>
      </w:pPr>
    </w:p>
    <w:p w14:paraId="1BB38865">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法定代表人：（签字）</w:t>
      </w:r>
    </w:p>
    <w:p w14:paraId="5D649870">
      <w:pPr>
        <w:spacing w:line="360" w:lineRule="auto"/>
        <w:rPr>
          <w:rFonts w:ascii="宋体" w:hAnsi="宋体" w:cs="宋体"/>
          <w:color w:val="000000" w:themeColor="text1"/>
          <w:sz w:val="24"/>
          <w:szCs w:val="24"/>
          <w14:textFill>
            <w14:solidFill>
              <w14:schemeClr w14:val="tx1"/>
            </w14:solidFill>
          </w14:textFill>
        </w:rPr>
      </w:pPr>
    </w:p>
    <w:p w14:paraId="7C78F7C3">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身份证号码：</w:t>
      </w:r>
    </w:p>
    <w:p w14:paraId="35E582C6">
      <w:pPr>
        <w:spacing w:line="360" w:lineRule="auto"/>
        <w:rPr>
          <w:rFonts w:ascii="宋体" w:hAnsi="宋体" w:cs="宋体"/>
          <w:color w:val="000000" w:themeColor="text1"/>
          <w:sz w:val="24"/>
          <w:szCs w:val="24"/>
          <w14:textFill>
            <w14:solidFill>
              <w14:schemeClr w14:val="tx1"/>
            </w14:solidFill>
          </w14:textFill>
        </w:rPr>
      </w:pPr>
    </w:p>
    <w:p w14:paraId="395F9F16">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委托代理人：（签字） </w:t>
      </w:r>
    </w:p>
    <w:p w14:paraId="7C7E0B58">
      <w:pPr>
        <w:spacing w:line="360" w:lineRule="auto"/>
        <w:rPr>
          <w:rFonts w:ascii="宋体" w:hAnsi="宋体" w:cs="宋体"/>
          <w:color w:val="000000" w:themeColor="text1"/>
          <w:sz w:val="24"/>
          <w:szCs w:val="24"/>
          <w14:textFill>
            <w14:solidFill>
              <w14:schemeClr w14:val="tx1"/>
            </w14:solidFill>
          </w14:textFill>
        </w:rPr>
      </w:pPr>
    </w:p>
    <w:p w14:paraId="75EBBBE6">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身份证号码：</w:t>
      </w:r>
    </w:p>
    <w:p w14:paraId="5141C46C">
      <w:pPr>
        <w:spacing w:line="360" w:lineRule="auto"/>
        <w:rPr>
          <w:rFonts w:ascii="宋体" w:hAnsi="宋体" w:cs="宋体"/>
          <w:color w:val="000000" w:themeColor="text1"/>
          <w:sz w:val="24"/>
          <w:szCs w:val="24"/>
          <w14:textFill>
            <w14:solidFill>
              <w14:schemeClr w14:val="tx1"/>
            </w14:solidFill>
          </w14:textFill>
        </w:rPr>
      </w:pPr>
    </w:p>
    <w:p w14:paraId="3E20A944">
      <w:pPr>
        <w:spacing w:line="360" w:lineRule="auto"/>
        <w:rPr>
          <w:rFonts w:ascii="宋体" w:hAnsi="宋体" w:cs="宋体"/>
          <w:color w:val="000000" w:themeColor="text1"/>
          <w:sz w:val="24"/>
          <w:szCs w:val="24"/>
          <w14:textFill>
            <w14:solidFill>
              <w14:schemeClr w14:val="tx1"/>
            </w14:solidFill>
          </w14:textFill>
        </w:rPr>
      </w:pPr>
    </w:p>
    <w:p w14:paraId="30E77106">
      <w:pPr>
        <w:spacing w:line="360" w:lineRule="auto"/>
        <w:ind w:firstLine="2640" w:firstLineChars="1100"/>
        <w:jc w:val="righ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年   月   日</w:t>
      </w:r>
    </w:p>
    <w:p w14:paraId="50045495">
      <w:pPr>
        <w:pStyle w:val="13"/>
        <w:ind w:right="-1" w:firstLine="482" w:firstLineChars="200"/>
        <w:jc w:val="center"/>
        <w:rPr>
          <w:rFonts w:cs="宋体"/>
          <w:b/>
          <w:color w:val="000000" w:themeColor="text1"/>
          <w:sz w:val="32"/>
          <w:szCs w:val="32"/>
          <w14:textFill>
            <w14:solidFill>
              <w14:schemeClr w14:val="tx1"/>
            </w14:solidFill>
          </w14:textFill>
        </w:rPr>
      </w:pPr>
      <w:r>
        <w:rPr>
          <w:rFonts w:hint="eastAsia" w:cs="宋体"/>
          <w:b/>
          <w:bCs/>
          <w:color w:val="000000" w:themeColor="text1"/>
          <w:sz w:val="24"/>
          <w:szCs w:val="24"/>
          <w14:textFill>
            <w14:solidFill>
              <w14:schemeClr w14:val="tx1"/>
            </w14:solidFill>
          </w14:textFill>
        </w:rPr>
        <w:br w:type="page"/>
      </w:r>
      <w:bookmarkStart w:id="61" w:name="_Toc246997106"/>
      <w:bookmarkStart w:id="62" w:name="_Toc247085881"/>
      <w:bookmarkStart w:id="63" w:name="_Toc152042584"/>
      <w:bookmarkStart w:id="64" w:name="_Toc246996363"/>
      <w:bookmarkStart w:id="65" w:name="_Toc179632815"/>
      <w:bookmarkStart w:id="66" w:name="_Toc144974863"/>
      <w:bookmarkStart w:id="67" w:name="_Toc428365991"/>
      <w:bookmarkStart w:id="68" w:name="_Toc152045795"/>
      <w:bookmarkStart w:id="69" w:name="_Toc372533218"/>
      <w:r>
        <w:rPr>
          <w:rFonts w:hint="eastAsia" w:cs="宋体"/>
          <w:b/>
          <w:color w:val="000000" w:themeColor="text1"/>
          <w:sz w:val="32"/>
          <w:szCs w:val="32"/>
          <w14:textFill>
            <w14:solidFill>
              <w14:schemeClr w14:val="tx1"/>
            </w14:solidFill>
          </w14:textFill>
        </w:rPr>
        <w:t>四、磋商报价一览表（投标报价表格式）</w:t>
      </w:r>
    </w:p>
    <w:p w14:paraId="15CDE872">
      <w:pP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陕西德丰盛和项目管理有限公司</w:t>
      </w:r>
    </w:p>
    <w:p w14:paraId="272D5AF5">
      <w:pPr>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我公司在</w:t>
      </w:r>
      <w:r>
        <w:rPr>
          <w:rFonts w:hint="eastAsia" w:ascii="宋体" w:hAnsi="宋体" w:cs="宋体"/>
          <w:color w:val="000000" w:themeColor="text1"/>
          <w:sz w:val="24"/>
          <w:szCs w:val="24"/>
          <w:lang w:eastAsia="zh-CN"/>
          <w14:textFill>
            <w14:solidFill>
              <w14:schemeClr w14:val="tx1"/>
            </w14:solidFill>
          </w14:textFill>
        </w:rPr>
        <w:t>2026年安康中心城区市政排水设施病媒生物防制消杀项目</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项目编号</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zh-CN"/>
          <w14:textFill>
            <w14:solidFill>
              <w14:schemeClr w14:val="tx1"/>
            </w14:solidFill>
          </w14:textFill>
        </w:rPr>
        <w:t>SXDFSH-2026041</w:t>
      </w:r>
      <w:r>
        <w:rPr>
          <w:rFonts w:hint="eastAsia" w:ascii="宋体" w:hAnsi="宋体" w:cs="宋体"/>
          <w:color w:val="000000" w:themeColor="text1"/>
          <w:sz w:val="24"/>
          <w:szCs w:val="24"/>
          <w14:textFill>
            <w14:solidFill>
              <w14:schemeClr w14:val="tx1"/>
            </w14:solidFill>
          </w14:textFill>
        </w:rPr>
        <w:t>）总报价及服务（完工）期如下：</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8"/>
        <w:gridCol w:w="578"/>
        <w:gridCol w:w="2054"/>
        <w:gridCol w:w="781"/>
        <w:gridCol w:w="599"/>
        <w:gridCol w:w="2747"/>
      </w:tblGrid>
      <w:tr w14:paraId="7CD1B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exact"/>
          <w:jc w:val="center"/>
        </w:trPr>
        <w:tc>
          <w:tcPr>
            <w:tcW w:w="2368" w:type="dxa"/>
            <w:tcBorders>
              <w:top w:val="single" w:color="auto" w:sz="4" w:space="0"/>
              <w:left w:val="single" w:color="auto" w:sz="4" w:space="0"/>
              <w:bottom w:val="single" w:color="auto" w:sz="4" w:space="0"/>
              <w:right w:val="single" w:color="auto" w:sz="4" w:space="0"/>
            </w:tcBorders>
            <w:vAlign w:val="center"/>
          </w:tcPr>
          <w:p w14:paraId="0FFEF871">
            <w:pPr>
              <w:snapToGrid w:val="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项目名称</w:t>
            </w:r>
          </w:p>
        </w:tc>
        <w:tc>
          <w:tcPr>
            <w:tcW w:w="2632" w:type="dxa"/>
            <w:gridSpan w:val="2"/>
            <w:tcBorders>
              <w:top w:val="single" w:color="auto" w:sz="4" w:space="0"/>
              <w:left w:val="single" w:color="auto" w:sz="4" w:space="0"/>
              <w:bottom w:val="single" w:color="auto" w:sz="4" w:space="0"/>
              <w:right w:val="single" w:color="auto" w:sz="4" w:space="0"/>
            </w:tcBorders>
            <w:vAlign w:val="center"/>
          </w:tcPr>
          <w:p w14:paraId="60B58551">
            <w:pPr>
              <w:snapToGrid w:val="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总报价（元）</w:t>
            </w:r>
          </w:p>
        </w:tc>
        <w:tc>
          <w:tcPr>
            <w:tcW w:w="1380" w:type="dxa"/>
            <w:gridSpan w:val="2"/>
            <w:tcBorders>
              <w:top w:val="single" w:color="auto" w:sz="4" w:space="0"/>
              <w:left w:val="single" w:color="auto" w:sz="4" w:space="0"/>
              <w:bottom w:val="single" w:color="auto" w:sz="4" w:space="0"/>
              <w:right w:val="single" w:color="auto" w:sz="4" w:space="0"/>
            </w:tcBorders>
            <w:vAlign w:val="center"/>
          </w:tcPr>
          <w:p w14:paraId="432E6B96">
            <w:pPr>
              <w:snapToGrid w:val="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服务期</w:t>
            </w:r>
          </w:p>
        </w:tc>
        <w:tc>
          <w:tcPr>
            <w:tcW w:w="2747" w:type="dxa"/>
            <w:tcBorders>
              <w:top w:val="single" w:color="auto" w:sz="4" w:space="0"/>
              <w:left w:val="single" w:color="auto" w:sz="4" w:space="0"/>
              <w:bottom w:val="single" w:color="auto" w:sz="4" w:space="0"/>
              <w:right w:val="single" w:color="auto" w:sz="4" w:space="0"/>
            </w:tcBorders>
            <w:vAlign w:val="center"/>
          </w:tcPr>
          <w:p w14:paraId="2BF79902">
            <w:pPr>
              <w:snapToGrid w:val="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备注</w:t>
            </w:r>
          </w:p>
        </w:tc>
      </w:tr>
      <w:tr w14:paraId="702AA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7" w:hRule="exact"/>
          <w:jc w:val="center"/>
        </w:trPr>
        <w:tc>
          <w:tcPr>
            <w:tcW w:w="2368" w:type="dxa"/>
            <w:tcBorders>
              <w:top w:val="single" w:color="auto" w:sz="4" w:space="0"/>
              <w:left w:val="single" w:color="auto" w:sz="4" w:space="0"/>
              <w:bottom w:val="single" w:color="auto" w:sz="4" w:space="0"/>
              <w:right w:val="single" w:color="auto" w:sz="4" w:space="0"/>
            </w:tcBorders>
            <w:vAlign w:val="center"/>
          </w:tcPr>
          <w:p w14:paraId="5145220A">
            <w:pPr>
              <w:snapToGrid w:val="0"/>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2026年安康中心城区市政排水设施病媒生物防制消杀项目</w:t>
            </w:r>
          </w:p>
        </w:tc>
        <w:tc>
          <w:tcPr>
            <w:tcW w:w="2632" w:type="dxa"/>
            <w:gridSpan w:val="2"/>
            <w:tcBorders>
              <w:top w:val="single" w:color="auto" w:sz="4" w:space="0"/>
              <w:left w:val="single" w:color="auto" w:sz="4" w:space="0"/>
              <w:bottom w:val="single" w:color="auto" w:sz="4" w:space="0"/>
              <w:right w:val="single" w:color="auto" w:sz="4" w:space="0"/>
            </w:tcBorders>
            <w:vAlign w:val="center"/>
          </w:tcPr>
          <w:p w14:paraId="1FB915A8">
            <w:pPr>
              <w:snapToGrid w:val="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u w:val="single"/>
                <w14:textFill>
                  <w14:solidFill>
                    <w14:schemeClr w14:val="tx1"/>
                  </w14:solidFill>
                </w14:textFill>
              </w:rPr>
              <w:t xml:space="preserve">               </w:t>
            </w:r>
          </w:p>
        </w:tc>
        <w:tc>
          <w:tcPr>
            <w:tcW w:w="1380" w:type="dxa"/>
            <w:gridSpan w:val="2"/>
            <w:tcBorders>
              <w:top w:val="single" w:color="auto" w:sz="4" w:space="0"/>
              <w:left w:val="single" w:color="auto" w:sz="4" w:space="0"/>
              <w:bottom w:val="single" w:color="auto" w:sz="4" w:space="0"/>
              <w:right w:val="single" w:color="auto" w:sz="4" w:space="0"/>
            </w:tcBorders>
            <w:vAlign w:val="center"/>
          </w:tcPr>
          <w:p w14:paraId="0EF6596D">
            <w:pPr>
              <w:snapToGrid w:val="0"/>
              <w:jc w:val="center"/>
              <w:rPr>
                <w:rFonts w:ascii="宋体" w:hAnsi="宋体" w:cs="宋体"/>
                <w:color w:val="000000" w:themeColor="text1"/>
                <w:sz w:val="24"/>
                <w:szCs w:val="24"/>
                <w14:textFill>
                  <w14:solidFill>
                    <w14:schemeClr w14:val="tx1"/>
                  </w14:solidFill>
                </w14:textFill>
              </w:rPr>
            </w:pPr>
          </w:p>
        </w:tc>
        <w:tc>
          <w:tcPr>
            <w:tcW w:w="2747" w:type="dxa"/>
            <w:tcBorders>
              <w:top w:val="single" w:color="auto" w:sz="4" w:space="0"/>
              <w:left w:val="single" w:color="auto" w:sz="4" w:space="0"/>
              <w:bottom w:val="single" w:color="auto" w:sz="4" w:space="0"/>
              <w:right w:val="single" w:color="auto" w:sz="4" w:space="0"/>
            </w:tcBorders>
            <w:vAlign w:val="center"/>
          </w:tcPr>
          <w:p w14:paraId="34E339C2">
            <w:pPr>
              <w:snapToGrid w:val="0"/>
              <w:rPr>
                <w:rFonts w:ascii="宋体" w:hAnsi="宋体" w:cs="宋体"/>
                <w:color w:val="000000" w:themeColor="text1"/>
                <w:sz w:val="24"/>
                <w:szCs w:val="24"/>
                <w14:textFill>
                  <w14:solidFill>
                    <w14:schemeClr w14:val="tx1"/>
                  </w14:solidFill>
                </w14:textFill>
              </w:rPr>
            </w:pPr>
          </w:p>
        </w:tc>
      </w:tr>
      <w:tr w14:paraId="7C916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127" w:type="dxa"/>
            <w:gridSpan w:val="6"/>
            <w:tcBorders>
              <w:top w:val="single" w:color="auto" w:sz="4" w:space="0"/>
              <w:left w:val="single" w:color="auto" w:sz="4" w:space="0"/>
              <w:bottom w:val="single" w:color="auto" w:sz="4" w:space="0"/>
              <w:right w:val="single" w:color="auto" w:sz="4" w:space="0"/>
            </w:tcBorders>
            <w:vAlign w:val="center"/>
          </w:tcPr>
          <w:p w14:paraId="42225AB2">
            <w:pPr>
              <w:snapToGrid w:val="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总报价大写金额：</w:t>
            </w:r>
          </w:p>
        </w:tc>
      </w:tr>
      <w:tr w14:paraId="18127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127" w:type="dxa"/>
            <w:gridSpan w:val="6"/>
            <w:tcBorders>
              <w:top w:val="single" w:color="auto" w:sz="4" w:space="0"/>
              <w:left w:val="single" w:color="auto" w:sz="4" w:space="0"/>
              <w:bottom w:val="single" w:color="auto" w:sz="4" w:space="0"/>
              <w:right w:val="single" w:color="auto" w:sz="4" w:space="0"/>
            </w:tcBorders>
            <w:vAlign w:val="center"/>
          </w:tcPr>
          <w:p w14:paraId="1436DD17">
            <w:pPr>
              <w:snapToGrid w:val="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报价声明：</w:t>
            </w:r>
          </w:p>
        </w:tc>
      </w:tr>
      <w:tr w14:paraId="334B4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2946" w:type="dxa"/>
            <w:gridSpan w:val="2"/>
            <w:tcBorders>
              <w:top w:val="single" w:color="auto" w:sz="4" w:space="0"/>
              <w:left w:val="single" w:color="auto" w:sz="4" w:space="0"/>
              <w:bottom w:val="single" w:color="auto" w:sz="4" w:space="0"/>
              <w:right w:val="single" w:color="auto" w:sz="4" w:space="0"/>
            </w:tcBorders>
            <w:vAlign w:val="center"/>
          </w:tcPr>
          <w:p w14:paraId="5079A345">
            <w:pPr>
              <w:snapToGrid w:val="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 标 人</w:t>
            </w:r>
          </w:p>
        </w:tc>
        <w:tc>
          <w:tcPr>
            <w:tcW w:w="2835" w:type="dxa"/>
            <w:gridSpan w:val="2"/>
            <w:tcBorders>
              <w:top w:val="single" w:color="auto" w:sz="4" w:space="0"/>
              <w:left w:val="single" w:color="auto" w:sz="4" w:space="0"/>
              <w:bottom w:val="single" w:color="auto" w:sz="4" w:space="0"/>
              <w:right w:val="single" w:color="auto" w:sz="4" w:space="0"/>
            </w:tcBorders>
            <w:vAlign w:val="center"/>
          </w:tcPr>
          <w:p w14:paraId="5FB3A13E">
            <w:pPr>
              <w:snapToGrid w:val="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被授权人</w:t>
            </w:r>
          </w:p>
        </w:tc>
        <w:tc>
          <w:tcPr>
            <w:tcW w:w="3346" w:type="dxa"/>
            <w:gridSpan w:val="2"/>
            <w:tcBorders>
              <w:top w:val="single" w:color="auto" w:sz="4" w:space="0"/>
              <w:left w:val="single" w:color="auto" w:sz="4" w:space="0"/>
              <w:bottom w:val="single" w:color="auto" w:sz="4" w:space="0"/>
              <w:right w:val="single" w:color="auto" w:sz="4" w:space="0"/>
            </w:tcBorders>
            <w:vAlign w:val="center"/>
          </w:tcPr>
          <w:p w14:paraId="780C7C0C">
            <w:pPr>
              <w:snapToGrid w:val="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签署日期</w:t>
            </w:r>
          </w:p>
        </w:tc>
      </w:tr>
      <w:tr w14:paraId="4FF76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9" w:hRule="atLeast"/>
          <w:jc w:val="center"/>
        </w:trPr>
        <w:tc>
          <w:tcPr>
            <w:tcW w:w="2946" w:type="dxa"/>
            <w:gridSpan w:val="2"/>
            <w:tcBorders>
              <w:top w:val="single" w:color="auto" w:sz="4" w:space="0"/>
              <w:left w:val="single" w:color="auto" w:sz="4" w:space="0"/>
              <w:bottom w:val="single" w:color="auto" w:sz="4" w:space="0"/>
              <w:right w:val="single" w:color="auto" w:sz="4" w:space="0"/>
            </w:tcBorders>
            <w:vAlign w:val="center"/>
          </w:tcPr>
          <w:p w14:paraId="0C2184D7">
            <w:pPr>
              <w:snapToGrid w:val="0"/>
              <w:ind w:firstLine="560"/>
              <w:jc w:val="center"/>
              <w:rPr>
                <w:rFonts w:ascii="宋体" w:hAnsi="宋体" w:cs="宋体"/>
                <w:color w:val="000000" w:themeColor="text1"/>
                <w:sz w:val="24"/>
                <w:szCs w:val="24"/>
                <w14:textFill>
                  <w14:solidFill>
                    <w14:schemeClr w14:val="tx1"/>
                  </w14:solidFill>
                </w14:textFill>
              </w:rPr>
            </w:pPr>
          </w:p>
          <w:p w14:paraId="47C3EA9B">
            <w:pPr>
              <w:snapToGrid w:val="0"/>
              <w:ind w:firstLine="56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（法人公章）</w:t>
            </w:r>
          </w:p>
          <w:p w14:paraId="68310B8D">
            <w:pPr>
              <w:snapToGrid w:val="0"/>
              <w:ind w:firstLine="560"/>
              <w:jc w:val="center"/>
              <w:rPr>
                <w:rFonts w:ascii="宋体" w:hAnsi="宋体" w:cs="宋体"/>
                <w:color w:val="000000" w:themeColor="text1"/>
                <w:sz w:val="24"/>
                <w:szCs w:val="24"/>
                <w14:textFill>
                  <w14:solidFill>
                    <w14:schemeClr w14:val="tx1"/>
                  </w14:solidFill>
                </w14:textFill>
              </w:rPr>
            </w:pPr>
          </w:p>
        </w:tc>
        <w:tc>
          <w:tcPr>
            <w:tcW w:w="2835" w:type="dxa"/>
            <w:gridSpan w:val="2"/>
            <w:tcBorders>
              <w:top w:val="single" w:color="auto" w:sz="4" w:space="0"/>
              <w:left w:val="single" w:color="auto" w:sz="4" w:space="0"/>
              <w:bottom w:val="single" w:color="auto" w:sz="4" w:space="0"/>
              <w:right w:val="single" w:color="auto" w:sz="4" w:space="0"/>
            </w:tcBorders>
            <w:vAlign w:val="center"/>
          </w:tcPr>
          <w:p w14:paraId="60AE2571">
            <w:pPr>
              <w:snapToGrid w:val="0"/>
              <w:ind w:firstLine="56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（签字或盖章）</w:t>
            </w:r>
          </w:p>
        </w:tc>
        <w:tc>
          <w:tcPr>
            <w:tcW w:w="3346" w:type="dxa"/>
            <w:gridSpan w:val="2"/>
            <w:tcBorders>
              <w:top w:val="single" w:color="auto" w:sz="4" w:space="0"/>
              <w:left w:val="single" w:color="auto" w:sz="4" w:space="0"/>
              <w:bottom w:val="single" w:color="auto" w:sz="4" w:space="0"/>
              <w:right w:val="single" w:color="auto" w:sz="4" w:space="0"/>
            </w:tcBorders>
            <w:vAlign w:val="center"/>
          </w:tcPr>
          <w:p w14:paraId="17819561">
            <w:pPr>
              <w:snapToGrid w:val="0"/>
              <w:ind w:firstLine="56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年  月  日</w:t>
            </w:r>
          </w:p>
        </w:tc>
      </w:tr>
    </w:tbl>
    <w:p w14:paraId="669112EC">
      <w:pPr>
        <w:spacing w:line="300" w:lineRule="exact"/>
        <w:rPr>
          <w:rFonts w:ascii="宋体" w:hAnsi="宋体" w:cs="宋体"/>
          <w:b/>
          <w:color w:val="000000" w:themeColor="text1"/>
          <w:sz w:val="24"/>
          <w:szCs w:val="24"/>
          <w14:textFill>
            <w14:solidFill>
              <w14:schemeClr w14:val="tx1"/>
            </w14:solidFill>
          </w14:textFill>
        </w:rPr>
      </w:pPr>
    </w:p>
    <w:p w14:paraId="54D2FAEB">
      <w:pPr>
        <w:spacing w:line="3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特别提示：</w:t>
      </w:r>
    </w:p>
    <w:p w14:paraId="0B23B4A0">
      <w:pPr>
        <w:spacing w:line="3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报价货币为人民币，以元为单位。2、投标人必须按以上格式加盖单位公章并签名，否则投标无效。</w:t>
      </w:r>
    </w:p>
    <w:p w14:paraId="11805DBE">
      <w:pPr>
        <w:spacing w:line="360" w:lineRule="auto"/>
        <w:ind w:right="420"/>
        <w:rPr>
          <w:rFonts w:ascii="宋体" w:hAnsi="宋体" w:cs="宋体"/>
          <w:b/>
          <w:color w:val="000000" w:themeColor="text1"/>
          <w:sz w:val="24"/>
          <w14:textFill>
            <w14:solidFill>
              <w14:schemeClr w14:val="tx1"/>
            </w14:solidFill>
          </w14:textFill>
        </w:rPr>
      </w:pPr>
    </w:p>
    <w:p w14:paraId="1A915102">
      <w:pPr>
        <w:spacing w:line="360" w:lineRule="auto"/>
        <w:rPr>
          <w:rFonts w:ascii="宋体" w:hAnsi="宋体" w:cs="宋体"/>
          <w:color w:val="000000" w:themeColor="text1"/>
          <w14:textFill>
            <w14:solidFill>
              <w14:schemeClr w14:val="tx1"/>
            </w14:solidFill>
          </w14:textFill>
        </w:rPr>
      </w:pPr>
    </w:p>
    <w:p w14:paraId="5CBBB76B">
      <w:pPr>
        <w:spacing w:line="360" w:lineRule="auto"/>
        <w:rPr>
          <w:rFonts w:ascii="宋体" w:hAnsi="宋体" w:cs="宋体"/>
          <w:color w:val="000000" w:themeColor="text1"/>
          <w14:textFill>
            <w14:solidFill>
              <w14:schemeClr w14:val="tx1"/>
            </w14:solidFill>
          </w14:textFill>
        </w:rPr>
      </w:pPr>
    </w:p>
    <w:bookmarkEnd w:id="61"/>
    <w:bookmarkEnd w:id="62"/>
    <w:bookmarkEnd w:id="63"/>
    <w:bookmarkEnd w:id="64"/>
    <w:bookmarkEnd w:id="65"/>
    <w:bookmarkEnd w:id="66"/>
    <w:bookmarkEnd w:id="67"/>
    <w:bookmarkEnd w:id="68"/>
    <w:bookmarkEnd w:id="69"/>
    <w:p w14:paraId="02085CC2">
      <w:pPr>
        <w:keepNext/>
        <w:keepLines/>
        <w:spacing w:before="260" w:after="260" w:line="400" w:lineRule="exact"/>
        <w:jc w:val="center"/>
        <w:outlineLvl w:val="1"/>
        <w:rPr>
          <w:rFonts w:ascii="宋体" w:hAnsi="宋体" w:cs="宋体"/>
          <w:b/>
          <w:color w:val="000000" w:themeColor="text1"/>
          <w:kern w:val="1"/>
          <w:sz w:val="32"/>
          <w:szCs w:val="32"/>
          <w14:textFill>
            <w14:solidFill>
              <w14:schemeClr w14:val="tx1"/>
            </w14:solidFill>
          </w14:textFill>
        </w:rPr>
      </w:pPr>
      <w:bookmarkStart w:id="70" w:name="_Toc8169"/>
      <w:bookmarkStart w:id="71" w:name="_Toc29883"/>
      <w:bookmarkStart w:id="72" w:name="_Toc184635143"/>
      <w:r>
        <w:rPr>
          <w:rFonts w:hint="eastAsia" w:ascii="宋体" w:hAnsi="宋体" w:cs="宋体"/>
          <w:b/>
          <w:color w:val="000000" w:themeColor="text1"/>
          <w:kern w:val="1"/>
          <w:sz w:val="32"/>
          <w:szCs w:val="32"/>
          <w14:textFill>
            <w14:solidFill>
              <w14:schemeClr w14:val="tx1"/>
            </w14:solidFill>
          </w14:textFill>
        </w:rPr>
        <w:t>五、资格证明文件</w:t>
      </w:r>
      <w:bookmarkEnd w:id="70"/>
      <w:bookmarkEnd w:id="71"/>
    </w:p>
    <w:p w14:paraId="4CA73D9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符合《中华人民共和国政府采购法》第二十二条的规定</w:t>
      </w:r>
    </w:p>
    <w:p w14:paraId="39AAD74A">
      <w:pPr>
        <w:keepNext w:val="0"/>
        <w:keepLines w:val="0"/>
        <w:pageBreakBefore w:val="0"/>
        <w:widowControl w:val="0"/>
        <w:numPr>
          <w:ilvl w:val="0"/>
          <w:numId w:val="5"/>
        </w:numPr>
        <w:kinsoku/>
        <w:wordWrap/>
        <w:overflowPunct/>
        <w:topLinePunct w:val="0"/>
        <w:autoSpaceDE/>
        <w:autoSpaceDN/>
        <w:bidi w:val="0"/>
        <w:adjustRightInd w:val="0"/>
        <w:snapToGrid w:val="0"/>
        <w:spacing w:line="500" w:lineRule="exact"/>
        <w:ind w:firstLine="480" w:firstLineChars="200"/>
        <w:textAlignment w:val="center"/>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具有独立承担民事责任的能力，提供营业执照、税务登记证、组织机构代码证或登载有统一社会信用代码的营业执照（或《事业单位法人证书》或其他合法组织登记证书、自然人只须提交身份证复印件）。（2）提供法定代表人授权书（附法定代表人身份证复印件）及被授权代表身份证复印件（法定代表人直接参加只须提供法定代表人身份证复印件）。（3）有依法缴纳税收和社会保障资金的良好记录：提供2026年1月至今至少一个月的完税证明（依法免税的供应商应提供相关文件证明）；2026年1月至今至少一个月的已缴纳社会保险的证明（专用收据或社会保险缴纳清单或社保缴纳证明，依法不需要缴纳社会保障资金的供应商应提供相关文件证明）。（4）财务状况报告：提供2025年经审计的财务审计报告</w:t>
      </w:r>
      <w:r>
        <w:rPr>
          <w:rFonts w:hint="eastAsia" w:ascii="宋体" w:hAnsi="宋体" w:cs="宋体"/>
          <w:color w:val="000000" w:themeColor="text1"/>
          <w:sz w:val="24"/>
          <w:szCs w:val="24"/>
          <w:shd w:val="clear" w:color="auto" w:fill="FFFFFF"/>
          <w:lang w:eastAsia="zh-CN"/>
          <w14:textFill>
            <w14:solidFill>
              <w14:schemeClr w14:val="tx1"/>
            </w14:solidFill>
          </w14:textFill>
        </w:rPr>
        <w:t>（</w:t>
      </w:r>
      <w:r>
        <w:rPr>
          <w:rFonts w:hint="eastAsia" w:ascii="宋体" w:hAnsi="宋体" w:eastAsia="宋体" w:cs="宋体"/>
          <w:color w:val="000000" w:themeColor="text1"/>
          <w:sz w:val="24"/>
          <w:szCs w:val="24"/>
          <w:shd w:val="clear" w:color="auto" w:fill="FFFFFF"/>
          <w14:textFill>
            <w14:solidFill>
              <w14:schemeClr w14:val="tx1"/>
            </w14:solidFill>
          </w14:textFill>
        </w:rPr>
        <w:t>成立时间至提交投标响应文件截止时间不足1年的可提供成立后任意时段的资产负债表</w:t>
      </w:r>
      <w:r>
        <w:rPr>
          <w:rFonts w:hint="eastAsia" w:ascii="宋体" w:hAnsi="宋体" w:cs="宋体"/>
          <w:color w:val="000000" w:themeColor="text1"/>
          <w:sz w:val="24"/>
          <w:szCs w:val="24"/>
          <w:shd w:val="clear" w:color="auto" w:fill="FFFFFF"/>
          <w:lang w:eastAsia="zh-CN"/>
          <w14:textFill>
            <w14:solidFill>
              <w14:schemeClr w14:val="tx1"/>
            </w14:solidFill>
          </w14:textFill>
        </w:rPr>
        <w:t>）</w:t>
      </w:r>
      <w:r>
        <w:rPr>
          <w:rFonts w:hint="eastAsia" w:ascii="宋体" w:hAnsi="宋体" w:eastAsia="宋体" w:cs="宋体"/>
          <w:color w:val="000000" w:themeColor="text1"/>
          <w:sz w:val="24"/>
          <w:szCs w:val="24"/>
          <w:shd w:val="clear" w:color="auto" w:fill="FFFFFF"/>
          <w14:textFill>
            <w14:solidFill>
              <w14:schemeClr w14:val="tx1"/>
            </w14:solidFill>
          </w14:textFill>
        </w:rPr>
        <w:t>或开标前6个月内其基本账户开户银行出具的资信证明。（5）参加政府采购活动前三年内，在经营活动中没有重大违法记录声明；（提供自述材料）（6）本项目不接受联合体投标；单位负责人为同一人或者存在直接控股、管理关系的不同投标人，不得参加该项目的政府采购活动。（7）本项目专门面向中小企业采购，供应商须提供《中小企业声明函》；供应商为监狱企业的视同小型和微型企业，须提供由省级以上监狱管理局、戒毒管理局</w:t>
      </w:r>
      <w:r>
        <w:rPr>
          <w:rFonts w:hint="eastAsia" w:ascii="宋体" w:hAnsi="宋体" w:cs="宋体"/>
          <w:color w:val="000000" w:themeColor="text1"/>
          <w:sz w:val="24"/>
          <w:szCs w:val="24"/>
          <w:shd w:val="clear" w:color="auto" w:fill="FFFFFF"/>
          <w:lang w:eastAsia="zh-CN"/>
          <w14:textFill>
            <w14:solidFill>
              <w14:schemeClr w14:val="tx1"/>
            </w14:solidFill>
          </w14:textFill>
        </w:rPr>
        <w:t>（</w:t>
      </w:r>
      <w:r>
        <w:rPr>
          <w:rFonts w:hint="eastAsia" w:ascii="宋体" w:hAnsi="宋体" w:eastAsia="宋体" w:cs="宋体"/>
          <w:color w:val="000000" w:themeColor="text1"/>
          <w:sz w:val="24"/>
          <w:szCs w:val="24"/>
          <w:shd w:val="clear" w:color="auto" w:fill="FFFFFF"/>
          <w14:textFill>
            <w14:solidFill>
              <w14:schemeClr w14:val="tx1"/>
            </w14:solidFill>
          </w14:textFill>
        </w:rPr>
        <w:t>含新疆生产建设兵团</w:t>
      </w:r>
      <w:r>
        <w:rPr>
          <w:rFonts w:hint="eastAsia" w:ascii="宋体" w:hAnsi="宋体" w:cs="宋体"/>
          <w:color w:val="000000" w:themeColor="text1"/>
          <w:sz w:val="24"/>
          <w:szCs w:val="24"/>
          <w:shd w:val="clear" w:color="auto" w:fill="FFFFFF"/>
          <w:lang w:eastAsia="zh-CN"/>
          <w14:textFill>
            <w14:solidFill>
              <w14:schemeClr w14:val="tx1"/>
            </w14:solidFill>
          </w14:textFill>
        </w:rPr>
        <w:t>）</w:t>
      </w:r>
      <w:r>
        <w:rPr>
          <w:rFonts w:hint="eastAsia" w:ascii="宋体" w:hAnsi="宋体" w:eastAsia="宋体" w:cs="宋体"/>
          <w:color w:val="000000" w:themeColor="text1"/>
          <w:sz w:val="24"/>
          <w:szCs w:val="24"/>
          <w:shd w:val="clear" w:color="auto" w:fill="FFFFFF"/>
          <w14:textFill>
            <w14:solidFill>
              <w14:schemeClr w14:val="tx1"/>
            </w14:solidFill>
          </w14:textFill>
        </w:rPr>
        <w:t>出具的属于监狱企业的证明文件。供应商为残疾人福利性单位的视同小型和微型企业，须提供《残疾人福利性单位声明函》。</w:t>
      </w:r>
    </w:p>
    <w:p w14:paraId="54ECD023">
      <w:pPr>
        <w:numPr>
          <w:ilvl w:val="0"/>
          <w:numId w:val="0"/>
        </w:numPr>
        <w:adjustRightInd w:val="0"/>
        <w:snapToGrid w:val="0"/>
        <w:spacing w:line="400" w:lineRule="exact"/>
        <w:ind w:firstLine="482" w:firstLineChars="200"/>
        <w:textAlignment w:val="center"/>
      </w:pPr>
      <w:r>
        <w:rPr>
          <w:rFonts w:hint="eastAsia" w:ascii="宋体" w:hAnsi="宋体" w:cs="宋体"/>
          <w:b/>
          <w:bCs/>
          <w:color w:val="000000" w:themeColor="text1"/>
          <w:sz w:val="24"/>
          <w:szCs w:val="24"/>
          <w14:textFill>
            <w14:solidFill>
              <w14:schemeClr w14:val="tx1"/>
            </w14:solidFill>
          </w14:textFill>
        </w:rPr>
        <w:t>以上均为资格审查必备要求，竞争性磋商会议现场须按要求提交盖有公章的复印件进行审验，缺项或者符合性、有效性、合法性审核不合格的，将自动丧失竞争性磋商响应资格。</w:t>
      </w:r>
    </w:p>
    <w:p w14:paraId="69776137">
      <w:pPr>
        <w:adjustRightInd w:val="0"/>
        <w:snapToGrid w:val="0"/>
        <w:spacing w:line="480" w:lineRule="exact"/>
        <w:ind w:firstLine="480" w:firstLineChars="200"/>
        <w:jc w:val="center"/>
        <w:textAlignment w:val="center"/>
        <w:rPr>
          <w:rFonts w:hint="eastAsia" w:ascii="宋体" w:hAnsi="宋体" w:cs="宋体"/>
          <w:color w:val="000000" w:themeColor="text1"/>
          <w:sz w:val="24"/>
          <w:szCs w:val="24"/>
          <w14:textFill>
            <w14:solidFill>
              <w14:schemeClr w14:val="tx1"/>
            </w14:solidFill>
          </w14:textFill>
        </w:rPr>
      </w:pPr>
    </w:p>
    <w:p w14:paraId="7AE6046B">
      <w:pPr>
        <w:adjustRightInd w:val="0"/>
        <w:snapToGrid w:val="0"/>
        <w:spacing w:line="480" w:lineRule="exact"/>
        <w:ind w:firstLine="480" w:firstLineChars="200"/>
        <w:jc w:val="center"/>
        <w:textAlignment w:val="center"/>
        <w:rPr>
          <w:rFonts w:hint="eastAsia" w:ascii="宋体" w:hAnsi="宋体" w:cs="宋体"/>
          <w:color w:val="000000" w:themeColor="text1"/>
          <w:sz w:val="24"/>
          <w:szCs w:val="24"/>
          <w14:textFill>
            <w14:solidFill>
              <w14:schemeClr w14:val="tx1"/>
            </w14:solidFill>
          </w14:textFill>
        </w:rPr>
      </w:pPr>
    </w:p>
    <w:p w14:paraId="551FF455">
      <w:pPr>
        <w:adjustRightInd w:val="0"/>
        <w:snapToGrid w:val="0"/>
        <w:spacing w:line="480" w:lineRule="exact"/>
        <w:ind w:firstLine="480" w:firstLineChars="200"/>
        <w:jc w:val="center"/>
        <w:textAlignment w:val="center"/>
        <w:rPr>
          <w:rFonts w:hint="eastAsia" w:ascii="宋体" w:hAnsi="宋体" w:cs="宋体"/>
          <w:color w:val="000000" w:themeColor="text1"/>
          <w:sz w:val="24"/>
          <w:szCs w:val="24"/>
          <w14:textFill>
            <w14:solidFill>
              <w14:schemeClr w14:val="tx1"/>
            </w14:solidFill>
          </w14:textFill>
        </w:rPr>
      </w:pPr>
    </w:p>
    <w:p w14:paraId="14B430A3">
      <w:pPr>
        <w:adjustRightInd w:val="0"/>
        <w:snapToGrid w:val="0"/>
        <w:spacing w:line="480" w:lineRule="exact"/>
        <w:ind w:firstLine="480" w:firstLineChars="200"/>
        <w:jc w:val="center"/>
        <w:textAlignment w:val="center"/>
        <w:rPr>
          <w:rFonts w:hint="eastAsia" w:ascii="宋体" w:hAnsi="宋体" w:cs="宋体"/>
          <w:color w:val="000000" w:themeColor="text1"/>
          <w:sz w:val="24"/>
          <w:szCs w:val="24"/>
          <w14:textFill>
            <w14:solidFill>
              <w14:schemeClr w14:val="tx1"/>
            </w14:solidFill>
          </w14:textFill>
        </w:rPr>
      </w:pPr>
    </w:p>
    <w:p w14:paraId="6BC10821">
      <w:pPr>
        <w:adjustRightInd w:val="0"/>
        <w:snapToGrid w:val="0"/>
        <w:spacing w:line="480" w:lineRule="exact"/>
        <w:jc w:val="both"/>
        <w:textAlignment w:val="center"/>
        <w:rPr>
          <w:rFonts w:hint="eastAsia" w:ascii="宋体" w:hAnsi="宋体" w:cs="宋体"/>
          <w:color w:val="000000" w:themeColor="text1"/>
          <w:sz w:val="24"/>
          <w:szCs w:val="24"/>
          <w14:textFill>
            <w14:solidFill>
              <w14:schemeClr w14:val="tx1"/>
            </w14:solidFill>
          </w14:textFill>
        </w:rPr>
      </w:pPr>
    </w:p>
    <w:p w14:paraId="55FE6699">
      <w:pPr>
        <w:pStyle w:val="8"/>
        <w:keepNext w:val="0"/>
        <w:keepLines w:val="0"/>
        <w:pageBreakBefore w:val="0"/>
        <w:widowControl w:val="0"/>
        <w:kinsoku/>
        <w:wordWrap/>
        <w:overflowPunct/>
        <w:topLinePunct w:val="0"/>
        <w:autoSpaceDE/>
        <w:autoSpaceDN/>
        <w:bidi w:val="0"/>
        <w:adjustRightInd/>
        <w:snapToGrid/>
        <w:spacing w:after="327" w:afterLines="100" w:line="240" w:lineRule="auto"/>
        <w:ind w:left="0" w:leftChars="0" w:right="0" w:rightChars="0" w:firstLine="0" w:firstLineChars="0"/>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投标声明书</w:t>
      </w:r>
    </w:p>
    <w:p w14:paraId="5DBC6774">
      <w:pPr>
        <w:pStyle w:val="8"/>
        <w:spacing w:after="120" w:afterLines="50" w:line="360" w:lineRule="auto"/>
        <w:ind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陕西德丰盛和项目管理有限公司</w:t>
      </w:r>
      <w:r>
        <w:rPr>
          <w:rFonts w:hint="eastAsia" w:ascii="宋体" w:hAnsi="宋体" w:eastAsia="宋体" w:cs="宋体"/>
          <w:b/>
          <w:color w:val="auto"/>
          <w:sz w:val="24"/>
          <w:szCs w:val="24"/>
          <w:highlight w:val="none"/>
        </w:rPr>
        <w:t>：</w:t>
      </w:r>
    </w:p>
    <w:p w14:paraId="0F86844E">
      <w:pPr>
        <w:pStyle w:val="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                   （投标人名称），就参加               采购项目（采购项目编号：             ）投标事宜，在此郑重声明：</w:t>
      </w:r>
    </w:p>
    <w:p w14:paraId="19E15F4C">
      <w:pPr>
        <w:pStyle w:val="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我公司所提交的所有证明文件及投标文件全部真实有效；</w:t>
      </w:r>
    </w:p>
    <w:p w14:paraId="2E98653A">
      <w:pPr>
        <w:pStyle w:val="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我公司近3年来无因安全事故、质量事故、投标违规等不良记录被政府有关部门处罚或仍在处罚期限内的情形存在；</w:t>
      </w:r>
    </w:p>
    <w:p w14:paraId="6DE5AEA5">
      <w:pPr>
        <w:pStyle w:val="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我公司近3年来无违规违法经营受到责令停产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或停止经营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、吊销生产许可证（或经营许可证）、较大数额罚款等行政处罚的情形存在；</w:t>
      </w:r>
    </w:p>
    <w:p w14:paraId="4AA1B747">
      <w:pPr>
        <w:pStyle w:val="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我公司无企业财产被查封、冻结或处于破产状态或严重亏损状态等情形存在；</w:t>
      </w:r>
    </w:p>
    <w:p w14:paraId="60EA22F3">
      <w:pPr>
        <w:pStyle w:val="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我公司承诺在投标过程中，保证</w:t>
      </w:r>
      <w:r>
        <w:rPr>
          <w:rFonts w:hint="eastAsia" w:ascii="宋体" w:hAnsi="宋体" w:eastAsia="宋体" w:cs="宋体"/>
          <w:color w:val="auto"/>
          <w:sz w:val="24"/>
          <w:szCs w:val="24"/>
          <w:highlight w:val="none"/>
          <w:lang w:eastAsia="zh-CN"/>
        </w:rPr>
        <w:t>不与其它</w:t>
      </w:r>
      <w:r>
        <w:rPr>
          <w:rFonts w:hint="eastAsia" w:ascii="宋体" w:hAnsi="宋体" w:eastAsia="宋体" w:cs="宋体"/>
          <w:color w:val="auto"/>
          <w:sz w:val="24"/>
          <w:szCs w:val="24"/>
          <w:highlight w:val="none"/>
        </w:rPr>
        <w:t>单位围标、串标，不出让</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资格，不采取不正当手段诋毁、排挤其他</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，不向采购人、采购代理机构、评标委员会成员行贿</w:t>
      </w:r>
      <w:r>
        <w:rPr>
          <w:rFonts w:hint="eastAsia" w:ascii="宋体" w:hAnsi="宋体" w:eastAsia="宋体" w:cs="宋体"/>
          <w:color w:val="auto"/>
          <w:sz w:val="24"/>
          <w:szCs w:val="24"/>
          <w:highlight w:val="none"/>
          <w:lang w:eastAsia="zh-CN"/>
        </w:rPr>
        <w:t>；</w:t>
      </w:r>
    </w:p>
    <w:p w14:paraId="0E46452C">
      <w:pPr>
        <w:pStyle w:val="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我公司参加政府采购活动近3年内，在经营活动中没有重大违法记录</w:t>
      </w:r>
      <w:r>
        <w:rPr>
          <w:rFonts w:hint="eastAsia" w:ascii="宋体" w:hAnsi="宋体" w:eastAsia="宋体" w:cs="宋体"/>
          <w:color w:val="auto"/>
          <w:sz w:val="24"/>
          <w:szCs w:val="24"/>
          <w:highlight w:val="none"/>
          <w:lang w:eastAsia="zh-CN"/>
        </w:rPr>
        <w:t>；</w:t>
      </w:r>
    </w:p>
    <w:p w14:paraId="383F9BA8">
      <w:pPr>
        <w:pStyle w:val="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我公司参加本次公开招标项目为非联合体。</w:t>
      </w:r>
    </w:p>
    <w:p w14:paraId="5C605106">
      <w:pPr>
        <w:pStyle w:val="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8.无与我公司单位负责人为同一人或者存在直接控股、管理关系的不同供应商。无为采购项目提供整体设计、规范编制或者项目管理、监理、检测等服务的供应商。</w:t>
      </w:r>
    </w:p>
    <w:p w14:paraId="7CF49FEF">
      <w:pPr>
        <w:pStyle w:val="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以上声明若有违反，一经查实，我公司愿意接受政府有关部门的相应处罚，并愿意承担由此带来的法律后果。</w:t>
      </w:r>
    </w:p>
    <w:p w14:paraId="3346F860">
      <w:pPr>
        <w:pStyle w:val="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14:paraId="5CB2D18F">
      <w:pPr>
        <w:pStyle w:val="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0"/>
        <w:jc w:val="both"/>
        <w:textAlignment w:val="auto"/>
        <w:rPr>
          <w:rFonts w:hint="eastAsia" w:ascii="宋体" w:hAnsi="宋体" w:eastAsia="宋体" w:cs="宋体"/>
          <w:color w:val="auto"/>
          <w:sz w:val="24"/>
          <w:szCs w:val="24"/>
          <w:highlight w:val="none"/>
        </w:rPr>
      </w:pPr>
    </w:p>
    <w:p w14:paraId="60D69F6C">
      <w:pPr>
        <w:pStyle w:val="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声  明  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盖章）</w:t>
      </w:r>
    </w:p>
    <w:p w14:paraId="095E1E49">
      <w:pPr>
        <w:pStyle w:val="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盖章或签字</w:t>
      </w:r>
      <w:r>
        <w:rPr>
          <w:rFonts w:hint="eastAsia" w:ascii="宋体" w:hAnsi="宋体" w:eastAsia="宋体" w:cs="宋体"/>
          <w:color w:val="auto"/>
          <w:sz w:val="24"/>
          <w:szCs w:val="24"/>
          <w:highlight w:val="none"/>
        </w:rPr>
        <w:t>）</w:t>
      </w:r>
    </w:p>
    <w:p w14:paraId="1555982C">
      <w:pPr>
        <w:pStyle w:val="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73"/>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日      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日</w:t>
      </w:r>
    </w:p>
    <w:p w14:paraId="54B613D2">
      <w:pPr>
        <w:adjustRightInd w:val="0"/>
        <w:snapToGrid w:val="0"/>
        <w:spacing w:line="480" w:lineRule="exact"/>
        <w:ind w:firstLine="480" w:firstLineChars="200"/>
        <w:textAlignment w:val="center"/>
        <w:rPr>
          <w:rFonts w:ascii="宋体" w:hAnsi="宋体" w:cs="宋体"/>
          <w:color w:val="000000" w:themeColor="text1"/>
          <w:sz w:val="24"/>
          <w:szCs w:val="24"/>
          <w14:textFill>
            <w14:solidFill>
              <w14:schemeClr w14:val="tx1"/>
            </w14:solidFill>
          </w14:textFill>
        </w:rPr>
      </w:pPr>
    </w:p>
    <w:bookmarkEnd w:id="72"/>
    <w:p w14:paraId="047A5BB9">
      <w:pPr>
        <w:keepNext/>
        <w:keepLines/>
        <w:spacing w:before="260" w:after="260" w:line="360" w:lineRule="auto"/>
        <w:jc w:val="center"/>
        <w:outlineLvl w:val="1"/>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br w:type="page"/>
      </w:r>
      <w:bookmarkStart w:id="73" w:name="_Toc10575"/>
      <w:bookmarkStart w:id="74" w:name="_Toc3099"/>
    </w:p>
    <w:p w14:paraId="412E9288">
      <w:pPr>
        <w:keepNext/>
        <w:keepLines/>
        <w:spacing w:before="260" w:after="260" w:line="360" w:lineRule="auto"/>
        <w:jc w:val="center"/>
        <w:outlineLvl w:val="1"/>
        <w:rPr>
          <w:rStyle w:val="30"/>
          <w:rFonts w:ascii="宋体" w:hAnsi="宋体" w:eastAsia="宋体" w:cs="宋体"/>
          <w:b w:val="0"/>
          <w:bCs/>
          <w:color w:val="000000" w:themeColor="text1"/>
          <w:sz w:val="30"/>
          <w:szCs w:val="30"/>
          <w14:textFill>
            <w14:solidFill>
              <w14:schemeClr w14:val="tx1"/>
            </w14:solidFill>
          </w14:textFill>
        </w:rPr>
      </w:pPr>
      <w:r>
        <w:rPr>
          <w:rFonts w:hint="eastAsia" w:ascii="宋体" w:hAnsi="宋体" w:cs="宋体"/>
          <w:b/>
          <w:color w:val="000000" w:themeColor="text1"/>
          <w:kern w:val="1"/>
          <w:sz w:val="32"/>
          <w:szCs w:val="32"/>
          <w14:textFill>
            <w14:solidFill>
              <w14:schemeClr w14:val="tx1"/>
            </w14:solidFill>
          </w14:textFill>
        </w:rPr>
        <w:t>六、服务项目实施方案</w:t>
      </w:r>
    </w:p>
    <w:bookmarkEnd w:id="73"/>
    <w:bookmarkEnd w:id="74"/>
    <w:p w14:paraId="1180348D">
      <w:pPr>
        <w:adjustRightInd w:val="0"/>
        <w:snapToGrid w:val="0"/>
        <w:spacing w:line="480" w:lineRule="exact"/>
        <w:jc w:val="center"/>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供应商自行编制（参考评标办法）</w:t>
      </w:r>
    </w:p>
    <w:p w14:paraId="5D98AD72">
      <w:pPr>
        <w:adjustRightInd w:val="0"/>
        <w:snapToGrid w:val="0"/>
        <w:spacing w:line="480" w:lineRule="exact"/>
        <w:ind w:firstLine="960" w:firstLineChars="400"/>
        <w:textAlignment w:val="center"/>
        <w:rPr>
          <w:rFonts w:ascii="宋体" w:hAnsi="宋体" w:cs="宋体"/>
          <w:color w:val="000000" w:themeColor="text1"/>
          <w:sz w:val="24"/>
          <w:szCs w:val="24"/>
          <w14:textFill>
            <w14:solidFill>
              <w14:schemeClr w14:val="tx1"/>
            </w14:solidFill>
          </w14:textFill>
        </w:rPr>
      </w:pPr>
      <w:bookmarkStart w:id="75" w:name="_Toc23087"/>
      <w:bookmarkStart w:id="76" w:name="_Toc10379"/>
    </w:p>
    <w:p w14:paraId="44C8C16D">
      <w:pPr>
        <w:adjustRightInd w:val="0"/>
        <w:snapToGrid w:val="0"/>
        <w:spacing w:line="480" w:lineRule="exact"/>
        <w:ind w:firstLine="960" w:firstLineChars="400"/>
        <w:textAlignment w:val="center"/>
        <w:rPr>
          <w:rFonts w:ascii="宋体" w:hAnsi="宋体" w:cs="宋体"/>
          <w:color w:val="000000" w:themeColor="text1"/>
          <w:sz w:val="24"/>
          <w:szCs w:val="24"/>
          <w14:textFill>
            <w14:solidFill>
              <w14:schemeClr w14:val="tx1"/>
            </w14:solidFill>
          </w14:textFill>
        </w:rPr>
      </w:pPr>
    </w:p>
    <w:p w14:paraId="0FB3F512">
      <w:pPr>
        <w:adjustRightInd w:val="0"/>
        <w:snapToGrid w:val="0"/>
        <w:spacing w:line="480" w:lineRule="exact"/>
        <w:ind w:firstLine="960" w:firstLineChars="400"/>
        <w:textAlignment w:val="center"/>
        <w:rPr>
          <w:rFonts w:ascii="宋体" w:hAnsi="宋体" w:cs="宋体"/>
          <w:color w:val="000000" w:themeColor="text1"/>
          <w:sz w:val="24"/>
          <w:szCs w:val="24"/>
          <w14:textFill>
            <w14:solidFill>
              <w14:schemeClr w14:val="tx1"/>
            </w14:solidFill>
          </w14:textFill>
        </w:rPr>
      </w:pPr>
    </w:p>
    <w:p w14:paraId="4404E5E2">
      <w:pPr>
        <w:adjustRightInd w:val="0"/>
        <w:snapToGrid w:val="0"/>
        <w:spacing w:line="480" w:lineRule="exact"/>
        <w:ind w:firstLine="960" w:firstLineChars="400"/>
        <w:textAlignment w:val="center"/>
        <w:rPr>
          <w:rFonts w:ascii="宋体" w:hAnsi="宋体" w:cs="宋体"/>
          <w:color w:val="000000" w:themeColor="text1"/>
          <w:sz w:val="24"/>
          <w:szCs w:val="24"/>
          <w14:textFill>
            <w14:solidFill>
              <w14:schemeClr w14:val="tx1"/>
            </w14:solidFill>
          </w14:textFill>
        </w:rPr>
      </w:pPr>
    </w:p>
    <w:p w14:paraId="03909EBA">
      <w:pPr>
        <w:adjustRightInd w:val="0"/>
        <w:snapToGrid w:val="0"/>
        <w:spacing w:line="480" w:lineRule="exact"/>
        <w:ind w:firstLine="960" w:firstLineChars="400"/>
        <w:textAlignment w:val="center"/>
        <w:rPr>
          <w:rFonts w:ascii="宋体" w:hAnsi="宋体" w:cs="宋体"/>
          <w:color w:val="000000" w:themeColor="text1"/>
          <w:sz w:val="24"/>
          <w:szCs w:val="24"/>
          <w14:textFill>
            <w14:solidFill>
              <w14:schemeClr w14:val="tx1"/>
            </w14:solidFill>
          </w14:textFill>
        </w:rPr>
      </w:pPr>
    </w:p>
    <w:p w14:paraId="4CE67DE0">
      <w:pPr>
        <w:adjustRightInd w:val="0"/>
        <w:snapToGrid w:val="0"/>
        <w:spacing w:line="480" w:lineRule="exact"/>
        <w:ind w:firstLine="960" w:firstLineChars="400"/>
        <w:textAlignment w:val="center"/>
        <w:rPr>
          <w:rFonts w:ascii="宋体" w:hAnsi="宋体" w:cs="宋体"/>
          <w:color w:val="000000" w:themeColor="text1"/>
          <w:sz w:val="24"/>
          <w:szCs w:val="24"/>
          <w14:textFill>
            <w14:solidFill>
              <w14:schemeClr w14:val="tx1"/>
            </w14:solidFill>
          </w14:textFill>
        </w:rPr>
      </w:pPr>
    </w:p>
    <w:p w14:paraId="38492074">
      <w:pPr>
        <w:adjustRightInd w:val="0"/>
        <w:snapToGrid w:val="0"/>
        <w:spacing w:line="480" w:lineRule="exact"/>
        <w:ind w:firstLine="960" w:firstLineChars="400"/>
        <w:textAlignment w:val="center"/>
        <w:rPr>
          <w:rFonts w:ascii="宋体" w:hAnsi="宋体" w:cs="宋体"/>
          <w:color w:val="000000" w:themeColor="text1"/>
          <w:sz w:val="24"/>
          <w:szCs w:val="24"/>
          <w14:textFill>
            <w14:solidFill>
              <w14:schemeClr w14:val="tx1"/>
            </w14:solidFill>
          </w14:textFill>
        </w:rPr>
      </w:pPr>
    </w:p>
    <w:p w14:paraId="3E50276F">
      <w:pPr>
        <w:adjustRightInd w:val="0"/>
        <w:snapToGrid w:val="0"/>
        <w:spacing w:line="480" w:lineRule="exact"/>
        <w:ind w:firstLine="960" w:firstLineChars="400"/>
        <w:textAlignment w:val="center"/>
        <w:rPr>
          <w:rFonts w:ascii="宋体" w:hAnsi="宋体" w:cs="宋体"/>
          <w:color w:val="000000" w:themeColor="text1"/>
          <w:sz w:val="24"/>
          <w:szCs w:val="24"/>
          <w14:textFill>
            <w14:solidFill>
              <w14:schemeClr w14:val="tx1"/>
            </w14:solidFill>
          </w14:textFill>
        </w:rPr>
      </w:pPr>
    </w:p>
    <w:p w14:paraId="3521DCEB">
      <w:pPr>
        <w:adjustRightInd w:val="0"/>
        <w:snapToGrid w:val="0"/>
        <w:spacing w:line="480" w:lineRule="exact"/>
        <w:ind w:firstLine="960" w:firstLineChars="400"/>
        <w:textAlignment w:val="center"/>
        <w:rPr>
          <w:rFonts w:ascii="宋体" w:hAnsi="宋体" w:cs="宋体"/>
          <w:color w:val="000000" w:themeColor="text1"/>
          <w:sz w:val="24"/>
          <w:szCs w:val="24"/>
          <w14:textFill>
            <w14:solidFill>
              <w14:schemeClr w14:val="tx1"/>
            </w14:solidFill>
          </w14:textFill>
        </w:rPr>
      </w:pPr>
    </w:p>
    <w:p w14:paraId="690E7B4D">
      <w:pPr>
        <w:adjustRightInd w:val="0"/>
        <w:snapToGrid w:val="0"/>
        <w:spacing w:line="480" w:lineRule="exact"/>
        <w:ind w:firstLine="960" w:firstLineChars="400"/>
        <w:textAlignment w:val="center"/>
        <w:rPr>
          <w:rFonts w:ascii="宋体" w:hAnsi="宋体" w:cs="宋体"/>
          <w:color w:val="000000" w:themeColor="text1"/>
          <w:sz w:val="24"/>
          <w:szCs w:val="24"/>
          <w14:textFill>
            <w14:solidFill>
              <w14:schemeClr w14:val="tx1"/>
            </w14:solidFill>
          </w14:textFill>
        </w:rPr>
      </w:pPr>
    </w:p>
    <w:p w14:paraId="0775504C">
      <w:pPr>
        <w:adjustRightInd w:val="0"/>
        <w:snapToGrid w:val="0"/>
        <w:spacing w:line="480" w:lineRule="exact"/>
        <w:ind w:firstLine="960" w:firstLineChars="400"/>
        <w:textAlignment w:val="center"/>
        <w:rPr>
          <w:rFonts w:ascii="宋体" w:hAnsi="宋体" w:cs="宋体"/>
          <w:color w:val="000000" w:themeColor="text1"/>
          <w:sz w:val="24"/>
          <w:szCs w:val="24"/>
          <w14:textFill>
            <w14:solidFill>
              <w14:schemeClr w14:val="tx1"/>
            </w14:solidFill>
          </w14:textFill>
        </w:rPr>
      </w:pPr>
    </w:p>
    <w:p w14:paraId="4BDA25D3">
      <w:pPr>
        <w:adjustRightInd w:val="0"/>
        <w:snapToGrid w:val="0"/>
        <w:spacing w:line="480" w:lineRule="exact"/>
        <w:ind w:firstLine="960" w:firstLineChars="400"/>
        <w:textAlignment w:val="center"/>
        <w:rPr>
          <w:rFonts w:ascii="宋体" w:hAnsi="宋体" w:cs="宋体"/>
          <w:color w:val="000000" w:themeColor="text1"/>
          <w:sz w:val="24"/>
          <w:szCs w:val="24"/>
          <w14:textFill>
            <w14:solidFill>
              <w14:schemeClr w14:val="tx1"/>
            </w14:solidFill>
          </w14:textFill>
        </w:rPr>
      </w:pPr>
    </w:p>
    <w:p w14:paraId="7F39EF51">
      <w:pPr>
        <w:adjustRightInd w:val="0"/>
        <w:snapToGrid w:val="0"/>
        <w:spacing w:line="480" w:lineRule="exact"/>
        <w:ind w:firstLine="960" w:firstLineChars="400"/>
        <w:textAlignment w:val="center"/>
        <w:rPr>
          <w:rFonts w:ascii="宋体" w:hAnsi="宋体" w:cs="宋体"/>
          <w:color w:val="000000" w:themeColor="text1"/>
          <w:sz w:val="24"/>
          <w:szCs w:val="24"/>
          <w14:textFill>
            <w14:solidFill>
              <w14:schemeClr w14:val="tx1"/>
            </w14:solidFill>
          </w14:textFill>
        </w:rPr>
      </w:pPr>
    </w:p>
    <w:p w14:paraId="7C0AC8FF">
      <w:pPr>
        <w:adjustRightInd w:val="0"/>
        <w:snapToGrid w:val="0"/>
        <w:spacing w:line="480" w:lineRule="exact"/>
        <w:ind w:firstLine="960" w:firstLineChars="400"/>
        <w:textAlignment w:val="center"/>
        <w:rPr>
          <w:rFonts w:ascii="宋体" w:hAnsi="宋体" w:cs="宋体"/>
          <w:color w:val="000000" w:themeColor="text1"/>
          <w:sz w:val="24"/>
          <w:szCs w:val="24"/>
          <w14:textFill>
            <w14:solidFill>
              <w14:schemeClr w14:val="tx1"/>
            </w14:solidFill>
          </w14:textFill>
        </w:rPr>
      </w:pPr>
    </w:p>
    <w:p w14:paraId="44177D46">
      <w:pPr>
        <w:adjustRightInd w:val="0"/>
        <w:snapToGrid w:val="0"/>
        <w:spacing w:line="480" w:lineRule="exact"/>
        <w:ind w:firstLine="960" w:firstLineChars="400"/>
        <w:textAlignment w:val="center"/>
        <w:rPr>
          <w:rFonts w:ascii="宋体" w:hAnsi="宋体" w:cs="宋体"/>
          <w:color w:val="000000" w:themeColor="text1"/>
          <w:sz w:val="24"/>
          <w:szCs w:val="24"/>
          <w14:textFill>
            <w14:solidFill>
              <w14:schemeClr w14:val="tx1"/>
            </w14:solidFill>
          </w14:textFill>
        </w:rPr>
      </w:pPr>
    </w:p>
    <w:p w14:paraId="268AEDAA">
      <w:pPr>
        <w:adjustRightInd w:val="0"/>
        <w:snapToGrid w:val="0"/>
        <w:spacing w:line="480" w:lineRule="exact"/>
        <w:ind w:firstLine="960" w:firstLineChars="400"/>
        <w:textAlignment w:val="center"/>
        <w:rPr>
          <w:rFonts w:ascii="宋体" w:hAnsi="宋体" w:cs="宋体"/>
          <w:color w:val="000000" w:themeColor="text1"/>
          <w:sz w:val="24"/>
          <w:szCs w:val="24"/>
          <w14:textFill>
            <w14:solidFill>
              <w14:schemeClr w14:val="tx1"/>
            </w14:solidFill>
          </w14:textFill>
        </w:rPr>
      </w:pPr>
    </w:p>
    <w:p w14:paraId="30EFF310">
      <w:pPr>
        <w:adjustRightInd w:val="0"/>
        <w:snapToGrid w:val="0"/>
        <w:spacing w:line="480" w:lineRule="exact"/>
        <w:ind w:firstLine="960" w:firstLineChars="400"/>
        <w:textAlignment w:val="center"/>
        <w:rPr>
          <w:rFonts w:ascii="宋体" w:hAnsi="宋体" w:cs="宋体"/>
          <w:color w:val="000000" w:themeColor="text1"/>
          <w:sz w:val="24"/>
          <w:szCs w:val="24"/>
          <w14:textFill>
            <w14:solidFill>
              <w14:schemeClr w14:val="tx1"/>
            </w14:solidFill>
          </w14:textFill>
        </w:rPr>
      </w:pPr>
    </w:p>
    <w:p w14:paraId="0F3597A2">
      <w:pPr>
        <w:adjustRightInd w:val="0"/>
        <w:snapToGrid w:val="0"/>
        <w:spacing w:line="480" w:lineRule="exact"/>
        <w:ind w:firstLine="960" w:firstLineChars="400"/>
        <w:textAlignment w:val="center"/>
        <w:rPr>
          <w:rFonts w:ascii="宋体" w:hAnsi="宋体" w:cs="宋体"/>
          <w:color w:val="000000" w:themeColor="text1"/>
          <w:sz w:val="24"/>
          <w:szCs w:val="24"/>
          <w14:textFill>
            <w14:solidFill>
              <w14:schemeClr w14:val="tx1"/>
            </w14:solidFill>
          </w14:textFill>
        </w:rPr>
      </w:pPr>
    </w:p>
    <w:p w14:paraId="0EF81EC1">
      <w:pPr>
        <w:adjustRightInd w:val="0"/>
        <w:snapToGrid w:val="0"/>
        <w:spacing w:line="480" w:lineRule="exact"/>
        <w:ind w:firstLine="1280" w:firstLineChars="400"/>
        <w:textAlignment w:val="center"/>
        <w:rPr>
          <w:rFonts w:ascii="宋体" w:hAnsi="宋体" w:cs="宋体"/>
          <w:color w:val="000000" w:themeColor="text1"/>
          <w:sz w:val="32"/>
          <w:szCs w:val="32"/>
          <w14:textFill>
            <w14:solidFill>
              <w14:schemeClr w14:val="tx1"/>
            </w14:solidFill>
          </w14:textFill>
        </w:rPr>
      </w:pPr>
    </w:p>
    <w:p w14:paraId="763A86B2">
      <w:pPr>
        <w:adjustRightInd w:val="0"/>
        <w:snapToGrid w:val="0"/>
        <w:spacing w:line="480" w:lineRule="exact"/>
        <w:ind w:firstLine="1280" w:firstLineChars="400"/>
        <w:textAlignment w:val="center"/>
        <w:rPr>
          <w:rFonts w:ascii="宋体" w:hAnsi="宋体" w:cs="宋体"/>
          <w:color w:val="000000" w:themeColor="text1"/>
          <w:sz w:val="32"/>
          <w:szCs w:val="32"/>
          <w14:textFill>
            <w14:solidFill>
              <w14:schemeClr w14:val="tx1"/>
            </w14:solidFill>
          </w14:textFill>
        </w:rPr>
      </w:pPr>
    </w:p>
    <w:p w14:paraId="7053B6D3">
      <w:pPr>
        <w:adjustRightInd w:val="0"/>
        <w:snapToGrid w:val="0"/>
        <w:spacing w:line="480" w:lineRule="exact"/>
        <w:ind w:firstLine="1280" w:firstLineChars="400"/>
        <w:textAlignment w:val="center"/>
        <w:rPr>
          <w:rFonts w:ascii="宋体" w:hAnsi="宋体" w:cs="宋体"/>
          <w:color w:val="000000" w:themeColor="text1"/>
          <w:sz w:val="32"/>
          <w:szCs w:val="32"/>
          <w14:textFill>
            <w14:solidFill>
              <w14:schemeClr w14:val="tx1"/>
            </w14:solidFill>
          </w14:textFill>
        </w:rPr>
      </w:pPr>
    </w:p>
    <w:p w14:paraId="2E5F6B23">
      <w:pPr>
        <w:adjustRightInd w:val="0"/>
        <w:snapToGrid w:val="0"/>
        <w:spacing w:line="480" w:lineRule="exact"/>
        <w:ind w:firstLine="1280" w:firstLineChars="400"/>
        <w:textAlignment w:val="center"/>
        <w:rPr>
          <w:rFonts w:ascii="宋体" w:hAnsi="宋体" w:cs="宋体"/>
          <w:color w:val="000000" w:themeColor="text1"/>
          <w:sz w:val="32"/>
          <w:szCs w:val="32"/>
          <w14:textFill>
            <w14:solidFill>
              <w14:schemeClr w14:val="tx1"/>
            </w14:solidFill>
          </w14:textFill>
        </w:rPr>
      </w:pPr>
    </w:p>
    <w:p w14:paraId="66FD1819">
      <w:pPr>
        <w:adjustRightInd w:val="0"/>
        <w:snapToGrid w:val="0"/>
        <w:spacing w:line="480" w:lineRule="exact"/>
        <w:ind w:firstLine="1280" w:firstLineChars="400"/>
        <w:textAlignment w:val="center"/>
        <w:rPr>
          <w:rFonts w:ascii="宋体" w:hAnsi="宋体" w:cs="宋体"/>
          <w:color w:val="000000" w:themeColor="text1"/>
          <w:sz w:val="32"/>
          <w:szCs w:val="32"/>
          <w14:textFill>
            <w14:solidFill>
              <w14:schemeClr w14:val="tx1"/>
            </w14:solidFill>
          </w14:textFill>
        </w:rPr>
      </w:pPr>
    </w:p>
    <w:bookmarkEnd w:id="75"/>
    <w:bookmarkEnd w:id="76"/>
    <w:p w14:paraId="72197427">
      <w:pPr>
        <w:widowControl/>
        <w:spacing w:line="360" w:lineRule="auto"/>
        <w:jc w:val="center"/>
        <w:rPr>
          <w:rFonts w:ascii="宋体" w:hAnsi="宋体" w:cs="宋体"/>
          <w:b/>
          <w:bCs/>
          <w:color w:val="000000" w:themeColor="text1"/>
          <w:sz w:val="28"/>
          <w:szCs w:val="28"/>
          <w14:textFill>
            <w14:solidFill>
              <w14:schemeClr w14:val="tx1"/>
            </w14:solidFill>
          </w14:textFill>
        </w:rPr>
      </w:pPr>
    </w:p>
    <w:p w14:paraId="46AEDA80">
      <w:pPr>
        <w:adjustRightInd w:val="0"/>
        <w:snapToGrid w:val="0"/>
        <w:spacing w:line="480" w:lineRule="exact"/>
        <w:jc w:val="center"/>
        <w:textAlignment w:val="center"/>
        <w:rPr>
          <w:rFonts w:ascii="宋体" w:hAnsi="宋体" w:cs="宋体"/>
          <w:b/>
          <w:color w:val="000000" w:themeColor="text1"/>
          <w:kern w:val="1"/>
          <w:sz w:val="32"/>
          <w:szCs w:val="32"/>
          <w14:textFill>
            <w14:solidFill>
              <w14:schemeClr w14:val="tx1"/>
            </w14:solidFill>
          </w14:textFill>
        </w:rPr>
      </w:pPr>
      <w:bookmarkStart w:id="77" w:name="OLE_LINK11"/>
      <w:r>
        <w:rPr>
          <w:rFonts w:hint="eastAsia" w:ascii="宋体" w:hAnsi="宋体" w:cs="宋体"/>
          <w:b/>
          <w:bCs/>
          <w:color w:val="000000" w:themeColor="text1"/>
          <w:kern w:val="0"/>
          <w:sz w:val="32"/>
          <w:szCs w:val="32"/>
          <w14:textFill>
            <w14:solidFill>
              <w14:schemeClr w14:val="tx1"/>
            </w14:solidFill>
          </w14:textFill>
        </w:rPr>
        <w:br w:type="page"/>
      </w:r>
      <w:bookmarkStart w:id="78" w:name="_Toc22181"/>
      <w:bookmarkStart w:id="79" w:name="_Toc32612"/>
      <w:r>
        <w:rPr>
          <w:rFonts w:hint="eastAsia" w:ascii="宋体" w:hAnsi="宋体" w:cs="宋体"/>
          <w:b/>
          <w:color w:val="000000" w:themeColor="text1"/>
          <w:kern w:val="1"/>
          <w:sz w:val="32"/>
          <w:szCs w:val="32"/>
          <w14:textFill>
            <w14:solidFill>
              <w14:schemeClr w14:val="tx1"/>
            </w14:solidFill>
          </w14:textFill>
        </w:rPr>
        <w:t>七、供应商拒绝政府采购领域商业贿赂承诺书</w:t>
      </w:r>
      <w:bookmarkEnd w:id="77"/>
      <w:bookmarkEnd w:id="78"/>
      <w:bookmarkEnd w:id="79"/>
    </w:p>
    <w:p w14:paraId="6D59C158">
      <w:pPr>
        <w:widowControl/>
        <w:spacing w:line="520" w:lineRule="exact"/>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为响应党中央、国务院关于治理政府采购领域商业贿赂行为的号召，我单位在此庄严承诺：</w:t>
      </w:r>
    </w:p>
    <w:p w14:paraId="50840579">
      <w:pPr>
        <w:widowControl/>
        <w:spacing w:line="520" w:lineRule="exact"/>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1.在参与政府采购活动中遵纪守法、诚信经营、公平竞标。</w:t>
      </w:r>
    </w:p>
    <w:p w14:paraId="51963A95">
      <w:pPr>
        <w:widowControl/>
        <w:spacing w:line="520" w:lineRule="exact"/>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2.不向政府采购人、采购代理机构和政府采购评审专家进行任何形式的商业贿赂以谋取交易机会。</w:t>
      </w:r>
    </w:p>
    <w:p w14:paraId="21595521">
      <w:pPr>
        <w:widowControl/>
        <w:spacing w:line="520" w:lineRule="exact"/>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3.不向政府采购代理机构和采购人提供虚假资质文件或采用虚假应标方式参与政府采购市场竞争并谋取中标、成交。</w:t>
      </w:r>
    </w:p>
    <w:p w14:paraId="115DDE8E">
      <w:pPr>
        <w:widowControl/>
        <w:spacing w:line="520" w:lineRule="exact"/>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4.不采取“围标、陪标”等商业欺诈手段获得政府采购定单。</w:t>
      </w:r>
    </w:p>
    <w:p w14:paraId="19041048">
      <w:pPr>
        <w:widowControl/>
        <w:spacing w:line="520" w:lineRule="exact"/>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5.不采取不正当手段诋毁、排挤其他供应商。</w:t>
      </w:r>
    </w:p>
    <w:p w14:paraId="7C7817AA">
      <w:pPr>
        <w:widowControl/>
        <w:spacing w:line="520" w:lineRule="exact"/>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6.不在提供商品和服务时“偷梁换柱、以次充好”损害采购人的合法权益。</w:t>
      </w:r>
    </w:p>
    <w:p w14:paraId="770DE64D">
      <w:pPr>
        <w:widowControl/>
        <w:spacing w:line="520" w:lineRule="exact"/>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7.不与采购人、采购代理机构</w:t>
      </w:r>
      <w:r>
        <w:rPr>
          <w:rFonts w:hint="eastAsia" w:ascii="宋体" w:hAnsi="宋体" w:cs="宋体"/>
          <w:color w:val="000000" w:themeColor="text1"/>
          <w:kern w:val="0"/>
          <w:sz w:val="24"/>
          <w:szCs w:val="24"/>
          <w:lang w:eastAsia="zh-CN"/>
          <w14:textFill>
            <w14:solidFill>
              <w14:schemeClr w14:val="tx1"/>
            </w14:solidFill>
          </w14:textFill>
        </w:rPr>
        <w:t>、政府</w:t>
      </w:r>
      <w:r>
        <w:rPr>
          <w:rFonts w:hint="eastAsia" w:ascii="宋体" w:hAnsi="宋体" w:cs="宋体"/>
          <w:color w:val="000000" w:themeColor="text1"/>
          <w:kern w:val="0"/>
          <w:sz w:val="24"/>
          <w:szCs w:val="24"/>
          <w14:textFill>
            <w14:solidFill>
              <w14:schemeClr w14:val="tx1"/>
            </w14:solidFill>
          </w14:textFill>
        </w:rPr>
        <w:t>采购评审专家或</w:t>
      </w:r>
      <w:r>
        <w:rPr>
          <w:rFonts w:hint="eastAsia" w:ascii="宋体" w:hAnsi="宋体" w:cs="宋体"/>
          <w:color w:val="000000" w:themeColor="text1"/>
          <w:kern w:val="0"/>
          <w:sz w:val="24"/>
          <w:szCs w:val="24"/>
          <w:lang w:eastAsia="zh-CN"/>
          <w14:textFill>
            <w14:solidFill>
              <w14:schemeClr w14:val="tx1"/>
            </w14:solidFill>
          </w14:textFill>
        </w:rPr>
        <w:t>其他</w:t>
      </w:r>
      <w:r>
        <w:rPr>
          <w:rFonts w:hint="eastAsia" w:ascii="宋体" w:hAnsi="宋体" w:cs="宋体"/>
          <w:color w:val="000000" w:themeColor="text1"/>
          <w:kern w:val="0"/>
          <w:sz w:val="24"/>
          <w:szCs w:val="24"/>
          <w14:textFill>
            <w14:solidFill>
              <w14:schemeClr w14:val="tx1"/>
            </w14:solidFill>
          </w14:textFill>
        </w:rPr>
        <w:t>供应商恶意串通，进行质疑和投诉，</w:t>
      </w:r>
      <w:r>
        <w:rPr>
          <w:rFonts w:hint="eastAsia" w:ascii="宋体" w:hAnsi="宋体" w:cs="宋体"/>
          <w:color w:val="000000" w:themeColor="text1"/>
          <w:kern w:val="0"/>
          <w:sz w:val="24"/>
          <w:szCs w:val="24"/>
          <w:lang w:eastAsia="zh-CN"/>
          <w14:textFill>
            <w14:solidFill>
              <w14:schemeClr w14:val="tx1"/>
            </w14:solidFill>
          </w14:textFill>
        </w:rPr>
        <w:t>扰乱</w:t>
      </w:r>
      <w:r>
        <w:rPr>
          <w:rFonts w:hint="eastAsia" w:ascii="宋体" w:hAnsi="宋体" w:cs="宋体"/>
          <w:color w:val="000000" w:themeColor="text1"/>
          <w:kern w:val="0"/>
          <w:sz w:val="24"/>
          <w:szCs w:val="24"/>
          <w14:textFill>
            <w14:solidFill>
              <w14:schemeClr w14:val="tx1"/>
            </w14:solidFill>
          </w14:textFill>
        </w:rPr>
        <w:t>政府采购市场秩序。</w:t>
      </w:r>
    </w:p>
    <w:p w14:paraId="4B0B405A">
      <w:pPr>
        <w:widowControl/>
        <w:spacing w:line="520" w:lineRule="exact"/>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8.尊重和接受政府采购监督管理部门的监督和政府采购代理机构招标采购要求，承担因违约行为给采购人造成的损失。</w:t>
      </w:r>
    </w:p>
    <w:p w14:paraId="505D045A">
      <w:pPr>
        <w:widowControl/>
        <w:spacing w:line="520" w:lineRule="exact"/>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9.不发生其他有悖于政府采购公开、公平、公正和诚信原则的行为。</w:t>
      </w:r>
    </w:p>
    <w:p w14:paraId="0C837B27">
      <w:pPr>
        <w:widowControl/>
        <w:spacing w:line="520" w:lineRule="exact"/>
        <w:ind w:firstLine="720" w:firstLineChars="3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承诺单位：</w:t>
      </w:r>
      <w:r>
        <w:rPr>
          <w:rFonts w:hint="eastAsia" w:ascii="宋体" w:hAnsi="宋体" w:cs="宋体"/>
          <w:color w:val="000000" w:themeColor="text1"/>
          <w:kern w:val="0"/>
          <w:sz w:val="24"/>
          <w:szCs w:val="24"/>
          <w:u w:val="single"/>
          <w14:textFill>
            <w14:solidFill>
              <w14:schemeClr w14:val="tx1"/>
            </w14:solidFill>
          </w14:textFill>
        </w:rPr>
        <w:t>　　                        　</w:t>
      </w:r>
      <w:r>
        <w:rPr>
          <w:rFonts w:hint="eastAsia" w:ascii="宋体" w:hAnsi="宋体" w:cs="宋体"/>
          <w:color w:val="000000" w:themeColor="text1"/>
          <w:kern w:val="0"/>
          <w:sz w:val="24"/>
          <w:szCs w:val="24"/>
          <w14:textFill>
            <w14:solidFill>
              <w14:schemeClr w14:val="tx1"/>
            </w14:solidFill>
          </w14:textFill>
        </w:rPr>
        <w:t>（盖章）</w:t>
      </w:r>
    </w:p>
    <w:p w14:paraId="5A148BA0">
      <w:pPr>
        <w:widowControl/>
        <w:spacing w:line="520" w:lineRule="exact"/>
        <w:ind w:firstLine="720" w:firstLineChars="3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全权代表：</w:t>
      </w:r>
      <w:r>
        <w:rPr>
          <w:rFonts w:hint="eastAsia" w:ascii="宋体" w:hAnsi="宋体" w:cs="宋体"/>
          <w:color w:val="000000" w:themeColor="text1"/>
          <w:kern w:val="0"/>
          <w:sz w:val="24"/>
          <w:szCs w:val="24"/>
          <w:u w:val="single"/>
          <w14:textFill>
            <w14:solidFill>
              <w14:schemeClr w14:val="tx1"/>
            </w14:solidFill>
          </w14:textFill>
        </w:rPr>
        <w:t>　　　　　     　　　       　</w:t>
      </w:r>
      <w:r>
        <w:rPr>
          <w:rFonts w:hint="eastAsia" w:ascii="宋体" w:hAnsi="宋体" w:cs="宋体"/>
          <w:color w:val="000000" w:themeColor="text1"/>
          <w:kern w:val="0"/>
          <w:sz w:val="24"/>
          <w:szCs w:val="24"/>
          <w14:textFill>
            <w14:solidFill>
              <w14:schemeClr w14:val="tx1"/>
            </w14:solidFill>
          </w14:textFill>
        </w:rPr>
        <w:t>（签字）</w:t>
      </w:r>
    </w:p>
    <w:p w14:paraId="741D6EAA">
      <w:pPr>
        <w:widowControl/>
        <w:spacing w:line="520" w:lineRule="exact"/>
        <w:ind w:firstLine="720" w:firstLineChars="3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地　　址：</w:t>
      </w:r>
      <w:r>
        <w:rPr>
          <w:rFonts w:hint="eastAsia" w:ascii="宋体" w:hAnsi="宋体" w:cs="宋体"/>
          <w:color w:val="000000" w:themeColor="text1"/>
          <w:kern w:val="0"/>
          <w:sz w:val="24"/>
          <w:szCs w:val="24"/>
          <w:u w:val="single"/>
          <w14:textFill>
            <w14:solidFill>
              <w14:schemeClr w14:val="tx1"/>
            </w14:solidFill>
          </w14:textFill>
        </w:rPr>
        <w:t xml:space="preserve">                              </w:t>
      </w:r>
      <w:r>
        <w:rPr>
          <w:rFonts w:hint="eastAsia" w:ascii="宋体" w:hAnsi="宋体" w:cs="宋体"/>
          <w:color w:val="000000" w:themeColor="text1"/>
          <w:kern w:val="0"/>
          <w:sz w:val="24"/>
          <w:szCs w:val="24"/>
          <w14:textFill>
            <w14:solidFill>
              <w14:schemeClr w14:val="tx1"/>
            </w14:solidFill>
          </w14:textFill>
        </w:rPr>
        <w:t xml:space="preserve"> </w:t>
      </w:r>
    </w:p>
    <w:p w14:paraId="58A4E6F6">
      <w:pPr>
        <w:widowControl/>
        <w:spacing w:line="520" w:lineRule="exact"/>
        <w:ind w:firstLine="720" w:firstLineChars="300"/>
        <w:jc w:val="left"/>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邮    编：</w:t>
      </w:r>
      <w:r>
        <w:rPr>
          <w:rFonts w:hint="eastAsia" w:ascii="宋体" w:hAnsi="宋体" w:cs="宋体"/>
          <w:color w:val="000000" w:themeColor="text1"/>
          <w:kern w:val="0"/>
          <w:sz w:val="24"/>
          <w:szCs w:val="24"/>
          <w:u w:val="single"/>
          <w14:textFill>
            <w14:solidFill>
              <w14:schemeClr w14:val="tx1"/>
            </w14:solidFill>
          </w14:textFill>
        </w:rPr>
        <w:t xml:space="preserve">　　                     　　 </w:t>
      </w:r>
    </w:p>
    <w:p w14:paraId="36E9839A">
      <w:pPr>
        <w:widowControl/>
        <w:spacing w:line="520" w:lineRule="exact"/>
        <w:ind w:firstLine="720" w:firstLineChars="300"/>
        <w:jc w:val="left"/>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电    话：</w:t>
      </w:r>
      <w:r>
        <w:rPr>
          <w:rFonts w:hint="eastAsia" w:ascii="宋体" w:hAnsi="宋体" w:cs="宋体"/>
          <w:color w:val="000000" w:themeColor="text1"/>
          <w:kern w:val="0"/>
          <w:sz w:val="24"/>
          <w:szCs w:val="24"/>
          <w:u w:val="single"/>
          <w14:textFill>
            <w14:solidFill>
              <w14:schemeClr w14:val="tx1"/>
            </w14:solidFill>
          </w14:textFill>
        </w:rPr>
        <w:t>　　　                　　　　</w:t>
      </w:r>
    </w:p>
    <w:p w14:paraId="7DC3A2CC">
      <w:pPr>
        <w:widowControl/>
        <w:spacing w:line="520" w:lineRule="exact"/>
        <w:ind w:firstLine="720" w:firstLineChars="300"/>
        <w:jc w:val="left"/>
        <w:rPr>
          <w:rFonts w:ascii="宋体" w:hAnsi="宋体" w:cs="宋体"/>
          <w:color w:val="000000" w:themeColor="text1"/>
          <w:kern w:val="0"/>
          <w:sz w:val="24"/>
          <w:szCs w:val="24"/>
          <w14:textFill>
            <w14:solidFill>
              <w14:schemeClr w14:val="tx1"/>
            </w14:solidFill>
          </w14:textFill>
        </w:rPr>
      </w:pPr>
    </w:p>
    <w:p w14:paraId="0B26D89E">
      <w:pPr>
        <w:widowControl/>
        <w:spacing w:line="520" w:lineRule="exact"/>
        <w:ind w:firstLine="960" w:firstLineChars="4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                         　　　　 年　　月　　日</w:t>
      </w:r>
    </w:p>
    <w:p w14:paraId="44780ECC">
      <w:pPr>
        <w:widowControl/>
        <w:rPr>
          <w:rFonts w:ascii="宋体" w:hAnsi="宋体"/>
          <w:b/>
          <w:color w:val="000000" w:themeColor="text1"/>
          <w:sz w:val="28"/>
          <w:szCs w:val="28"/>
          <w14:textFill>
            <w14:solidFill>
              <w14:schemeClr w14:val="tx1"/>
            </w14:solidFill>
          </w14:textFill>
        </w:rPr>
      </w:pPr>
      <w:bookmarkStart w:id="80" w:name="_Toc1373"/>
    </w:p>
    <w:p w14:paraId="707DCCCA">
      <w:pPr>
        <w:keepNext/>
        <w:keepLines/>
        <w:spacing w:before="260" w:after="260" w:line="360" w:lineRule="auto"/>
        <w:jc w:val="center"/>
        <w:outlineLvl w:val="1"/>
        <w:rPr>
          <w:rFonts w:ascii="宋体" w:hAnsi="宋体" w:cs="宋体"/>
          <w:b/>
          <w:color w:val="000000" w:themeColor="text1"/>
          <w:kern w:val="1"/>
          <w:sz w:val="32"/>
          <w:szCs w:val="32"/>
          <w14:textFill>
            <w14:solidFill>
              <w14:schemeClr w14:val="tx1"/>
            </w14:solidFill>
          </w14:textFill>
        </w:rPr>
      </w:pPr>
      <w:r>
        <w:rPr>
          <w:rFonts w:hint="eastAsia" w:ascii="宋体" w:hAnsi="宋体" w:cs="宋体"/>
          <w:b/>
          <w:color w:val="000000" w:themeColor="text1"/>
          <w:kern w:val="1"/>
          <w:sz w:val="32"/>
          <w:szCs w:val="32"/>
          <w14:textFill>
            <w14:solidFill>
              <w14:schemeClr w14:val="tx1"/>
            </w14:solidFill>
          </w14:textFill>
        </w:rPr>
        <w:t>八、投标商认为需要提供的其他资料</w:t>
      </w:r>
    </w:p>
    <w:p w14:paraId="65300CCF">
      <w:pPr>
        <w:widowControl/>
        <w:jc w:val="center"/>
        <w:rPr>
          <w:rFonts w:ascii="宋体" w:hAnsi="宋体"/>
          <w:b/>
          <w:color w:val="000000" w:themeColor="text1"/>
          <w:sz w:val="28"/>
          <w:szCs w:val="28"/>
          <w14:textFill>
            <w14:solidFill>
              <w14:schemeClr w14:val="tx1"/>
            </w14:solidFill>
          </w14:textFill>
        </w:rPr>
      </w:pPr>
    </w:p>
    <w:p w14:paraId="44DF0BFA">
      <w:pPr>
        <w:widowControl/>
        <w:jc w:val="center"/>
        <w:rPr>
          <w:rFonts w:ascii="宋体" w:hAnsi="宋体"/>
          <w:b/>
          <w:color w:val="000000" w:themeColor="text1"/>
          <w:sz w:val="28"/>
          <w:szCs w:val="28"/>
          <w14:textFill>
            <w14:solidFill>
              <w14:schemeClr w14:val="tx1"/>
            </w14:solidFill>
          </w14:textFill>
        </w:rPr>
      </w:pPr>
    </w:p>
    <w:p w14:paraId="767DA1E1">
      <w:pPr>
        <w:widowControl/>
        <w:jc w:val="center"/>
        <w:rPr>
          <w:rFonts w:ascii="宋体" w:hAnsi="宋体"/>
          <w:b/>
          <w:color w:val="000000" w:themeColor="text1"/>
          <w:sz w:val="28"/>
          <w:szCs w:val="28"/>
          <w14:textFill>
            <w14:solidFill>
              <w14:schemeClr w14:val="tx1"/>
            </w14:solidFill>
          </w14:textFill>
        </w:rPr>
      </w:pPr>
    </w:p>
    <w:p w14:paraId="2335042B">
      <w:pPr>
        <w:widowControl/>
        <w:jc w:val="center"/>
        <w:rPr>
          <w:rFonts w:ascii="宋体" w:hAnsi="宋体"/>
          <w:b/>
          <w:color w:val="000000" w:themeColor="text1"/>
          <w:sz w:val="28"/>
          <w:szCs w:val="28"/>
          <w14:textFill>
            <w14:solidFill>
              <w14:schemeClr w14:val="tx1"/>
            </w14:solidFill>
          </w14:textFill>
        </w:rPr>
      </w:pPr>
    </w:p>
    <w:p w14:paraId="2D6D2988">
      <w:pPr>
        <w:widowControl/>
        <w:jc w:val="center"/>
        <w:rPr>
          <w:rFonts w:ascii="宋体" w:hAnsi="宋体"/>
          <w:b/>
          <w:color w:val="000000" w:themeColor="text1"/>
          <w:sz w:val="28"/>
          <w:szCs w:val="28"/>
          <w14:textFill>
            <w14:solidFill>
              <w14:schemeClr w14:val="tx1"/>
            </w14:solidFill>
          </w14:textFill>
        </w:rPr>
      </w:pPr>
    </w:p>
    <w:p w14:paraId="6FD1AF1D">
      <w:pPr>
        <w:widowControl/>
        <w:jc w:val="center"/>
        <w:rPr>
          <w:rFonts w:ascii="宋体" w:hAnsi="宋体"/>
          <w:b/>
          <w:color w:val="000000" w:themeColor="text1"/>
          <w:sz w:val="28"/>
          <w:szCs w:val="28"/>
          <w14:textFill>
            <w14:solidFill>
              <w14:schemeClr w14:val="tx1"/>
            </w14:solidFill>
          </w14:textFill>
        </w:rPr>
      </w:pPr>
    </w:p>
    <w:p w14:paraId="2A0D80FC">
      <w:pPr>
        <w:widowControl/>
        <w:jc w:val="center"/>
        <w:rPr>
          <w:rFonts w:ascii="宋体" w:hAnsi="宋体"/>
          <w:b/>
          <w:color w:val="000000" w:themeColor="text1"/>
          <w:sz w:val="28"/>
          <w:szCs w:val="28"/>
          <w14:textFill>
            <w14:solidFill>
              <w14:schemeClr w14:val="tx1"/>
            </w14:solidFill>
          </w14:textFill>
        </w:rPr>
      </w:pPr>
    </w:p>
    <w:p w14:paraId="66FCAC63">
      <w:pPr>
        <w:widowControl/>
        <w:jc w:val="center"/>
        <w:rPr>
          <w:rFonts w:ascii="宋体" w:hAnsi="宋体"/>
          <w:b/>
          <w:color w:val="000000" w:themeColor="text1"/>
          <w:sz w:val="28"/>
          <w:szCs w:val="28"/>
          <w14:textFill>
            <w14:solidFill>
              <w14:schemeClr w14:val="tx1"/>
            </w14:solidFill>
          </w14:textFill>
        </w:rPr>
      </w:pPr>
    </w:p>
    <w:p w14:paraId="5213A61E">
      <w:pPr>
        <w:widowControl/>
        <w:jc w:val="center"/>
        <w:rPr>
          <w:rFonts w:ascii="宋体" w:hAnsi="宋体"/>
          <w:b/>
          <w:color w:val="000000" w:themeColor="text1"/>
          <w:sz w:val="28"/>
          <w:szCs w:val="28"/>
          <w14:textFill>
            <w14:solidFill>
              <w14:schemeClr w14:val="tx1"/>
            </w14:solidFill>
          </w14:textFill>
        </w:rPr>
      </w:pPr>
    </w:p>
    <w:p w14:paraId="5664644A">
      <w:pPr>
        <w:widowControl/>
        <w:jc w:val="center"/>
        <w:rPr>
          <w:rFonts w:ascii="宋体" w:hAnsi="宋体"/>
          <w:b/>
          <w:color w:val="000000" w:themeColor="text1"/>
          <w:sz w:val="28"/>
          <w:szCs w:val="28"/>
          <w14:textFill>
            <w14:solidFill>
              <w14:schemeClr w14:val="tx1"/>
            </w14:solidFill>
          </w14:textFill>
        </w:rPr>
      </w:pPr>
    </w:p>
    <w:p w14:paraId="1A8DD79F">
      <w:pPr>
        <w:widowControl/>
        <w:jc w:val="center"/>
        <w:rPr>
          <w:rFonts w:ascii="宋体" w:hAnsi="宋体"/>
          <w:b/>
          <w:color w:val="000000" w:themeColor="text1"/>
          <w:sz w:val="28"/>
          <w:szCs w:val="28"/>
          <w14:textFill>
            <w14:solidFill>
              <w14:schemeClr w14:val="tx1"/>
            </w14:solidFill>
          </w14:textFill>
        </w:rPr>
      </w:pPr>
    </w:p>
    <w:p w14:paraId="72CE13C7">
      <w:pPr>
        <w:widowControl/>
        <w:jc w:val="center"/>
        <w:rPr>
          <w:rFonts w:ascii="宋体" w:hAnsi="宋体"/>
          <w:b/>
          <w:color w:val="000000" w:themeColor="text1"/>
          <w:sz w:val="28"/>
          <w:szCs w:val="28"/>
          <w14:textFill>
            <w14:solidFill>
              <w14:schemeClr w14:val="tx1"/>
            </w14:solidFill>
          </w14:textFill>
        </w:rPr>
      </w:pPr>
    </w:p>
    <w:p w14:paraId="51EFEC5D">
      <w:pPr>
        <w:widowControl/>
        <w:jc w:val="center"/>
        <w:rPr>
          <w:rFonts w:ascii="宋体" w:hAnsi="宋体"/>
          <w:b/>
          <w:color w:val="000000" w:themeColor="text1"/>
          <w:sz w:val="28"/>
          <w:szCs w:val="28"/>
          <w14:textFill>
            <w14:solidFill>
              <w14:schemeClr w14:val="tx1"/>
            </w14:solidFill>
          </w14:textFill>
        </w:rPr>
      </w:pPr>
    </w:p>
    <w:p w14:paraId="318E0C52">
      <w:pPr>
        <w:widowControl/>
        <w:jc w:val="center"/>
        <w:rPr>
          <w:rFonts w:ascii="宋体" w:hAnsi="宋体"/>
          <w:b/>
          <w:color w:val="000000" w:themeColor="text1"/>
          <w:sz w:val="28"/>
          <w:szCs w:val="28"/>
          <w14:textFill>
            <w14:solidFill>
              <w14:schemeClr w14:val="tx1"/>
            </w14:solidFill>
          </w14:textFill>
        </w:rPr>
      </w:pPr>
    </w:p>
    <w:p w14:paraId="515E7C04">
      <w:pPr>
        <w:widowControl/>
        <w:jc w:val="center"/>
        <w:rPr>
          <w:rFonts w:ascii="宋体" w:hAnsi="宋体"/>
          <w:b/>
          <w:color w:val="000000" w:themeColor="text1"/>
          <w:sz w:val="28"/>
          <w:szCs w:val="28"/>
          <w14:textFill>
            <w14:solidFill>
              <w14:schemeClr w14:val="tx1"/>
            </w14:solidFill>
          </w14:textFill>
        </w:rPr>
      </w:pPr>
    </w:p>
    <w:p w14:paraId="785C5B15">
      <w:pPr>
        <w:widowControl/>
        <w:jc w:val="center"/>
        <w:rPr>
          <w:rFonts w:ascii="宋体" w:hAnsi="宋体"/>
          <w:b/>
          <w:color w:val="000000" w:themeColor="text1"/>
          <w:sz w:val="28"/>
          <w:szCs w:val="28"/>
          <w14:textFill>
            <w14:solidFill>
              <w14:schemeClr w14:val="tx1"/>
            </w14:solidFill>
          </w14:textFill>
        </w:rPr>
      </w:pPr>
    </w:p>
    <w:p w14:paraId="629E54C7">
      <w:pPr>
        <w:widowControl/>
        <w:jc w:val="center"/>
        <w:rPr>
          <w:rFonts w:ascii="宋体" w:hAnsi="宋体"/>
          <w:b/>
          <w:color w:val="000000" w:themeColor="text1"/>
          <w:sz w:val="28"/>
          <w:szCs w:val="28"/>
          <w14:textFill>
            <w14:solidFill>
              <w14:schemeClr w14:val="tx1"/>
            </w14:solidFill>
          </w14:textFill>
        </w:rPr>
      </w:pPr>
    </w:p>
    <w:p w14:paraId="40B26110">
      <w:pPr>
        <w:widowControl/>
        <w:rPr>
          <w:rFonts w:ascii="宋体" w:hAnsi="宋体"/>
          <w:b/>
          <w:color w:val="000000" w:themeColor="text1"/>
          <w:sz w:val="28"/>
          <w:szCs w:val="28"/>
          <w14:textFill>
            <w14:solidFill>
              <w14:schemeClr w14:val="tx1"/>
            </w14:solidFill>
          </w14:textFill>
        </w:rPr>
      </w:pPr>
    </w:p>
    <w:p w14:paraId="306554D1">
      <w:pPr>
        <w:widowControl/>
        <w:jc w:val="center"/>
        <w:rPr>
          <w:rFonts w:ascii="宋体" w:hAnsi="宋体"/>
          <w:b/>
          <w:color w:val="000000" w:themeColor="text1"/>
          <w:sz w:val="28"/>
          <w:szCs w:val="28"/>
          <w14:textFill>
            <w14:solidFill>
              <w14:schemeClr w14:val="tx1"/>
            </w14:solidFill>
          </w14:textFill>
        </w:rPr>
      </w:pPr>
    </w:p>
    <w:p w14:paraId="11A98992">
      <w:pPr>
        <w:widowControl/>
        <w:jc w:val="center"/>
        <w:rPr>
          <w:rFonts w:ascii="宋体" w:hAnsi="宋体"/>
          <w:b/>
          <w:color w:val="000000" w:themeColor="text1"/>
          <w:sz w:val="28"/>
          <w:szCs w:val="28"/>
          <w14:textFill>
            <w14:solidFill>
              <w14:schemeClr w14:val="tx1"/>
            </w14:solidFill>
          </w14:textFill>
        </w:rPr>
      </w:pPr>
    </w:p>
    <w:p w14:paraId="55BC9172">
      <w:pPr>
        <w:widowControl/>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附件1：</w:t>
      </w:r>
      <w:bookmarkEnd w:id="80"/>
      <w:r>
        <w:rPr>
          <w:rFonts w:hint="eastAsia" w:ascii="宋体" w:hAnsi="宋体"/>
          <w:b/>
          <w:color w:val="000000" w:themeColor="text1"/>
          <w:sz w:val="28"/>
          <w:szCs w:val="28"/>
          <w14:textFill>
            <w14:solidFill>
              <w14:schemeClr w14:val="tx1"/>
            </w14:solidFill>
          </w14:textFill>
        </w:rPr>
        <w:t>中小企业声明函（须提供原件）</w:t>
      </w:r>
    </w:p>
    <w:p w14:paraId="596F9DB8">
      <w:pPr>
        <w:widowControl/>
        <w:jc w:val="left"/>
        <w:rPr>
          <w:rFonts w:ascii="宋体" w:hAnsi="宋体" w:cs="宋体"/>
          <w:color w:val="000000" w:themeColor="text1"/>
          <w:sz w:val="24"/>
          <w14:textFill>
            <w14:solidFill>
              <w14:schemeClr w14:val="tx1"/>
            </w14:solidFill>
          </w14:textFill>
        </w:rPr>
      </w:pPr>
    </w:p>
    <w:p w14:paraId="23057806">
      <w:pPr>
        <w:pStyle w:val="10"/>
        <w:spacing w:before="55" w:line="360" w:lineRule="auto"/>
        <w:ind w:firstLine="640"/>
        <w:jc w:val="left"/>
        <w:rPr>
          <w:rFonts w:ascii="宋体" w:hAnsi="宋体" w:cs="宋体"/>
          <w:color w:val="000000" w:themeColor="text1"/>
          <w:spacing w:val="-2"/>
          <w:sz w:val="24"/>
          <w14:textFill>
            <w14:solidFill>
              <w14:schemeClr w14:val="tx1"/>
            </w14:solidFill>
          </w14:textFill>
        </w:rPr>
      </w:pPr>
      <w:r>
        <w:rPr>
          <w:rFonts w:hint="eastAsia" w:ascii="宋体" w:hAnsi="宋体" w:cs="宋体"/>
          <w:color w:val="000000" w:themeColor="text1"/>
          <w:spacing w:val="-2"/>
          <w:sz w:val="24"/>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color w:val="000000" w:themeColor="text1"/>
          <w:spacing w:val="-2"/>
          <w:sz w:val="24"/>
          <w:u w:val="single"/>
          <w14:textFill>
            <w14:solidFill>
              <w14:schemeClr w14:val="tx1"/>
            </w14:solidFill>
          </w14:textFill>
        </w:rPr>
        <w:t>（单位名称）</w:t>
      </w:r>
      <w:r>
        <w:rPr>
          <w:rFonts w:hint="eastAsia" w:ascii="宋体" w:hAnsi="宋体" w:cs="宋体"/>
          <w:color w:val="000000" w:themeColor="text1"/>
          <w:spacing w:val="-2"/>
          <w:sz w:val="24"/>
          <w14:textFill>
            <w14:solidFill>
              <w14:schemeClr w14:val="tx1"/>
            </w14:solidFill>
          </w14:textFill>
        </w:rPr>
        <w:t>的</w:t>
      </w:r>
      <w:r>
        <w:rPr>
          <w:rFonts w:hint="eastAsia" w:ascii="宋体" w:hAnsi="宋体" w:cs="宋体"/>
          <w:color w:val="000000" w:themeColor="text1"/>
          <w:spacing w:val="-2"/>
          <w:sz w:val="24"/>
          <w:u w:val="single"/>
          <w14:textFill>
            <w14:solidFill>
              <w14:schemeClr w14:val="tx1"/>
            </w14:solidFill>
          </w14:textFill>
        </w:rPr>
        <w:t>（项目名称）</w:t>
      </w:r>
      <w:r>
        <w:rPr>
          <w:rFonts w:hint="eastAsia" w:ascii="宋体" w:hAnsi="宋体" w:cs="宋体"/>
          <w:color w:val="000000" w:themeColor="text1"/>
          <w:spacing w:val="-2"/>
          <w:sz w:val="24"/>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29CA01F0">
      <w:pPr>
        <w:pStyle w:val="42"/>
        <w:spacing w:line="360" w:lineRule="auto"/>
        <w:ind w:firstLine="480"/>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w:t>
      </w:r>
      <w:r>
        <w:rPr>
          <w:rFonts w:hint="eastAsia" w:ascii="宋体" w:hAnsi="宋体" w:cs="宋体"/>
          <w:color w:val="000000" w:themeColor="text1"/>
          <w:szCs w:val="24"/>
          <w:u w:val="single"/>
          <w:lang w:val="zh-CN"/>
          <w14:textFill>
            <w14:solidFill>
              <w14:schemeClr w14:val="tx1"/>
            </w14:solidFill>
          </w14:textFill>
        </w:rPr>
        <w:t>（标的名称）</w:t>
      </w:r>
      <w:r>
        <w:rPr>
          <w:rFonts w:hint="eastAsia" w:ascii="宋体" w:hAnsi="宋体" w:cs="宋体"/>
          <w:color w:val="000000" w:themeColor="text1"/>
          <w:szCs w:val="24"/>
          <w14:textFill>
            <w14:solidFill>
              <w14:schemeClr w14:val="tx1"/>
            </w14:solidFill>
          </w14:textFill>
        </w:rPr>
        <w:t>，属于</w:t>
      </w:r>
      <w:r>
        <w:rPr>
          <w:rFonts w:hint="eastAsia" w:ascii="宋体" w:hAnsi="宋体" w:cs="宋体"/>
          <w:color w:val="000000" w:themeColor="text1"/>
          <w:szCs w:val="24"/>
          <w:u w:val="single"/>
          <w:lang w:val="zh-CN"/>
          <w14:textFill>
            <w14:solidFill>
              <w14:schemeClr w14:val="tx1"/>
            </w14:solidFill>
          </w14:textFill>
        </w:rPr>
        <w:t>（采购文件中明确的所属行业）</w:t>
      </w:r>
      <w:r>
        <w:rPr>
          <w:rFonts w:hint="eastAsia" w:ascii="宋体" w:hAnsi="宋体" w:cs="宋体"/>
          <w:color w:val="000000" w:themeColor="text1"/>
          <w:szCs w:val="24"/>
          <w:lang w:val="zh-CN"/>
          <w14:textFill>
            <w14:solidFill>
              <w14:schemeClr w14:val="tx1"/>
            </w14:solidFill>
          </w14:textFill>
        </w:rPr>
        <w:t>；</w:t>
      </w:r>
      <w:r>
        <w:rPr>
          <w:rFonts w:hint="eastAsia" w:ascii="宋体" w:hAnsi="宋体" w:cs="宋体"/>
          <w:color w:val="000000" w:themeColor="text1"/>
          <w:szCs w:val="24"/>
          <w14:textFill>
            <w14:solidFill>
              <w14:schemeClr w14:val="tx1"/>
            </w14:solidFill>
          </w14:textFill>
        </w:rPr>
        <w:t>承建（承接）企业为</w:t>
      </w:r>
      <w:r>
        <w:rPr>
          <w:rFonts w:hint="eastAsia" w:ascii="宋体" w:hAnsi="宋体" w:cs="宋体"/>
          <w:color w:val="000000" w:themeColor="text1"/>
          <w:szCs w:val="24"/>
          <w:u w:val="single"/>
          <w14:textFill>
            <w14:solidFill>
              <w14:schemeClr w14:val="tx1"/>
            </w14:solidFill>
          </w14:textFill>
        </w:rPr>
        <w:t>（企业名称）</w:t>
      </w:r>
      <w:r>
        <w:rPr>
          <w:rFonts w:hint="eastAsia" w:ascii="宋体" w:hAnsi="宋体" w:cs="宋体"/>
          <w:color w:val="000000" w:themeColor="text1"/>
          <w:szCs w:val="24"/>
          <w14:textFill>
            <w14:solidFill>
              <w14:schemeClr w14:val="tx1"/>
            </w14:solidFill>
          </w14:textFill>
        </w:rPr>
        <w:t>，从业人员</w:t>
      </w:r>
      <w:r>
        <w:rPr>
          <w:rFonts w:hint="eastAsia" w:ascii="宋体" w:hAnsi="宋体" w:cs="宋体"/>
          <w:color w:val="000000" w:themeColor="text1"/>
          <w:szCs w:val="24"/>
          <w:u w:val="single"/>
          <w14:textFill>
            <w14:solidFill>
              <w14:schemeClr w14:val="tx1"/>
            </w14:solidFill>
          </w14:textFill>
        </w:rPr>
        <w:t xml:space="preserve">    </w:t>
      </w:r>
      <w:r>
        <w:rPr>
          <w:rFonts w:hint="eastAsia" w:ascii="宋体" w:hAnsi="宋体" w:cs="宋体"/>
          <w:color w:val="000000" w:themeColor="text1"/>
          <w:szCs w:val="24"/>
          <w14:textFill>
            <w14:solidFill>
              <w14:schemeClr w14:val="tx1"/>
            </w14:solidFill>
          </w14:textFill>
        </w:rPr>
        <w:t>人，营业收入为</w:t>
      </w:r>
      <w:r>
        <w:rPr>
          <w:rFonts w:hint="eastAsia" w:ascii="宋体" w:hAnsi="宋体" w:cs="宋体"/>
          <w:color w:val="000000" w:themeColor="text1"/>
          <w:szCs w:val="24"/>
          <w:u w:val="single"/>
          <w14:textFill>
            <w14:solidFill>
              <w14:schemeClr w14:val="tx1"/>
            </w14:solidFill>
          </w14:textFill>
        </w:rPr>
        <w:t xml:space="preserve"> </w:t>
      </w:r>
      <w:r>
        <w:rPr>
          <w:rFonts w:hint="eastAsia" w:ascii="宋体" w:hAnsi="宋体" w:cs="宋体"/>
          <w:color w:val="000000" w:themeColor="text1"/>
          <w:szCs w:val="24"/>
          <w:u w:val="single"/>
          <w14:textFill>
            <w14:solidFill>
              <w14:schemeClr w14:val="tx1"/>
            </w14:solidFill>
          </w14:textFill>
        </w:rPr>
        <w:tab/>
      </w:r>
      <w:r>
        <w:rPr>
          <w:rFonts w:hint="eastAsia" w:ascii="宋体" w:hAnsi="宋体" w:cs="宋体"/>
          <w:color w:val="000000" w:themeColor="text1"/>
          <w:szCs w:val="24"/>
          <w14:textFill>
            <w14:solidFill>
              <w14:schemeClr w14:val="tx1"/>
            </w14:solidFill>
          </w14:textFill>
        </w:rPr>
        <w:t>万元，资产总额为</w:t>
      </w:r>
      <w:r>
        <w:rPr>
          <w:rFonts w:hint="eastAsia" w:ascii="宋体" w:hAnsi="宋体" w:cs="宋体"/>
          <w:color w:val="000000" w:themeColor="text1"/>
          <w:szCs w:val="24"/>
          <w:u w:val="single"/>
          <w14:textFill>
            <w14:solidFill>
              <w14:schemeClr w14:val="tx1"/>
            </w14:solidFill>
          </w14:textFill>
        </w:rPr>
        <w:t xml:space="preserve">   </w:t>
      </w:r>
      <w:r>
        <w:rPr>
          <w:rFonts w:hint="eastAsia" w:ascii="宋体" w:hAnsi="宋体" w:cs="宋体"/>
          <w:color w:val="000000" w:themeColor="text1"/>
          <w:szCs w:val="24"/>
          <w:u w:val="single"/>
          <w14:textFill>
            <w14:solidFill>
              <w14:schemeClr w14:val="tx1"/>
            </w14:solidFill>
          </w14:textFill>
        </w:rPr>
        <w:tab/>
      </w:r>
      <w:r>
        <w:rPr>
          <w:rFonts w:hint="eastAsia" w:ascii="宋体" w:hAnsi="宋体" w:cs="宋体"/>
          <w:color w:val="000000" w:themeColor="text1"/>
          <w:szCs w:val="24"/>
          <w14:textFill>
            <w14:solidFill>
              <w14:schemeClr w14:val="tx1"/>
            </w14:solidFill>
          </w14:textFill>
        </w:rPr>
        <w:t>万元，属于</w:t>
      </w:r>
      <w:r>
        <w:rPr>
          <w:rFonts w:hint="eastAsia" w:ascii="宋体" w:hAnsi="宋体" w:cs="宋体"/>
          <w:color w:val="000000" w:themeColor="text1"/>
          <w:szCs w:val="24"/>
          <w:u w:val="single"/>
          <w14:textFill>
            <w14:solidFill>
              <w14:schemeClr w14:val="tx1"/>
            </w14:solidFill>
          </w14:textFill>
        </w:rPr>
        <w:t>（中型企业、小型企业、微型企业）</w:t>
      </w:r>
      <w:r>
        <w:rPr>
          <w:rFonts w:hint="eastAsia" w:ascii="宋体" w:hAnsi="宋体" w:cs="宋体"/>
          <w:color w:val="000000" w:themeColor="text1"/>
          <w:szCs w:val="24"/>
          <w14:textFill>
            <w14:solidFill>
              <w14:schemeClr w14:val="tx1"/>
            </w14:solidFill>
          </w14:textFill>
        </w:rPr>
        <w:t>；</w:t>
      </w:r>
    </w:p>
    <w:p w14:paraId="074D79BB">
      <w:pPr>
        <w:pStyle w:val="42"/>
        <w:spacing w:line="360" w:lineRule="auto"/>
        <w:ind w:firstLine="480"/>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2.</w:t>
      </w:r>
      <w:r>
        <w:rPr>
          <w:rFonts w:hint="eastAsia" w:ascii="宋体" w:hAnsi="宋体" w:cs="宋体"/>
          <w:color w:val="000000" w:themeColor="text1"/>
          <w:szCs w:val="24"/>
          <w:u w:val="single"/>
          <w:lang w:val="zh-CN"/>
          <w14:textFill>
            <w14:solidFill>
              <w14:schemeClr w14:val="tx1"/>
            </w14:solidFill>
          </w14:textFill>
        </w:rPr>
        <w:t>（标的名称）</w:t>
      </w:r>
      <w:r>
        <w:rPr>
          <w:rFonts w:hint="eastAsia" w:ascii="宋体" w:hAnsi="宋体" w:cs="宋体"/>
          <w:color w:val="000000" w:themeColor="text1"/>
          <w:szCs w:val="24"/>
          <w14:textFill>
            <w14:solidFill>
              <w14:schemeClr w14:val="tx1"/>
            </w14:solidFill>
          </w14:textFill>
        </w:rPr>
        <w:t>，属于</w:t>
      </w:r>
      <w:r>
        <w:rPr>
          <w:rFonts w:hint="eastAsia" w:ascii="宋体" w:hAnsi="宋体" w:cs="宋体"/>
          <w:color w:val="000000" w:themeColor="text1"/>
          <w:szCs w:val="24"/>
          <w:u w:val="single"/>
          <w:lang w:val="zh-CN"/>
          <w14:textFill>
            <w14:solidFill>
              <w14:schemeClr w14:val="tx1"/>
            </w14:solidFill>
          </w14:textFill>
        </w:rPr>
        <w:t>（采购文件中明确的所属行业）</w:t>
      </w:r>
      <w:r>
        <w:rPr>
          <w:rFonts w:hint="eastAsia" w:ascii="宋体" w:hAnsi="宋体" w:cs="宋体"/>
          <w:color w:val="000000" w:themeColor="text1"/>
          <w:szCs w:val="24"/>
          <w:lang w:val="zh-CN"/>
          <w14:textFill>
            <w14:solidFill>
              <w14:schemeClr w14:val="tx1"/>
            </w14:solidFill>
          </w14:textFill>
        </w:rPr>
        <w:t>；</w:t>
      </w:r>
      <w:r>
        <w:rPr>
          <w:rFonts w:hint="eastAsia" w:ascii="宋体" w:hAnsi="宋体" w:cs="宋体"/>
          <w:color w:val="000000" w:themeColor="text1"/>
          <w:szCs w:val="24"/>
          <w14:textFill>
            <w14:solidFill>
              <w14:schemeClr w14:val="tx1"/>
            </w14:solidFill>
          </w14:textFill>
        </w:rPr>
        <w:t>承建（承接）企业为</w:t>
      </w:r>
      <w:r>
        <w:rPr>
          <w:rFonts w:hint="eastAsia" w:ascii="宋体" w:hAnsi="宋体" w:cs="宋体"/>
          <w:color w:val="000000" w:themeColor="text1"/>
          <w:szCs w:val="24"/>
          <w:u w:val="single"/>
          <w14:textFill>
            <w14:solidFill>
              <w14:schemeClr w14:val="tx1"/>
            </w14:solidFill>
          </w14:textFill>
        </w:rPr>
        <w:t>（企业名称）</w:t>
      </w:r>
      <w:r>
        <w:rPr>
          <w:rFonts w:hint="eastAsia" w:ascii="宋体" w:hAnsi="宋体" w:cs="宋体"/>
          <w:color w:val="000000" w:themeColor="text1"/>
          <w:szCs w:val="24"/>
          <w14:textFill>
            <w14:solidFill>
              <w14:schemeClr w14:val="tx1"/>
            </w14:solidFill>
          </w14:textFill>
        </w:rPr>
        <w:t>，从业人员</w:t>
      </w:r>
      <w:r>
        <w:rPr>
          <w:rFonts w:hint="eastAsia" w:ascii="宋体" w:hAnsi="宋体" w:cs="宋体"/>
          <w:color w:val="000000" w:themeColor="text1"/>
          <w:szCs w:val="24"/>
          <w:u w:val="single"/>
          <w14:textFill>
            <w14:solidFill>
              <w14:schemeClr w14:val="tx1"/>
            </w14:solidFill>
          </w14:textFill>
        </w:rPr>
        <w:t xml:space="preserve"> </w:t>
      </w:r>
      <w:r>
        <w:rPr>
          <w:rFonts w:hint="eastAsia" w:ascii="宋体" w:hAnsi="宋体" w:cs="宋体"/>
          <w:color w:val="000000" w:themeColor="text1"/>
          <w:szCs w:val="24"/>
          <w:u w:val="single"/>
          <w14:textFill>
            <w14:solidFill>
              <w14:schemeClr w14:val="tx1"/>
            </w14:solidFill>
          </w14:textFill>
        </w:rPr>
        <w:tab/>
      </w:r>
      <w:r>
        <w:rPr>
          <w:rFonts w:hint="eastAsia" w:ascii="宋体" w:hAnsi="宋体" w:cs="宋体"/>
          <w:color w:val="000000" w:themeColor="text1"/>
          <w:szCs w:val="24"/>
          <w:u w:val="single"/>
          <w14:textFill>
            <w14:solidFill>
              <w14:schemeClr w14:val="tx1"/>
            </w14:solidFill>
          </w14:textFill>
        </w:rPr>
        <w:t xml:space="preserve"> </w:t>
      </w:r>
      <w:r>
        <w:rPr>
          <w:rFonts w:hint="eastAsia" w:ascii="宋体" w:hAnsi="宋体" w:cs="宋体"/>
          <w:color w:val="000000" w:themeColor="text1"/>
          <w:szCs w:val="24"/>
          <w14:textFill>
            <w14:solidFill>
              <w14:schemeClr w14:val="tx1"/>
            </w14:solidFill>
          </w14:textFill>
        </w:rPr>
        <w:t>人，营业收入为</w:t>
      </w:r>
      <w:r>
        <w:rPr>
          <w:rFonts w:hint="eastAsia" w:ascii="宋体" w:hAnsi="宋体" w:cs="宋体"/>
          <w:color w:val="000000" w:themeColor="text1"/>
          <w:szCs w:val="24"/>
          <w:u w:val="single"/>
          <w14:textFill>
            <w14:solidFill>
              <w14:schemeClr w14:val="tx1"/>
            </w14:solidFill>
          </w14:textFill>
        </w:rPr>
        <w:t xml:space="preserve"> </w:t>
      </w:r>
      <w:r>
        <w:rPr>
          <w:rFonts w:hint="eastAsia" w:ascii="宋体" w:hAnsi="宋体" w:cs="宋体"/>
          <w:color w:val="000000" w:themeColor="text1"/>
          <w:szCs w:val="24"/>
          <w:u w:val="single"/>
          <w14:textFill>
            <w14:solidFill>
              <w14:schemeClr w14:val="tx1"/>
            </w14:solidFill>
          </w14:textFill>
        </w:rPr>
        <w:tab/>
      </w:r>
      <w:r>
        <w:rPr>
          <w:rFonts w:hint="eastAsia" w:ascii="宋体" w:hAnsi="宋体" w:cs="宋体"/>
          <w:color w:val="000000" w:themeColor="text1"/>
          <w:szCs w:val="24"/>
          <w:u w:val="single"/>
          <w14:textFill>
            <w14:solidFill>
              <w14:schemeClr w14:val="tx1"/>
            </w14:solidFill>
          </w14:textFill>
        </w:rPr>
        <w:t xml:space="preserve"> </w:t>
      </w:r>
      <w:r>
        <w:rPr>
          <w:rFonts w:hint="eastAsia" w:ascii="宋体" w:hAnsi="宋体" w:cs="宋体"/>
          <w:color w:val="000000" w:themeColor="text1"/>
          <w:szCs w:val="24"/>
          <w14:textFill>
            <w14:solidFill>
              <w14:schemeClr w14:val="tx1"/>
            </w14:solidFill>
          </w14:textFill>
        </w:rPr>
        <w:t>万元，资产总额为</w:t>
      </w:r>
      <w:r>
        <w:rPr>
          <w:rFonts w:hint="eastAsia" w:ascii="宋体" w:hAnsi="宋体" w:cs="宋体"/>
          <w:color w:val="000000" w:themeColor="text1"/>
          <w:szCs w:val="24"/>
          <w:u w:val="single"/>
          <w14:textFill>
            <w14:solidFill>
              <w14:schemeClr w14:val="tx1"/>
            </w14:solidFill>
          </w14:textFill>
        </w:rPr>
        <w:t xml:space="preserve">   </w:t>
      </w:r>
      <w:r>
        <w:rPr>
          <w:rFonts w:hint="eastAsia" w:ascii="宋体" w:hAnsi="宋体" w:cs="宋体"/>
          <w:color w:val="000000" w:themeColor="text1"/>
          <w:szCs w:val="24"/>
          <w:u w:val="single"/>
          <w14:textFill>
            <w14:solidFill>
              <w14:schemeClr w14:val="tx1"/>
            </w14:solidFill>
          </w14:textFill>
        </w:rPr>
        <w:tab/>
      </w:r>
      <w:r>
        <w:rPr>
          <w:rFonts w:hint="eastAsia" w:ascii="宋体" w:hAnsi="宋体" w:cs="宋体"/>
          <w:color w:val="000000" w:themeColor="text1"/>
          <w:szCs w:val="24"/>
          <w14:textFill>
            <w14:solidFill>
              <w14:schemeClr w14:val="tx1"/>
            </w14:solidFill>
          </w14:textFill>
        </w:rPr>
        <w:t>万元，属于</w:t>
      </w:r>
      <w:r>
        <w:rPr>
          <w:rFonts w:hint="eastAsia" w:ascii="宋体" w:hAnsi="宋体" w:cs="宋体"/>
          <w:color w:val="000000" w:themeColor="text1"/>
          <w:szCs w:val="24"/>
          <w:u w:val="single"/>
          <w14:textFill>
            <w14:solidFill>
              <w14:schemeClr w14:val="tx1"/>
            </w14:solidFill>
          </w14:textFill>
        </w:rPr>
        <w:t>（中型企业、小型企业、微型企业）</w:t>
      </w:r>
      <w:r>
        <w:rPr>
          <w:rFonts w:hint="eastAsia" w:ascii="宋体" w:hAnsi="宋体" w:cs="宋体"/>
          <w:color w:val="000000" w:themeColor="text1"/>
          <w:szCs w:val="24"/>
          <w14:textFill>
            <w14:solidFill>
              <w14:schemeClr w14:val="tx1"/>
            </w14:solidFill>
          </w14:textFill>
        </w:rPr>
        <w:t>；</w:t>
      </w:r>
    </w:p>
    <w:p w14:paraId="764F59E3">
      <w:pPr>
        <w:pStyle w:val="42"/>
        <w:spacing w:line="360" w:lineRule="auto"/>
        <w:ind w:firstLine="480"/>
        <w:rPr>
          <w:rFonts w:ascii="宋体" w:hAnsi="宋体" w:cs="宋体"/>
          <w:color w:val="000000" w:themeColor="text1"/>
          <w:szCs w:val="24"/>
          <w:lang w:val="zh-CN"/>
          <w14:textFill>
            <w14:solidFill>
              <w14:schemeClr w14:val="tx1"/>
            </w14:solidFill>
          </w14:textFill>
        </w:rPr>
      </w:pPr>
      <w:r>
        <w:rPr>
          <w:rFonts w:hint="eastAsia" w:ascii="宋体" w:hAnsi="宋体" w:cs="宋体"/>
          <w:color w:val="000000" w:themeColor="text1"/>
          <w:szCs w:val="24"/>
          <w:lang w:val="zh-CN"/>
          <w14:textFill>
            <w14:solidFill>
              <w14:schemeClr w14:val="tx1"/>
            </w14:solidFill>
          </w14:textFill>
        </w:rPr>
        <w:t>……</w:t>
      </w:r>
    </w:p>
    <w:p w14:paraId="70DBC7D2">
      <w:pPr>
        <w:pStyle w:val="42"/>
        <w:spacing w:line="360" w:lineRule="auto"/>
        <w:ind w:firstLine="480"/>
        <w:rPr>
          <w:rFonts w:ascii="宋体" w:hAnsi="宋体" w:cs="宋体"/>
          <w:color w:val="000000" w:themeColor="text1"/>
          <w:szCs w:val="24"/>
          <w:lang w:val="zh-CN"/>
          <w14:textFill>
            <w14:solidFill>
              <w14:schemeClr w14:val="tx1"/>
            </w14:solidFill>
          </w14:textFill>
        </w:rPr>
      </w:pPr>
      <w:r>
        <w:rPr>
          <w:rFonts w:hint="eastAsia" w:ascii="宋体" w:hAnsi="宋体" w:cs="宋体"/>
          <w:color w:val="000000" w:themeColor="text1"/>
          <w:szCs w:val="24"/>
          <w:lang w:val="zh-CN"/>
          <w14:textFill>
            <w14:solidFill>
              <w14:schemeClr w14:val="tx1"/>
            </w14:solidFill>
          </w14:textFill>
        </w:rPr>
        <w:t>以上企业，不属于大企业的分支机构，不存在控股股东为大企业的情形，也不存在与大企业的负责人为同一人的情形。</w:t>
      </w:r>
    </w:p>
    <w:p w14:paraId="01335B79">
      <w:pPr>
        <w:pStyle w:val="42"/>
        <w:spacing w:line="360" w:lineRule="auto"/>
        <w:ind w:firstLine="480"/>
        <w:rPr>
          <w:rFonts w:ascii="宋体" w:hAnsi="宋体" w:cs="宋体"/>
          <w:color w:val="000000" w:themeColor="text1"/>
          <w:szCs w:val="24"/>
          <w:lang w:val="zh-CN"/>
          <w14:textFill>
            <w14:solidFill>
              <w14:schemeClr w14:val="tx1"/>
            </w14:solidFill>
          </w14:textFill>
        </w:rPr>
      </w:pPr>
      <w:r>
        <w:rPr>
          <w:rFonts w:hint="eastAsia" w:ascii="宋体" w:hAnsi="宋体" w:cs="宋体"/>
          <w:color w:val="000000" w:themeColor="text1"/>
          <w:szCs w:val="24"/>
          <w:lang w:val="zh-CN"/>
          <w14:textFill>
            <w14:solidFill>
              <w14:schemeClr w14:val="tx1"/>
            </w14:solidFill>
          </w14:textFill>
        </w:rPr>
        <w:t>本企业对上述声明内容的真实性负责。如有虚假，将依法承担相应责任。</w:t>
      </w:r>
    </w:p>
    <w:p w14:paraId="1D0DA167">
      <w:pPr>
        <w:pStyle w:val="42"/>
        <w:spacing w:line="360" w:lineRule="auto"/>
        <w:ind w:firstLine="480"/>
        <w:rPr>
          <w:rFonts w:ascii="宋体" w:hAnsi="宋体" w:cs="宋体"/>
          <w:color w:val="000000" w:themeColor="text1"/>
          <w:szCs w:val="24"/>
          <w14:textFill>
            <w14:solidFill>
              <w14:schemeClr w14:val="tx1"/>
            </w14:solidFill>
          </w14:textFill>
        </w:rPr>
      </w:pPr>
    </w:p>
    <w:p w14:paraId="5857CE9B">
      <w:pPr>
        <w:pStyle w:val="42"/>
        <w:spacing w:line="360" w:lineRule="auto"/>
        <w:ind w:firstLine="3990" w:firstLineChars="1900"/>
        <w:jc w:val="left"/>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企业名称（盖章）：</w:t>
      </w:r>
    </w:p>
    <w:p w14:paraId="5807397A">
      <w:pPr>
        <w:pStyle w:val="42"/>
        <w:spacing w:line="360" w:lineRule="auto"/>
        <w:ind w:firstLine="3990" w:firstLineChars="1900"/>
        <w:jc w:val="left"/>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日期：</w:t>
      </w:r>
    </w:p>
    <w:p w14:paraId="086EE796">
      <w:pPr>
        <w:pStyle w:val="42"/>
        <w:spacing w:line="360" w:lineRule="auto"/>
        <w:ind w:firstLine="480"/>
        <w:rPr>
          <w:rFonts w:ascii="宋体" w:hAnsi="宋体" w:cs="宋体"/>
          <w:color w:val="000000" w:themeColor="text1"/>
          <w:szCs w:val="24"/>
          <w14:textFill>
            <w14:solidFill>
              <w14:schemeClr w14:val="tx1"/>
            </w14:solidFill>
          </w14:textFill>
        </w:rPr>
      </w:pPr>
    </w:p>
    <w:p w14:paraId="6833149F">
      <w:pPr>
        <w:pStyle w:val="42"/>
        <w:spacing w:line="360" w:lineRule="auto"/>
        <w:rPr>
          <w:rFonts w:ascii="宋体" w:hAnsi="宋体" w:cs="宋体"/>
          <w:color w:val="000000" w:themeColor="text1"/>
          <w:spacing w:val="-8"/>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备注：1.</w:t>
      </w:r>
      <w:r>
        <w:rPr>
          <w:rFonts w:hint="eastAsia" w:ascii="宋体" w:hAnsi="宋体" w:cs="宋体"/>
          <w:color w:val="000000" w:themeColor="text1"/>
          <w:spacing w:val="-8"/>
          <w:szCs w:val="21"/>
          <w14:textFill>
            <w14:solidFill>
              <w14:schemeClr w14:val="tx1"/>
            </w14:solidFill>
          </w14:textFill>
        </w:rPr>
        <w:t>中小企业参加政府采购活动，应当按照《政府采购促进中小企业发展管理办法》（财库〔2020〕46号）规定和《中小企业划型标准规定》（工信部联企业〔2011〕300号），如实填写并提交本《中小企业声明函》。</w:t>
      </w:r>
    </w:p>
    <w:p w14:paraId="2D799CCA">
      <w:pPr>
        <w:numPr>
          <w:ilvl w:val="0"/>
          <w:numId w:val="6"/>
        </w:numPr>
        <w:spacing w:line="360" w:lineRule="auto"/>
        <w:ind w:firstLine="388" w:firstLineChars="200"/>
        <w:rPr>
          <w:rFonts w:ascii="宋体" w:hAnsi="宋体" w:cs="宋体"/>
          <w:color w:val="000000" w:themeColor="text1"/>
          <w:spacing w:val="-8"/>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从业人员、营业收入、资产总额填报上一年度数据，无上一年度数据的新成立企业可不填报。</w:t>
      </w:r>
    </w:p>
    <w:p w14:paraId="5AAA24B4">
      <w:pPr>
        <w:pStyle w:val="10"/>
        <w:ind w:firstLine="388" w:firstLineChars="200"/>
        <w:rPr>
          <w:rFonts w:ascii="宋体" w:hAnsi="宋体" w:cs="宋体"/>
          <w:color w:val="000000" w:themeColor="text1"/>
          <w:spacing w:val="-8"/>
          <w:kern w:val="2"/>
          <w:sz w:val="21"/>
          <w:szCs w:val="21"/>
          <w14:textFill>
            <w14:solidFill>
              <w14:schemeClr w14:val="tx1"/>
            </w14:solidFill>
          </w14:textFill>
        </w:rPr>
      </w:pPr>
      <w:r>
        <w:rPr>
          <w:rFonts w:hint="eastAsia" w:ascii="宋体" w:hAnsi="宋体" w:cs="宋体"/>
          <w:color w:val="000000" w:themeColor="text1"/>
          <w:spacing w:val="-8"/>
          <w:kern w:val="2"/>
          <w:sz w:val="21"/>
          <w:szCs w:val="21"/>
          <w14:textFill>
            <w14:solidFill>
              <w14:schemeClr w14:val="tx1"/>
            </w14:solidFill>
          </w14:textFill>
        </w:rPr>
        <w:t>3.本项目标的所属行业为其他</w:t>
      </w:r>
      <w:r>
        <w:rPr>
          <w:rFonts w:hint="eastAsia" w:ascii="宋体" w:hAnsi="宋体" w:cs="宋体"/>
          <w:color w:val="000000" w:themeColor="text1"/>
          <w:spacing w:val="-8"/>
          <w:kern w:val="2"/>
          <w:sz w:val="21"/>
          <w:szCs w:val="21"/>
          <w:lang w:val="en-US" w:eastAsia="zh-CN"/>
          <w14:textFill>
            <w14:solidFill>
              <w14:schemeClr w14:val="tx1"/>
            </w14:solidFill>
          </w14:textFill>
        </w:rPr>
        <w:t>未列明行业</w:t>
      </w:r>
      <w:r>
        <w:rPr>
          <w:rFonts w:hint="eastAsia" w:ascii="宋体" w:hAnsi="宋体" w:cs="宋体"/>
          <w:color w:val="000000" w:themeColor="text1"/>
          <w:spacing w:val="-8"/>
          <w:kern w:val="2"/>
          <w:sz w:val="21"/>
          <w:szCs w:val="21"/>
          <w14:textFill>
            <w14:solidFill>
              <w14:schemeClr w14:val="tx1"/>
            </w14:solidFill>
          </w14:textFill>
        </w:rPr>
        <w:t>。</w:t>
      </w:r>
    </w:p>
    <w:p w14:paraId="4381ECB2">
      <w:pPr>
        <w:widowControl/>
        <w:rPr>
          <w:rFonts w:ascii="宋体" w:hAnsi="宋体"/>
          <w:b/>
          <w:color w:val="000000" w:themeColor="text1"/>
          <w:sz w:val="28"/>
          <w:szCs w:val="28"/>
          <w14:textFill>
            <w14:solidFill>
              <w14:schemeClr w14:val="tx1"/>
            </w14:solidFill>
          </w14:textFill>
        </w:rPr>
      </w:pPr>
      <w:bookmarkStart w:id="81" w:name="_Toc25357"/>
    </w:p>
    <w:p w14:paraId="7729C4B9">
      <w:pPr>
        <w:widowControl/>
        <w:jc w:val="center"/>
        <w:rPr>
          <w:rFonts w:ascii="宋体" w:hAnsi="宋体"/>
          <w:b/>
          <w:color w:val="000000" w:themeColor="text1"/>
          <w:sz w:val="28"/>
          <w:szCs w:val="28"/>
          <w14:textFill>
            <w14:solidFill>
              <w14:schemeClr w14:val="tx1"/>
            </w14:solidFill>
          </w14:textFill>
        </w:rPr>
      </w:pPr>
    </w:p>
    <w:p w14:paraId="65187D36">
      <w:pPr>
        <w:widowControl/>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附件2：“</w:t>
      </w:r>
      <w:r>
        <w:rPr>
          <w:rFonts w:ascii="宋体" w:hAnsi="宋体"/>
          <w:b/>
          <w:color w:val="000000" w:themeColor="text1"/>
          <w:sz w:val="28"/>
          <w:szCs w:val="28"/>
          <w14:textFill>
            <w14:solidFill>
              <w14:schemeClr w14:val="tx1"/>
            </w14:solidFill>
          </w14:textFill>
        </w:rPr>
        <w:t>节能产品</w:t>
      </w:r>
      <w:r>
        <w:rPr>
          <w:rFonts w:hint="eastAsia" w:ascii="宋体" w:hAnsi="宋体"/>
          <w:b/>
          <w:color w:val="000000" w:themeColor="text1"/>
          <w:sz w:val="28"/>
          <w:szCs w:val="28"/>
          <w:lang w:eastAsia="zh-CN"/>
          <w14:textFill>
            <w14:solidFill>
              <w14:schemeClr w14:val="tx1"/>
            </w14:solidFill>
          </w14:textFill>
        </w:rPr>
        <w:t>”“</w:t>
      </w:r>
      <w:r>
        <w:rPr>
          <w:rFonts w:ascii="宋体" w:hAnsi="宋体"/>
          <w:b/>
          <w:color w:val="000000" w:themeColor="text1"/>
          <w:sz w:val="28"/>
          <w:szCs w:val="28"/>
          <w14:textFill>
            <w14:solidFill>
              <w14:schemeClr w14:val="tx1"/>
            </w14:solidFill>
          </w14:textFill>
        </w:rPr>
        <w:t>环境标志产品</w:t>
      </w:r>
      <w:r>
        <w:rPr>
          <w:rFonts w:hint="eastAsia" w:ascii="宋体" w:hAnsi="宋体"/>
          <w:b/>
          <w:color w:val="000000" w:themeColor="text1"/>
          <w:sz w:val="28"/>
          <w:szCs w:val="28"/>
          <w14:textFill>
            <w14:solidFill>
              <w14:schemeClr w14:val="tx1"/>
            </w14:solidFill>
          </w14:textFill>
        </w:rPr>
        <w:t>”</w:t>
      </w:r>
      <w:r>
        <w:rPr>
          <w:rFonts w:ascii="宋体" w:hAnsi="宋体"/>
          <w:b/>
          <w:color w:val="000000" w:themeColor="text1"/>
          <w:sz w:val="28"/>
          <w:szCs w:val="28"/>
          <w14:textFill>
            <w14:solidFill>
              <w14:schemeClr w14:val="tx1"/>
            </w14:solidFill>
          </w14:textFill>
        </w:rPr>
        <w:t>证明材料</w:t>
      </w:r>
      <w:bookmarkEnd w:id="81"/>
      <w:r>
        <w:rPr>
          <w:rFonts w:hint="eastAsia" w:ascii="宋体" w:hAnsi="宋体"/>
          <w:b/>
          <w:color w:val="000000" w:themeColor="text1"/>
          <w:sz w:val="28"/>
          <w:szCs w:val="28"/>
          <w14:textFill>
            <w14:solidFill>
              <w14:schemeClr w14:val="tx1"/>
            </w14:solidFill>
          </w14:textFill>
        </w:rPr>
        <w:t>（如有）</w:t>
      </w:r>
    </w:p>
    <w:p w14:paraId="706666A0">
      <w:pPr>
        <w:spacing w:line="500" w:lineRule="exact"/>
        <w:rPr>
          <w:color w:val="000000" w:themeColor="text1"/>
          <w:szCs w:val="21"/>
          <w14:textFill>
            <w14:solidFill>
              <w14:schemeClr w14:val="tx1"/>
            </w14:solidFill>
          </w14:textFill>
        </w:rPr>
      </w:pPr>
    </w:p>
    <w:p w14:paraId="10C1390D">
      <w:pPr>
        <w:adjustRightInd w:val="0"/>
        <w:snapToGrid w:val="0"/>
        <w:spacing w:line="500" w:lineRule="exact"/>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说明：1</w:t>
      </w:r>
      <w:r>
        <w:rPr>
          <w:rFonts w:hint="eastAsia" w:ascii="宋体" w:hAnsi="宋体"/>
          <w:color w:val="000000" w:themeColor="text1"/>
          <w:sz w:val="24"/>
          <w:lang w:eastAsia="zh-CN"/>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供应商</w:t>
      </w:r>
      <w:r>
        <w:rPr>
          <w:rFonts w:ascii="宋体" w:hAnsi="宋体"/>
          <w:color w:val="000000" w:themeColor="text1"/>
          <w:sz w:val="24"/>
          <w14:textFill>
            <w14:solidFill>
              <w14:schemeClr w14:val="tx1"/>
            </w14:solidFill>
          </w14:textFill>
        </w:rPr>
        <w:t>提供的产品属于下列情形，应按</w:t>
      </w:r>
      <w:r>
        <w:rPr>
          <w:rFonts w:hint="eastAsia" w:ascii="宋体" w:hAnsi="宋体"/>
          <w:color w:val="000000" w:themeColor="text1"/>
          <w:sz w:val="24"/>
          <w14:textFill>
            <w14:solidFill>
              <w14:schemeClr w14:val="tx1"/>
            </w14:solidFill>
          </w14:textFill>
        </w:rPr>
        <w:t>评审标准</w:t>
      </w:r>
      <w:r>
        <w:rPr>
          <w:rFonts w:ascii="宋体" w:hAnsi="宋体"/>
          <w:color w:val="000000" w:themeColor="text1"/>
          <w:sz w:val="24"/>
          <w14:textFill>
            <w14:solidFill>
              <w14:schemeClr w14:val="tx1"/>
            </w14:solidFill>
          </w14:textFill>
        </w:rPr>
        <w:t>规定提供相关证明材料</w:t>
      </w:r>
      <w:r>
        <w:rPr>
          <w:rFonts w:hint="eastAsia" w:ascii="宋体" w:hAnsi="宋体"/>
          <w:color w:val="000000" w:themeColor="text1"/>
          <w:sz w:val="24"/>
          <w:lang w:eastAsia="zh-CN"/>
          <w14:textFill>
            <w14:solidFill>
              <w14:schemeClr w14:val="tx1"/>
            </w14:solidFill>
          </w14:textFill>
        </w:rPr>
        <w:t>（清单或目录所在页复印件）</w:t>
      </w:r>
      <w:r>
        <w:rPr>
          <w:rFonts w:ascii="宋体" w:hAnsi="宋体"/>
          <w:color w:val="000000" w:themeColor="text1"/>
          <w:sz w:val="24"/>
          <w14:textFill>
            <w14:solidFill>
              <w14:schemeClr w14:val="tx1"/>
            </w14:solidFill>
          </w14:textFill>
        </w:rPr>
        <w:t>，并在《货物分项报价表》中提供相应数据。</w:t>
      </w:r>
    </w:p>
    <w:p w14:paraId="6BA06B1F">
      <w:pPr>
        <w:adjustRightInd w:val="0"/>
        <w:snapToGrid w:val="0"/>
        <w:spacing w:line="5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（1）符合</w:t>
      </w:r>
      <w:r>
        <w:rPr>
          <w:rFonts w:ascii="宋体" w:hAnsi="宋体"/>
          <w:color w:val="000000" w:themeColor="text1"/>
          <w:sz w:val="24"/>
          <w14:textFill>
            <w14:solidFill>
              <w14:schemeClr w14:val="tx1"/>
            </w14:solidFill>
          </w14:textFill>
        </w:rPr>
        <w:t>政府采购强制采购政策的</w:t>
      </w:r>
      <w:r>
        <w:rPr>
          <w:rFonts w:hint="eastAsia" w:ascii="宋体" w:hAnsi="宋体"/>
          <w:color w:val="000000" w:themeColor="text1"/>
          <w:sz w:val="24"/>
          <w:lang w:eastAsia="zh-CN"/>
          <w14:textFill>
            <w14:solidFill>
              <w14:schemeClr w14:val="tx1"/>
            </w14:solidFill>
          </w14:textFill>
        </w:rPr>
        <w:t>（</w:t>
      </w:r>
      <w:r>
        <w:rPr>
          <w:rFonts w:ascii="宋体" w:hAnsi="宋体"/>
          <w:color w:val="000000" w:themeColor="text1"/>
          <w:sz w:val="24"/>
          <w14:textFill>
            <w14:solidFill>
              <w14:schemeClr w14:val="tx1"/>
            </w14:solidFill>
          </w14:textFill>
        </w:rPr>
        <w:t>《节能产品政府采购清单》中标记★符号节能产品及其他强制采购产品</w:t>
      </w:r>
      <w:r>
        <w:rPr>
          <w:rFonts w:hint="eastAsia" w:ascii="宋体" w:hAnsi="宋体"/>
          <w:color w:val="000000" w:themeColor="text1"/>
          <w:sz w:val="24"/>
          <w:lang w:eastAsia="zh-CN"/>
          <w14:textFill>
            <w14:solidFill>
              <w14:schemeClr w14:val="tx1"/>
            </w14:solidFill>
          </w14:textFill>
        </w:rPr>
        <w:t>）</w:t>
      </w:r>
      <w:r>
        <w:rPr>
          <w:rFonts w:ascii="宋体" w:hAnsi="宋体"/>
          <w:color w:val="000000" w:themeColor="text1"/>
          <w:sz w:val="24"/>
          <w14:textFill>
            <w14:solidFill>
              <w14:schemeClr w14:val="tx1"/>
            </w14:solidFill>
          </w14:textFill>
        </w:rPr>
        <w:t>；</w:t>
      </w:r>
    </w:p>
    <w:p w14:paraId="70722E72">
      <w:pPr>
        <w:adjustRightInd w:val="0"/>
        <w:snapToGrid w:val="0"/>
        <w:spacing w:line="5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（2）符合</w:t>
      </w:r>
      <w:r>
        <w:rPr>
          <w:rFonts w:ascii="宋体" w:hAnsi="宋体"/>
          <w:color w:val="000000" w:themeColor="text1"/>
          <w:sz w:val="24"/>
          <w14:textFill>
            <w14:solidFill>
              <w14:schemeClr w14:val="tx1"/>
            </w14:solidFill>
          </w14:textFill>
        </w:rPr>
        <w:t>政府采购优先采购政策的(《节能产品政府采购清单》中非标记★符号节能产品</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《环境标志产品政府采购清单》中环境标志</w:t>
      </w:r>
      <w:r>
        <w:rPr>
          <w:rFonts w:ascii="宋体" w:hAnsi="宋体"/>
          <w:bCs/>
          <w:color w:val="000000" w:themeColor="text1"/>
          <w:sz w:val="24"/>
          <w14:textFill>
            <w14:solidFill>
              <w14:schemeClr w14:val="tx1"/>
            </w14:solidFill>
          </w14:textFill>
        </w:rPr>
        <w:t>产品</w:t>
      </w:r>
      <w:r>
        <w:rPr>
          <w:rFonts w:ascii="宋体" w:hAnsi="宋体"/>
          <w:color w:val="000000" w:themeColor="text1"/>
          <w:sz w:val="24"/>
          <w14:textFill>
            <w14:solidFill>
              <w14:schemeClr w14:val="tx1"/>
            </w14:solidFill>
          </w14:textFill>
        </w:rPr>
        <w:t>。</w:t>
      </w:r>
    </w:p>
    <w:p w14:paraId="395AEC74">
      <w:pPr>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2.</w:t>
      </w:r>
      <w:r>
        <w:rPr>
          <w:rFonts w:ascii="宋体" w:hAnsi="宋体"/>
          <w:bCs/>
          <w:color w:val="000000" w:themeColor="text1"/>
          <w:sz w:val="24"/>
          <w14:textFill>
            <w14:solidFill>
              <w14:schemeClr w14:val="tx1"/>
            </w14:solidFill>
          </w14:textFill>
        </w:rPr>
        <w:t>未按上述要求提供、</w:t>
      </w:r>
      <w:r>
        <w:rPr>
          <w:rFonts w:ascii="宋体" w:hAnsi="宋体"/>
          <w:color w:val="000000" w:themeColor="text1"/>
          <w:sz w:val="24"/>
          <w14:textFill>
            <w14:solidFill>
              <w14:schemeClr w14:val="tx1"/>
            </w14:solidFill>
          </w14:textFill>
        </w:rPr>
        <w:t>填写</w:t>
      </w:r>
      <w:r>
        <w:rPr>
          <w:rFonts w:ascii="宋体" w:hAnsi="宋体"/>
          <w:bCs/>
          <w:color w:val="000000" w:themeColor="text1"/>
          <w:sz w:val="24"/>
          <w14:textFill>
            <w14:solidFill>
              <w14:schemeClr w14:val="tx1"/>
            </w14:solidFill>
          </w14:textFill>
        </w:rPr>
        <w:t>的，评标时不</w:t>
      </w:r>
      <w:r>
        <w:rPr>
          <w:rFonts w:hint="eastAsia" w:ascii="宋体" w:hAnsi="宋体"/>
          <w:bCs/>
          <w:color w:val="000000" w:themeColor="text1"/>
          <w:sz w:val="24"/>
          <w:lang w:eastAsia="zh-CN"/>
          <w14:textFill>
            <w14:solidFill>
              <w14:schemeClr w14:val="tx1"/>
            </w14:solidFill>
          </w14:textFill>
        </w:rPr>
        <w:t>予考虑</w:t>
      </w:r>
      <w:r>
        <w:rPr>
          <w:rFonts w:ascii="宋体" w:hAnsi="宋体"/>
          <w:bCs/>
          <w:color w:val="000000" w:themeColor="text1"/>
          <w:sz w:val="24"/>
          <w14:textFill>
            <w14:solidFill>
              <w14:schemeClr w14:val="tx1"/>
            </w14:solidFill>
          </w14:textFill>
        </w:rPr>
        <w:t>。</w:t>
      </w:r>
    </w:p>
    <w:p w14:paraId="68F8DACE">
      <w:pPr>
        <w:spacing w:line="500" w:lineRule="exact"/>
        <w:rPr>
          <w:rFonts w:ascii="宋体" w:hAnsi="宋体"/>
          <w:bCs/>
          <w:color w:val="000000" w:themeColor="text1"/>
          <w:szCs w:val="21"/>
          <w14:textFill>
            <w14:solidFill>
              <w14:schemeClr w14:val="tx1"/>
            </w14:solidFill>
          </w14:textFill>
        </w:rPr>
      </w:pPr>
    </w:p>
    <w:p w14:paraId="691C68DF">
      <w:pPr>
        <w:spacing w:line="500" w:lineRule="exact"/>
        <w:rPr>
          <w:rFonts w:ascii="宋体" w:hAnsi="宋体"/>
          <w:bCs/>
          <w:color w:val="000000" w:themeColor="text1"/>
          <w:szCs w:val="21"/>
          <w14:textFill>
            <w14:solidFill>
              <w14:schemeClr w14:val="tx1"/>
            </w14:solidFill>
          </w14:textFill>
        </w:rPr>
      </w:pPr>
    </w:p>
    <w:p w14:paraId="528B62D4">
      <w:pPr>
        <w:spacing w:line="500" w:lineRule="exact"/>
        <w:rPr>
          <w:rFonts w:ascii="宋体" w:hAnsi="宋体"/>
          <w:bCs/>
          <w:color w:val="000000" w:themeColor="text1"/>
          <w:szCs w:val="21"/>
          <w14:textFill>
            <w14:solidFill>
              <w14:schemeClr w14:val="tx1"/>
            </w14:solidFill>
          </w14:textFill>
        </w:rPr>
      </w:pPr>
    </w:p>
    <w:p w14:paraId="3D778CC6">
      <w:pPr>
        <w:spacing w:line="500" w:lineRule="exact"/>
        <w:rPr>
          <w:rFonts w:ascii="宋体" w:hAnsi="宋体"/>
          <w:bCs/>
          <w:color w:val="000000" w:themeColor="text1"/>
          <w:szCs w:val="21"/>
          <w14:textFill>
            <w14:solidFill>
              <w14:schemeClr w14:val="tx1"/>
            </w14:solidFill>
          </w14:textFill>
        </w:rPr>
      </w:pPr>
    </w:p>
    <w:p w14:paraId="7D667255">
      <w:pPr>
        <w:spacing w:line="500" w:lineRule="exact"/>
        <w:rPr>
          <w:rFonts w:ascii="宋体" w:hAnsi="宋体"/>
          <w:bCs/>
          <w:color w:val="000000" w:themeColor="text1"/>
          <w:szCs w:val="21"/>
          <w14:textFill>
            <w14:solidFill>
              <w14:schemeClr w14:val="tx1"/>
            </w14:solidFill>
          </w14:textFill>
        </w:rPr>
      </w:pPr>
    </w:p>
    <w:p w14:paraId="5512BFE5">
      <w:pPr>
        <w:spacing w:line="500" w:lineRule="exact"/>
        <w:rPr>
          <w:rFonts w:ascii="宋体" w:hAnsi="宋体"/>
          <w:bCs/>
          <w:color w:val="000000" w:themeColor="text1"/>
          <w:szCs w:val="21"/>
          <w14:textFill>
            <w14:solidFill>
              <w14:schemeClr w14:val="tx1"/>
            </w14:solidFill>
          </w14:textFill>
        </w:rPr>
      </w:pPr>
    </w:p>
    <w:p w14:paraId="1D719E18">
      <w:pPr>
        <w:spacing w:line="500" w:lineRule="exact"/>
        <w:rPr>
          <w:rFonts w:ascii="宋体" w:hAnsi="宋体"/>
          <w:bCs/>
          <w:color w:val="000000" w:themeColor="text1"/>
          <w:szCs w:val="21"/>
          <w14:textFill>
            <w14:solidFill>
              <w14:schemeClr w14:val="tx1"/>
            </w14:solidFill>
          </w14:textFill>
        </w:rPr>
      </w:pPr>
    </w:p>
    <w:p w14:paraId="72BFADE8">
      <w:pPr>
        <w:spacing w:line="500" w:lineRule="exact"/>
        <w:rPr>
          <w:rFonts w:ascii="宋体" w:hAnsi="宋体"/>
          <w:bCs/>
          <w:color w:val="000000" w:themeColor="text1"/>
          <w:szCs w:val="21"/>
          <w14:textFill>
            <w14:solidFill>
              <w14:schemeClr w14:val="tx1"/>
            </w14:solidFill>
          </w14:textFill>
        </w:rPr>
      </w:pPr>
    </w:p>
    <w:p w14:paraId="67DDD966">
      <w:pPr>
        <w:spacing w:line="500" w:lineRule="exact"/>
        <w:rPr>
          <w:rFonts w:ascii="宋体" w:hAnsi="宋体"/>
          <w:bCs/>
          <w:color w:val="000000" w:themeColor="text1"/>
          <w:szCs w:val="21"/>
          <w14:textFill>
            <w14:solidFill>
              <w14:schemeClr w14:val="tx1"/>
            </w14:solidFill>
          </w14:textFill>
        </w:rPr>
      </w:pPr>
    </w:p>
    <w:p w14:paraId="3FADD827">
      <w:pPr>
        <w:spacing w:line="500" w:lineRule="exact"/>
        <w:rPr>
          <w:rFonts w:ascii="宋体" w:hAnsi="宋体"/>
          <w:bCs/>
          <w:color w:val="000000" w:themeColor="text1"/>
          <w:szCs w:val="21"/>
          <w14:textFill>
            <w14:solidFill>
              <w14:schemeClr w14:val="tx1"/>
            </w14:solidFill>
          </w14:textFill>
        </w:rPr>
      </w:pPr>
    </w:p>
    <w:p w14:paraId="75AEC259">
      <w:pPr>
        <w:spacing w:line="500" w:lineRule="exact"/>
        <w:rPr>
          <w:rFonts w:ascii="宋体" w:hAnsi="宋体"/>
          <w:bCs/>
          <w:color w:val="000000" w:themeColor="text1"/>
          <w:szCs w:val="21"/>
          <w14:textFill>
            <w14:solidFill>
              <w14:schemeClr w14:val="tx1"/>
            </w14:solidFill>
          </w14:textFill>
        </w:rPr>
      </w:pPr>
    </w:p>
    <w:p w14:paraId="4D949E29">
      <w:pPr>
        <w:spacing w:line="500" w:lineRule="exact"/>
        <w:rPr>
          <w:rFonts w:ascii="宋体" w:hAnsi="宋体"/>
          <w:bCs/>
          <w:color w:val="000000" w:themeColor="text1"/>
          <w:szCs w:val="21"/>
          <w14:textFill>
            <w14:solidFill>
              <w14:schemeClr w14:val="tx1"/>
            </w14:solidFill>
          </w14:textFill>
        </w:rPr>
      </w:pPr>
    </w:p>
    <w:p w14:paraId="0639420E">
      <w:pPr>
        <w:spacing w:line="500" w:lineRule="exact"/>
        <w:rPr>
          <w:rFonts w:ascii="宋体" w:hAnsi="宋体"/>
          <w:bCs/>
          <w:color w:val="000000" w:themeColor="text1"/>
          <w:szCs w:val="21"/>
          <w14:textFill>
            <w14:solidFill>
              <w14:schemeClr w14:val="tx1"/>
            </w14:solidFill>
          </w14:textFill>
        </w:rPr>
      </w:pPr>
    </w:p>
    <w:p w14:paraId="4F690E51">
      <w:pPr>
        <w:spacing w:line="500" w:lineRule="exact"/>
        <w:rPr>
          <w:rFonts w:ascii="宋体" w:hAnsi="宋体"/>
          <w:bCs/>
          <w:color w:val="000000" w:themeColor="text1"/>
          <w:szCs w:val="21"/>
          <w14:textFill>
            <w14:solidFill>
              <w14:schemeClr w14:val="tx1"/>
            </w14:solidFill>
          </w14:textFill>
        </w:rPr>
      </w:pPr>
    </w:p>
    <w:p w14:paraId="543E9CFD">
      <w:pPr>
        <w:spacing w:line="500" w:lineRule="exact"/>
        <w:rPr>
          <w:rFonts w:ascii="宋体" w:hAnsi="宋体"/>
          <w:bCs/>
          <w:color w:val="000000" w:themeColor="text1"/>
          <w:szCs w:val="21"/>
          <w14:textFill>
            <w14:solidFill>
              <w14:schemeClr w14:val="tx1"/>
            </w14:solidFill>
          </w14:textFill>
        </w:rPr>
      </w:pPr>
    </w:p>
    <w:p w14:paraId="2C8E69B4">
      <w:pPr>
        <w:spacing w:line="500" w:lineRule="exact"/>
        <w:rPr>
          <w:rFonts w:ascii="宋体" w:hAnsi="宋体"/>
          <w:bCs/>
          <w:color w:val="000000" w:themeColor="text1"/>
          <w:szCs w:val="21"/>
          <w14:textFill>
            <w14:solidFill>
              <w14:schemeClr w14:val="tx1"/>
            </w14:solidFill>
          </w14:textFill>
        </w:rPr>
      </w:pPr>
    </w:p>
    <w:p w14:paraId="3CCB58AC">
      <w:pPr>
        <w:widowControl/>
        <w:rPr>
          <w:rFonts w:ascii="宋体" w:hAnsi="宋体"/>
          <w:b/>
          <w:color w:val="000000" w:themeColor="text1"/>
          <w:sz w:val="28"/>
          <w:szCs w:val="28"/>
          <w14:textFill>
            <w14:solidFill>
              <w14:schemeClr w14:val="tx1"/>
            </w14:solidFill>
          </w14:textFill>
        </w:rPr>
      </w:pPr>
    </w:p>
    <w:p w14:paraId="36BC3818">
      <w:pPr>
        <w:widowControl/>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附件3：残疾人福利性单位声明函（如有）</w:t>
      </w:r>
    </w:p>
    <w:p w14:paraId="4C6F23D7">
      <w:pPr>
        <w:spacing w:line="588" w:lineRule="exact"/>
        <w:rPr>
          <w:rFonts w:ascii="宋体" w:hAnsi="宋体"/>
          <w:b/>
          <w:color w:val="000000" w:themeColor="text1"/>
          <w:spacing w:val="6"/>
          <w:szCs w:val="21"/>
          <w14:textFill>
            <w14:solidFill>
              <w14:schemeClr w14:val="tx1"/>
            </w14:solidFill>
          </w14:textFill>
        </w:rPr>
      </w:pPr>
    </w:p>
    <w:p w14:paraId="5833CC86">
      <w:pPr>
        <w:adjustRightInd w:val="0"/>
        <w:snapToGrid w:val="0"/>
        <w:spacing w:line="50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本单位郑重声明，根据《财政部民政部中国残疾人联合会关于促进残疾人就业政府采购政策的通知》（财库〔</w:t>
      </w:r>
      <w:r>
        <w:rPr>
          <w:rFonts w:ascii="宋体" w:hAnsi="宋体"/>
          <w:color w:val="000000" w:themeColor="text1"/>
          <w:sz w:val="24"/>
          <w14:textFill>
            <w14:solidFill>
              <w14:schemeClr w14:val="tx1"/>
            </w14:solidFill>
          </w14:textFill>
        </w:rPr>
        <w:t>2017</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 141</w:t>
      </w:r>
      <w:r>
        <w:rPr>
          <w:rFonts w:hint="eastAsia" w:ascii="宋体" w:hAnsi="宋体"/>
          <w:color w:val="000000" w:themeColor="text1"/>
          <w:sz w:val="24"/>
          <w14:textFill>
            <w14:solidFill>
              <w14:schemeClr w14:val="tx1"/>
            </w14:solidFill>
          </w14:textFill>
        </w:rPr>
        <w:t>号）的规定，本单位为符合条件的残疾人福利性单位，且本单位参加</w:t>
      </w:r>
      <w:r>
        <w:rPr>
          <w:rFonts w:ascii="宋体" w:hAnsi="宋体"/>
          <w:color w:val="000000" w:themeColor="text1"/>
          <w:sz w:val="24"/>
          <w14:textFill>
            <w14:solidFill>
              <w14:schemeClr w14:val="tx1"/>
            </w14:solidFill>
          </w14:textFill>
        </w:rPr>
        <w:t>______</w:t>
      </w:r>
      <w:r>
        <w:rPr>
          <w:rFonts w:hint="eastAsia" w:ascii="宋体" w:hAnsi="宋体"/>
          <w:color w:val="000000" w:themeColor="text1"/>
          <w:sz w:val="24"/>
          <w14:textFill>
            <w14:solidFill>
              <w14:schemeClr w14:val="tx1"/>
            </w14:solidFill>
          </w14:textFill>
        </w:rPr>
        <w:t>单位的</w:t>
      </w:r>
      <w:r>
        <w:rPr>
          <w:rFonts w:ascii="宋体" w:hAnsi="宋体"/>
          <w:color w:val="000000" w:themeColor="text1"/>
          <w:sz w:val="24"/>
          <w14:textFill>
            <w14:solidFill>
              <w14:schemeClr w14:val="tx1"/>
            </w14:solidFill>
          </w14:textFill>
        </w:rPr>
        <w:t>______</w:t>
      </w:r>
      <w:r>
        <w:rPr>
          <w:rFonts w:hint="eastAsia" w:ascii="宋体" w:hAnsi="宋体"/>
          <w:color w:val="000000" w:themeColor="text1"/>
          <w:sz w:val="24"/>
          <w14:textFill>
            <w14:solidFill>
              <w14:schemeClr w14:val="tx1"/>
            </w14:solidFill>
          </w14:textFill>
        </w:rPr>
        <w:t>项目采购活动提供本单位制造的货物（由本单位承担工程</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提供服务），或者提供其他残疾人福利性单位制造的货物（不包括使用非残疾人福利性单位注册商标的货物）。</w:t>
      </w:r>
    </w:p>
    <w:p w14:paraId="2A0743EB">
      <w:pPr>
        <w:adjustRightInd w:val="0"/>
        <w:snapToGrid w:val="0"/>
        <w:spacing w:line="50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本单位对上述声明的真实性负责。如有虚假，将依法承担相应责任。</w:t>
      </w:r>
    </w:p>
    <w:p w14:paraId="1872A567">
      <w:pPr>
        <w:spacing w:line="588" w:lineRule="exact"/>
        <w:ind w:firstLine="444" w:firstLineChars="200"/>
        <w:rPr>
          <w:rFonts w:ascii="宋体" w:hAnsi="宋体"/>
          <w:color w:val="000000" w:themeColor="text1"/>
          <w:spacing w:val="6"/>
          <w:szCs w:val="21"/>
          <w14:textFill>
            <w14:solidFill>
              <w14:schemeClr w14:val="tx1"/>
            </w14:solidFill>
          </w14:textFill>
        </w:rPr>
      </w:pPr>
    </w:p>
    <w:p w14:paraId="6A457E71">
      <w:pPr>
        <w:spacing w:line="588" w:lineRule="exact"/>
        <w:ind w:firstLine="444" w:firstLineChars="200"/>
        <w:rPr>
          <w:rFonts w:ascii="宋体" w:hAnsi="宋体"/>
          <w:color w:val="000000" w:themeColor="text1"/>
          <w:spacing w:val="6"/>
          <w:szCs w:val="21"/>
          <w14:textFill>
            <w14:solidFill>
              <w14:schemeClr w14:val="tx1"/>
            </w14:solidFill>
          </w14:textFill>
        </w:rPr>
      </w:pPr>
    </w:p>
    <w:p w14:paraId="2B1203EC">
      <w:pPr>
        <w:tabs>
          <w:tab w:val="left" w:pos="4860"/>
        </w:tabs>
        <w:spacing w:line="588" w:lineRule="exact"/>
        <w:ind w:right="1560" w:firstLine="480" w:firstLineChars="20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单位名称（盖章）：</w:t>
      </w:r>
    </w:p>
    <w:p w14:paraId="5EC339D8">
      <w:pPr>
        <w:tabs>
          <w:tab w:val="left" w:pos="4860"/>
        </w:tabs>
        <w:spacing w:line="588" w:lineRule="exact"/>
        <w:ind w:right="1560" w:firstLine="480" w:firstLineChars="200"/>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日期：</w:t>
      </w:r>
    </w:p>
    <w:p w14:paraId="39D19308">
      <w:pPr>
        <w:tabs>
          <w:tab w:val="left" w:pos="963"/>
        </w:tabs>
        <w:spacing w:line="520" w:lineRule="exact"/>
        <w:jc w:val="left"/>
        <w:rPr>
          <w:rFonts w:ascii="宋体" w:hAnsi="宋体" w:cs="宋体"/>
          <w:color w:val="000000" w:themeColor="text1"/>
          <w:sz w:val="24"/>
          <w:szCs w:val="32"/>
          <w14:textFill>
            <w14:solidFill>
              <w14:schemeClr w14:val="tx1"/>
            </w14:solidFill>
          </w14:textFill>
        </w:rPr>
      </w:pPr>
    </w:p>
    <w:p w14:paraId="4847A7A4">
      <w:pPr>
        <w:rPr>
          <w:color w:val="000000" w:themeColor="text1"/>
          <w14:textFill>
            <w14:solidFill>
              <w14:schemeClr w14:val="tx1"/>
            </w14:solidFill>
          </w14:textFill>
        </w:rPr>
      </w:pPr>
    </w:p>
    <w:p w14:paraId="77D0BB9C">
      <w:pPr>
        <w:rPr>
          <w:color w:val="000000" w:themeColor="text1"/>
          <w14:textFill>
            <w14:solidFill>
              <w14:schemeClr w14:val="tx1"/>
            </w14:solidFill>
          </w14:textFill>
        </w:rPr>
      </w:pPr>
    </w:p>
    <w:p w14:paraId="2EEF8432">
      <w:pPr>
        <w:pStyle w:val="21"/>
        <w:ind w:firstLine="180"/>
        <w:rPr>
          <w:color w:val="000000" w:themeColor="text1"/>
          <w14:textFill>
            <w14:solidFill>
              <w14:schemeClr w14:val="tx1"/>
            </w14:solidFill>
          </w14:textFill>
        </w:rPr>
      </w:pPr>
    </w:p>
    <w:p w14:paraId="2FCE66F4">
      <w:pPr>
        <w:pStyle w:val="21"/>
        <w:ind w:firstLine="180"/>
        <w:rPr>
          <w:color w:val="000000" w:themeColor="text1"/>
          <w14:textFill>
            <w14:solidFill>
              <w14:schemeClr w14:val="tx1"/>
            </w14:solidFill>
          </w14:textFill>
        </w:rPr>
      </w:pPr>
    </w:p>
    <w:p w14:paraId="58A83041">
      <w:pPr>
        <w:pStyle w:val="21"/>
        <w:ind w:firstLine="180"/>
        <w:rPr>
          <w:color w:val="000000" w:themeColor="text1"/>
          <w14:textFill>
            <w14:solidFill>
              <w14:schemeClr w14:val="tx1"/>
            </w14:solidFill>
          </w14:textFill>
        </w:rPr>
      </w:pPr>
    </w:p>
    <w:p w14:paraId="51CC344C">
      <w:pPr>
        <w:pStyle w:val="21"/>
        <w:ind w:firstLine="180"/>
        <w:rPr>
          <w:color w:val="000000" w:themeColor="text1"/>
          <w14:textFill>
            <w14:solidFill>
              <w14:schemeClr w14:val="tx1"/>
            </w14:solidFill>
          </w14:textFill>
        </w:rPr>
      </w:pPr>
    </w:p>
    <w:p w14:paraId="0CC9976D">
      <w:pPr>
        <w:pStyle w:val="21"/>
        <w:ind w:firstLine="180"/>
        <w:rPr>
          <w:color w:val="000000" w:themeColor="text1"/>
          <w14:textFill>
            <w14:solidFill>
              <w14:schemeClr w14:val="tx1"/>
            </w14:solidFill>
          </w14:textFill>
        </w:rPr>
      </w:pPr>
    </w:p>
    <w:p w14:paraId="0A5F32A1">
      <w:pPr>
        <w:pStyle w:val="21"/>
        <w:ind w:firstLine="180"/>
        <w:rPr>
          <w:color w:val="000000" w:themeColor="text1"/>
          <w14:textFill>
            <w14:solidFill>
              <w14:schemeClr w14:val="tx1"/>
            </w14:solidFill>
          </w14:textFill>
        </w:rPr>
      </w:pPr>
    </w:p>
    <w:p w14:paraId="7C8635D2">
      <w:pPr>
        <w:pStyle w:val="21"/>
        <w:ind w:firstLine="180"/>
        <w:rPr>
          <w:color w:val="000000" w:themeColor="text1"/>
          <w14:textFill>
            <w14:solidFill>
              <w14:schemeClr w14:val="tx1"/>
            </w14:solidFill>
          </w14:textFill>
        </w:rPr>
      </w:pPr>
    </w:p>
    <w:p w14:paraId="3E23CA92">
      <w:pPr>
        <w:pStyle w:val="21"/>
        <w:ind w:firstLine="180"/>
        <w:rPr>
          <w:color w:val="000000" w:themeColor="text1"/>
          <w14:textFill>
            <w14:solidFill>
              <w14:schemeClr w14:val="tx1"/>
            </w14:solidFill>
          </w14:textFill>
        </w:rPr>
      </w:pPr>
    </w:p>
    <w:p w14:paraId="56FB70C6">
      <w:pPr>
        <w:pStyle w:val="21"/>
        <w:ind w:firstLine="180"/>
        <w:rPr>
          <w:color w:val="000000" w:themeColor="text1"/>
          <w14:textFill>
            <w14:solidFill>
              <w14:schemeClr w14:val="tx1"/>
            </w14:solidFill>
          </w14:textFill>
        </w:rPr>
      </w:pPr>
    </w:p>
    <w:p w14:paraId="79288546">
      <w:pPr>
        <w:pStyle w:val="21"/>
        <w:ind w:firstLine="0" w:firstLineChars="0"/>
        <w:rPr>
          <w:color w:val="000000" w:themeColor="text1"/>
          <w14:textFill>
            <w14:solidFill>
              <w14:schemeClr w14:val="tx1"/>
            </w14:solidFill>
          </w14:textFill>
        </w:rPr>
      </w:pPr>
    </w:p>
    <w:p w14:paraId="61690668">
      <w:pPr>
        <w:pStyle w:val="21"/>
        <w:ind w:firstLine="0" w:firstLineChars="0"/>
        <w:rPr>
          <w:color w:val="000000" w:themeColor="text1"/>
          <w14:textFill>
            <w14:solidFill>
              <w14:schemeClr w14:val="tx1"/>
            </w14:solidFill>
          </w14:textFill>
        </w:rPr>
      </w:pPr>
    </w:p>
    <w:p w14:paraId="7906C5D4">
      <w:pPr>
        <w:widowControl/>
        <w:jc w:val="center"/>
        <w:rPr>
          <w:rFonts w:ascii="宋体" w:hAnsi="宋体"/>
          <w:b/>
          <w:color w:val="000000" w:themeColor="text1"/>
          <w:sz w:val="28"/>
          <w:szCs w:val="28"/>
          <w14:textFill>
            <w14:solidFill>
              <w14:schemeClr w14:val="tx1"/>
            </w14:solidFill>
          </w14:textFill>
        </w:rPr>
      </w:pPr>
    </w:p>
    <w:p w14:paraId="3DE6EBF8">
      <w:pPr>
        <w:widowControl/>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附件4：监狱企业证明文件（如有）</w:t>
      </w:r>
    </w:p>
    <w:p w14:paraId="6613A18E">
      <w:pPr>
        <w:adjustRightInd w:val="0"/>
        <w:snapToGrid w:val="0"/>
        <w:spacing w:before="50" w:line="360" w:lineRule="auto"/>
        <w:jc w:val="center"/>
        <w:rPr>
          <w:rFonts w:ascii="宋体" w:hAnsi="宋体" w:cs="宋体"/>
          <w:b/>
          <w:color w:val="000000" w:themeColor="text1"/>
          <w:sz w:val="36"/>
          <w:szCs w:val="36"/>
          <w14:textFill>
            <w14:solidFill>
              <w14:schemeClr w14:val="tx1"/>
            </w14:solidFill>
          </w14:textFill>
        </w:rPr>
      </w:pPr>
    </w:p>
    <w:p w14:paraId="27162B0C">
      <w:pPr>
        <w:adjustRightInd w:val="0"/>
        <w:snapToGrid w:val="0"/>
        <w:spacing w:line="500" w:lineRule="exact"/>
        <w:ind w:firstLine="480" w:firstLineChars="200"/>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说明：</w:t>
      </w:r>
    </w:p>
    <w:p w14:paraId="2639FFFD">
      <w:pPr>
        <w:adjustRightInd w:val="0"/>
        <w:snapToGrid w:val="0"/>
        <w:spacing w:line="500" w:lineRule="exact"/>
        <w:ind w:firstLine="480" w:firstLineChars="200"/>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1.无格式要求，由出具监狱企业证明的单位自行拟定；</w:t>
      </w:r>
    </w:p>
    <w:p w14:paraId="01811BF6">
      <w:pPr>
        <w:adjustRightInd w:val="0"/>
        <w:snapToGrid w:val="0"/>
        <w:spacing w:line="500" w:lineRule="exact"/>
        <w:ind w:firstLine="480" w:firstLineChars="200"/>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2.供应商未提供的，评审时不视为中小企业。</w:t>
      </w:r>
    </w:p>
    <w:p w14:paraId="0BE22CF0">
      <w:pPr>
        <w:adjustRightInd w:val="0"/>
        <w:snapToGrid w:val="0"/>
        <w:spacing w:line="500" w:lineRule="exact"/>
        <w:ind w:firstLine="482" w:firstLineChars="200"/>
        <w:rPr>
          <w:rFonts w:ascii="宋体" w:hAnsi="宋体"/>
          <w:b/>
          <w:bCs/>
          <w:color w:val="000000" w:themeColor="text1"/>
          <w:sz w:val="24"/>
          <w:szCs w:val="22"/>
          <w14:textFill>
            <w14:solidFill>
              <w14:schemeClr w14:val="tx1"/>
            </w14:solidFill>
          </w14:textFill>
        </w:rPr>
      </w:pPr>
      <w:r>
        <w:rPr>
          <w:rFonts w:hint="eastAsia" w:ascii="宋体" w:hAnsi="宋体"/>
          <w:b/>
          <w:bCs/>
          <w:color w:val="000000" w:themeColor="text1"/>
          <w:sz w:val="24"/>
          <w:szCs w:val="22"/>
          <w14:textFill>
            <w14:solidFill>
              <w14:schemeClr w14:val="tx1"/>
            </w14:solidFill>
          </w14:textFill>
        </w:rPr>
        <w:t>3.不符合条件的供应商无需填写。如果出现虚假应标，由此产生的后果由供应商自行负责。</w:t>
      </w:r>
    </w:p>
    <w:p w14:paraId="23AA7334">
      <w:pPr>
        <w:pStyle w:val="6"/>
        <w:rPr>
          <w:color w:val="000000" w:themeColor="text1"/>
          <w14:textFill>
            <w14:solidFill>
              <w14:schemeClr w14:val="tx1"/>
            </w14:solidFill>
          </w14:textFill>
        </w:rPr>
      </w:pPr>
    </w:p>
    <w:p w14:paraId="7B57E813">
      <w:pPr>
        <w:pStyle w:val="21"/>
        <w:ind w:firstLine="0" w:firstLineChars="0"/>
        <w:rPr>
          <w:color w:val="000000" w:themeColor="text1"/>
          <w14:textFill>
            <w14:solidFill>
              <w14:schemeClr w14:val="tx1"/>
            </w14:solidFill>
          </w14:textFill>
        </w:rPr>
      </w:pPr>
    </w:p>
    <w:p w14:paraId="5FB10FDB">
      <w:pPr>
        <w:pStyle w:val="21"/>
        <w:ind w:firstLine="0" w:firstLineChars="0"/>
        <w:rPr>
          <w:color w:val="000000" w:themeColor="text1"/>
          <w14:textFill>
            <w14:solidFill>
              <w14:schemeClr w14:val="tx1"/>
            </w14:solidFill>
          </w14:textFill>
        </w:rPr>
      </w:pPr>
    </w:p>
    <w:p w14:paraId="2DA17BCF">
      <w:pPr>
        <w:pStyle w:val="21"/>
        <w:ind w:firstLine="0" w:firstLineChars="0"/>
        <w:rPr>
          <w:color w:val="000000" w:themeColor="text1"/>
          <w14:textFill>
            <w14:solidFill>
              <w14:schemeClr w14:val="tx1"/>
            </w14:solidFill>
          </w14:textFill>
        </w:rPr>
      </w:pPr>
    </w:p>
    <w:p w14:paraId="70954AC3">
      <w:pPr>
        <w:pStyle w:val="21"/>
        <w:ind w:firstLine="0" w:firstLineChars="0"/>
        <w:rPr>
          <w:color w:val="000000" w:themeColor="text1"/>
          <w14:textFill>
            <w14:solidFill>
              <w14:schemeClr w14:val="tx1"/>
            </w14:solidFill>
          </w14:textFill>
        </w:rPr>
      </w:pPr>
    </w:p>
    <w:p w14:paraId="3575CC9B">
      <w:pPr>
        <w:pStyle w:val="21"/>
        <w:ind w:firstLine="0" w:firstLineChars="0"/>
        <w:rPr>
          <w:color w:val="000000" w:themeColor="text1"/>
          <w14:textFill>
            <w14:solidFill>
              <w14:schemeClr w14:val="tx1"/>
            </w14:solidFill>
          </w14:textFill>
        </w:rPr>
      </w:pPr>
    </w:p>
    <w:p w14:paraId="3B397BCC">
      <w:pPr>
        <w:pStyle w:val="21"/>
        <w:ind w:firstLine="0" w:firstLineChars="0"/>
        <w:rPr>
          <w:color w:val="000000" w:themeColor="text1"/>
          <w14:textFill>
            <w14:solidFill>
              <w14:schemeClr w14:val="tx1"/>
            </w14:solidFill>
          </w14:textFill>
        </w:rPr>
      </w:pPr>
    </w:p>
    <w:p w14:paraId="70F7A913">
      <w:pPr>
        <w:pStyle w:val="21"/>
        <w:ind w:firstLine="0" w:firstLineChars="0"/>
        <w:rPr>
          <w:color w:val="000000" w:themeColor="text1"/>
          <w14:textFill>
            <w14:solidFill>
              <w14:schemeClr w14:val="tx1"/>
            </w14:solidFill>
          </w14:textFill>
        </w:rPr>
      </w:pPr>
    </w:p>
    <w:p w14:paraId="135589AD">
      <w:pPr>
        <w:pStyle w:val="21"/>
        <w:ind w:firstLine="0" w:firstLineChars="0"/>
        <w:rPr>
          <w:color w:val="000000" w:themeColor="text1"/>
          <w14:textFill>
            <w14:solidFill>
              <w14:schemeClr w14:val="tx1"/>
            </w14:solidFill>
          </w14:textFill>
        </w:rPr>
      </w:pPr>
    </w:p>
    <w:p w14:paraId="75890199">
      <w:pPr>
        <w:pStyle w:val="21"/>
        <w:ind w:firstLine="0" w:firstLineChars="0"/>
        <w:rPr>
          <w:color w:val="000000" w:themeColor="text1"/>
          <w14:textFill>
            <w14:solidFill>
              <w14:schemeClr w14:val="tx1"/>
            </w14:solidFill>
          </w14:textFill>
        </w:rPr>
      </w:pPr>
    </w:p>
    <w:p w14:paraId="0678B34D">
      <w:pPr>
        <w:pStyle w:val="21"/>
        <w:ind w:firstLine="0" w:firstLineChars="0"/>
        <w:rPr>
          <w:color w:val="000000" w:themeColor="text1"/>
          <w14:textFill>
            <w14:solidFill>
              <w14:schemeClr w14:val="tx1"/>
            </w14:solidFill>
          </w14:textFill>
        </w:rPr>
      </w:pPr>
    </w:p>
    <w:p w14:paraId="46B231B5">
      <w:pPr>
        <w:pStyle w:val="21"/>
        <w:ind w:firstLine="0" w:firstLineChars="0"/>
        <w:rPr>
          <w:color w:val="000000" w:themeColor="text1"/>
          <w14:textFill>
            <w14:solidFill>
              <w14:schemeClr w14:val="tx1"/>
            </w14:solidFill>
          </w14:textFill>
        </w:rPr>
      </w:pPr>
    </w:p>
    <w:p w14:paraId="0A9C3B6D">
      <w:pPr>
        <w:pStyle w:val="21"/>
        <w:ind w:firstLine="0" w:firstLineChars="0"/>
        <w:rPr>
          <w:color w:val="000000" w:themeColor="text1"/>
          <w14:textFill>
            <w14:solidFill>
              <w14:schemeClr w14:val="tx1"/>
            </w14:solidFill>
          </w14:textFill>
        </w:rPr>
      </w:pPr>
    </w:p>
    <w:p w14:paraId="2C0C0279">
      <w:pPr>
        <w:pStyle w:val="21"/>
        <w:ind w:firstLine="0" w:firstLineChars="0"/>
        <w:rPr>
          <w:color w:val="000000" w:themeColor="text1"/>
          <w14:textFill>
            <w14:solidFill>
              <w14:schemeClr w14:val="tx1"/>
            </w14:solidFill>
          </w14:textFill>
        </w:rPr>
      </w:pPr>
    </w:p>
    <w:p w14:paraId="4B23BFFE">
      <w:pPr>
        <w:pStyle w:val="21"/>
        <w:ind w:firstLine="0" w:firstLineChars="0"/>
        <w:rPr>
          <w:color w:val="000000" w:themeColor="text1"/>
          <w14:textFill>
            <w14:solidFill>
              <w14:schemeClr w14:val="tx1"/>
            </w14:solidFill>
          </w14:textFill>
        </w:rPr>
      </w:pPr>
    </w:p>
    <w:p w14:paraId="21DB2C99">
      <w:pPr>
        <w:pStyle w:val="21"/>
        <w:ind w:firstLine="0" w:firstLineChars="0"/>
        <w:rPr>
          <w:color w:val="000000" w:themeColor="text1"/>
          <w14:textFill>
            <w14:solidFill>
              <w14:schemeClr w14:val="tx1"/>
            </w14:solidFill>
          </w14:textFill>
        </w:rPr>
      </w:pPr>
    </w:p>
    <w:p w14:paraId="0AE6364D">
      <w:pPr>
        <w:pStyle w:val="21"/>
        <w:ind w:firstLine="0" w:firstLineChars="0"/>
        <w:rPr>
          <w:color w:val="000000" w:themeColor="text1"/>
          <w14:textFill>
            <w14:solidFill>
              <w14:schemeClr w14:val="tx1"/>
            </w14:solidFill>
          </w14:textFill>
        </w:rPr>
      </w:pPr>
    </w:p>
    <w:p w14:paraId="134670FE">
      <w:pPr>
        <w:pStyle w:val="21"/>
        <w:ind w:firstLine="0" w:firstLineChars="0"/>
        <w:rPr>
          <w:color w:val="000000" w:themeColor="text1"/>
          <w14:textFill>
            <w14:solidFill>
              <w14:schemeClr w14:val="tx1"/>
            </w14:solidFill>
          </w14:textFill>
        </w:rPr>
      </w:pPr>
    </w:p>
    <w:sectPr>
      <w:footerReference r:id="rId8" w:type="default"/>
      <w:pgSz w:w="11906" w:h="16838"/>
      <w:pgMar w:top="1587" w:right="1474" w:bottom="147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宋体">
    <w:altName w:val="宋体"/>
    <w:panose1 w:val="02010600040101010101"/>
    <w:charset w:val="86"/>
    <w:family w:val="auto"/>
    <w:pitch w:val="default"/>
    <w:sig w:usb0="00000000" w:usb1="00000000" w:usb2="00000000" w:usb3="00000000" w:csb0="0004009F" w:csb1="DFD70000"/>
  </w:font>
  <w:font w:name="楷体_GB2312">
    <w:altName w:val="楷体"/>
    <w:panose1 w:val="00000000000000000000"/>
    <w:charset w:val="00"/>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2E63C">
    <w:r>
      <w:rPr>
        <w:u w:val="single"/>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B9C150">
                          <w:pPr>
                            <w:pStyle w:val="15"/>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HJYcIBAACN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OUByWHCAQAAjQMAAA4AAAAAAAAAAQAgAAAAHgEAAGRycy9lMm9Eb2MueG1sUEsF&#10;BgAAAAAGAAYAWQEAAFIFAAAAAA==&#10;">
              <v:fill on="f" focussize="0,0"/>
              <v:stroke on="f"/>
              <v:imagedata o:title=""/>
              <o:lock v:ext="edit" aspectratio="f"/>
              <v:textbox inset="0mm,0mm,0mm,0mm" style="mso-fit-shape-to-text:t;">
                <w:txbxContent>
                  <w:p w14:paraId="1EB9C150">
                    <w:pPr>
                      <w:pStyle w:val="15"/>
                    </w:pPr>
                  </w:p>
                </w:txbxContent>
              </v:textbox>
            </v:shape>
          </w:pict>
        </mc:Fallback>
      </mc:AlternateContent>
    </w:r>
    <w:r>
      <w:rPr>
        <w:rFonts w:hint="eastAsia"/>
        <w:u w:val="single"/>
      </w:rPr>
      <w:t xml:space="preserve">                                                                 </w:t>
    </w:r>
  </w:p>
  <w:p w14:paraId="5D2AE087">
    <w:pPr>
      <w:pStyle w:val="10"/>
      <w:ind w:firstLine="4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8755E">
    <w:pPr>
      <w:pStyle w:val="15"/>
      <w:framePr w:wrap="around" w:vAnchor="text" w:hAnchor="margin" w:xAlign="center" w:y="1"/>
      <w:rPr>
        <w:rStyle w:val="27"/>
      </w:rPr>
    </w:pPr>
    <w:r>
      <w:fldChar w:fldCharType="begin"/>
    </w:r>
    <w:r>
      <w:rPr>
        <w:rStyle w:val="27"/>
      </w:rPr>
      <w:instrText xml:space="preserve">PAGE  </w:instrText>
    </w:r>
    <w:r>
      <w:fldChar w:fldCharType="end"/>
    </w:r>
  </w:p>
  <w:p w14:paraId="7B521AA2">
    <w:pPr>
      <w:pStyle w:val="1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07167">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19375">
                          <w:pPr>
                            <w:pStyle w:val="15"/>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NUMPAGES  \* MERGEFORMAT </w:instrText>
                          </w:r>
                          <w:r>
                            <w:fldChar w:fldCharType="separate"/>
                          </w:r>
                          <w:r>
                            <w:t>49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64A19375">
                    <w:pPr>
                      <w:pStyle w:val="15"/>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NUMPAGES  \* MERGEFORMAT </w:instrText>
                    </w:r>
                    <w:r>
                      <w:fldChar w:fldCharType="separate"/>
                    </w:r>
                    <w:r>
                      <w:t>49</w:t>
                    </w:r>
                    <w:r>
                      <w:fldChar w:fldCharType="end"/>
                    </w:r>
                    <w:r>
                      <w:t xml:space="preserve"> 页</w:t>
                    </w:r>
                  </w:p>
                </w:txbxContent>
              </v:textbox>
            </v:shape>
          </w:pict>
        </mc:Fallback>
      </mc:AlternateContent>
    </w:r>
    <w:r>
      <w:rPr>
        <w:rFonts w:hint="eastAsia"/>
        <w:u w:val="single"/>
      </w:rPr>
      <w:t xml:space="preserve">                                                                                                                                         </w:t>
    </w:r>
  </w:p>
  <w:p w14:paraId="73B01FC9">
    <w:pPr>
      <w:pStyle w:val="10"/>
    </w:pPr>
    <w:r>
      <w:rPr>
        <w:rFonts w:hint="eastAsia"/>
        <w:sz w:val="22"/>
        <w:szCs w:val="22"/>
        <w:lang w:eastAsia="zh-CN"/>
      </w:rPr>
      <w:t>陕西德丰盛和项目管理有限公司</w:t>
    </w:r>
    <w:r>
      <w:rPr>
        <w:rFonts w:hint="eastAsia"/>
      </w:rPr>
      <w:t xml:space="preserve">  </w:t>
    </w:r>
  </w:p>
  <w:p w14:paraId="67515D4F">
    <w:pPr>
      <w:pStyle w:val="15"/>
      <w:tabs>
        <w:tab w:val="clear" w:pos="4153"/>
      </w:tabs>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72D5C">
    <w:pPr>
      <w:pStyle w:val="15"/>
      <w:jc w:val="center"/>
    </w:pPr>
    <w:r>
      <mc:AlternateContent>
        <mc:Choice Requires="wps">
          <w:drawing>
            <wp:anchor distT="0" distB="0" distL="114300" distR="114300" simplePos="0" relativeHeight="251661312" behindDoc="0" locked="0" layoutInCell="1" allowOverlap="1">
              <wp:simplePos x="0" y="0"/>
              <wp:positionH relativeFrom="margin">
                <wp:posOffset>2328545</wp:posOffset>
              </wp:positionH>
              <wp:positionV relativeFrom="paragraph">
                <wp:posOffset>104775</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436AEB">
                          <w:pPr>
                            <w:pStyle w:val="15"/>
                          </w:pPr>
                          <w:r>
                            <w:t xml:space="preserve">第 </w:t>
                          </w:r>
                          <w:r>
                            <w:fldChar w:fldCharType="begin"/>
                          </w:r>
                          <w:r>
                            <w:instrText xml:space="preserve"> PAGE  \* MERGEFORMAT </w:instrText>
                          </w:r>
                          <w:r>
                            <w:fldChar w:fldCharType="separate"/>
                          </w:r>
                          <w:r>
                            <w:t>48</w:t>
                          </w:r>
                          <w:r>
                            <w:fldChar w:fldCharType="end"/>
                          </w:r>
                          <w:r>
                            <w:t xml:space="preserve"> 页 共 </w:t>
                          </w:r>
                          <w:r>
                            <w:fldChar w:fldCharType="begin"/>
                          </w:r>
                          <w:r>
                            <w:instrText xml:space="preserve"> NUMPAGES  \* MERGEFORMAT </w:instrText>
                          </w:r>
                          <w:r>
                            <w:fldChar w:fldCharType="separate"/>
                          </w:r>
                          <w:r>
                            <w:t>49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83.35pt;margin-top:8.25pt;height:144pt;width:144pt;mso-position-horizontal-relative:margin;mso-wrap-style:none;z-index:251661312;mso-width-relative:page;mso-height-relative:page;" filled="f" stroked="f" coordsize="21600,21600" o:gfxdata="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L6uLV9YAAAAKAQAADwAAAAAAAAABACAAAAAiAAAAZHJzL2Rvd25yZXYueG1sUEsBAhQAFAAA&#10;AAgAh07iQCbVWnMqAgAAVQQAAA4AAAAAAAAAAQAgAAAAJQEAAGRycy9lMm9Eb2MueG1sUEsFBgAA&#10;AAAGAAYAWQEAAMEFAAAAAA==&#10;">
              <v:fill on="f" focussize="0,0"/>
              <v:stroke on="f" weight="0.5pt"/>
              <v:imagedata o:title=""/>
              <o:lock v:ext="edit" aspectratio="f"/>
              <v:textbox inset="0mm,0mm,0mm,0mm" style="mso-fit-shape-to-text:t;">
                <w:txbxContent>
                  <w:p w14:paraId="0D436AEB">
                    <w:pPr>
                      <w:pStyle w:val="15"/>
                    </w:pPr>
                    <w:r>
                      <w:t xml:space="preserve">第 </w:t>
                    </w:r>
                    <w:r>
                      <w:fldChar w:fldCharType="begin"/>
                    </w:r>
                    <w:r>
                      <w:instrText xml:space="preserve"> PAGE  \* MERGEFORMAT </w:instrText>
                    </w:r>
                    <w:r>
                      <w:fldChar w:fldCharType="separate"/>
                    </w:r>
                    <w:r>
                      <w:t>48</w:t>
                    </w:r>
                    <w:r>
                      <w:fldChar w:fldCharType="end"/>
                    </w:r>
                    <w:r>
                      <w:t xml:space="preserve"> 页 共 </w:t>
                    </w:r>
                    <w:r>
                      <w:fldChar w:fldCharType="begin"/>
                    </w:r>
                    <w:r>
                      <w:instrText xml:space="preserve"> NUMPAGES  \* MERGEFORMAT </w:instrText>
                    </w:r>
                    <w:r>
                      <w:fldChar w:fldCharType="separate"/>
                    </w:r>
                    <w:r>
                      <w:t>49</w:t>
                    </w:r>
                    <w:r>
                      <w:fldChar w:fldCharType="end"/>
                    </w:r>
                    <w:r>
                      <w:t xml:space="preserve"> 页</w:t>
                    </w:r>
                  </w:p>
                </w:txbxContent>
              </v:textbox>
            </v:shape>
          </w:pict>
        </mc:Fallback>
      </mc:AlternateContent>
    </w:r>
  </w:p>
  <w:p w14:paraId="0580CD43">
    <w:pPr>
      <w:pStyle w:val="15"/>
      <w:rPr>
        <w:u w:val="single"/>
      </w:rPr>
    </w:pPr>
    <w:r>
      <w:rPr>
        <w:rFonts w:hint="eastAsia"/>
        <w:u w:val="single"/>
      </w:rPr>
      <w:t xml:space="preserve">                                                                                                  </w:t>
    </w:r>
  </w:p>
  <w:p w14:paraId="075E8B3E">
    <w:pPr>
      <w:pStyle w:val="15"/>
      <w:rPr>
        <w:rFonts w:hint="eastAsia" w:eastAsia="宋体"/>
        <w:kern w:val="0"/>
        <w:sz w:val="22"/>
        <w:szCs w:val="22"/>
        <w:lang w:eastAsia="zh-CN"/>
      </w:rPr>
    </w:pPr>
    <w:r>
      <w:rPr>
        <w:rFonts w:hint="eastAsia"/>
        <w:kern w:val="0"/>
        <w:sz w:val="22"/>
        <w:szCs w:val="22"/>
        <w:lang w:eastAsia="zh-CN"/>
      </w:rPr>
      <w:t>陕西德丰盛和项目管理有限公司</w:t>
    </w:r>
  </w:p>
  <w:p w14:paraId="2036E203">
    <w:pPr>
      <w:pStyle w:val="15"/>
      <w:rPr>
        <w:kern w:val="0"/>
        <w:sz w:val="22"/>
        <w:szCs w:val="22"/>
      </w:rPr>
    </w:pPr>
    <w:r>
      <w:rPr>
        <w:rFonts w:hint="eastAsia"/>
        <w:kern w:val="0"/>
        <w:sz w:val="22"/>
        <w:szCs w:val="22"/>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59B32">
    <w:pPr>
      <w:pStyle w:val="1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49380">
    <w:pPr>
      <w:pStyle w:val="16"/>
      <w:pBdr>
        <w:left w:val="none" w:color="auto" w:sz="0" w:space="0"/>
        <w:bottom w:val="none" w:color="auto" w:sz="0" w:space="0"/>
      </w:pBdr>
      <w:tabs>
        <w:tab w:val="left" w:pos="7183"/>
        <w:tab w:val="clear" w:pos="4153"/>
      </w:tabs>
      <w:rPr>
        <w:b/>
        <w:bCs/>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0D5549"/>
    <w:multiLevelType w:val="singleLevel"/>
    <w:tmpl w:val="A50D5549"/>
    <w:lvl w:ilvl="0" w:tentative="0">
      <w:start w:val="1"/>
      <w:numFmt w:val="decimal"/>
      <w:suff w:val="nothing"/>
      <w:lvlText w:val="（%1）"/>
      <w:lvlJc w:val="left"/>
    </w:lvl>
  </w:abstractNum>
  <w:abstractNum w:abstractNumId="1">
    <w:nsid w:val="AB137747"/>
    <w:multiLevelType w:val="singleLevel"/>
    <w:tmpl w:val="AB137747"/>
    <w:lvl w:ilvl="0" w:tentative="0">
      <w:start w:val="1"/>
      <w:numFmt w:val="decimal"/>
      <w:suff w:val="nothing"/>
      <w:lvlText w:val="（%1）"/>
      <w:lvlJc w:val="left"/>
    </w:lvl>
  </w:abstractNum>
  <w:abstractNum w:abstractNumId="2">
    <w:nsid w:val="F77F9C5B"/>
    <w:multiLevelType w:val="singleLevel"/>
    <w:tmpl w:val="F77F9C5B"/>
    <w:lvl w:ilvl="0" w:tentative="0">
      <w:start w:val="3"/>
      <w:numFmt w:val="chineseCounting"/>
      <w:suff w:val="space"/>
      <w:lvlText w:val="第%1章"/>
      <w:lvlJc w:val="left"/>
      <w:rPr>
        <w:rFonts w:hint="eastAsia"/>
      </w:rPr>
    </w:lvl>
  </w:abstractNum>
  <w:abstractNum w:abstractNumId="3">
    <w:nsid w:val="FFFFFFFB"/>
    <w:multiLevelType w:val="multilevel"/>
    <w:tmpl w:val="FFFFFFFB"/>
    <w:lvl w:ilvl="0" w:tentative="0">
      <w:start w:val="1"/>
      <w:numFmt w:val="chineseCountingThousand"/>
      <w:pStyle w:val="45"/>
      <w:suff w:val="space"/>
      <w:lvlText w:val="%1."/>
      <w:lvlJc w:val="left"/>
      <w:rPr>
        <w:rFonts w:hint="eastAsia" w:cs="Times New Roman"/>
      </w:rPr>
    </w:lvl>
    <w:lvl w:ilvl="1" w:tentative="0">
      <w:start w:val="1"/>
      <w:numFmt w:val="decimal"/>
      <w:isLgl/>
      <w:suff w:val="space"/>
      <w:lvlText w:val="%1.%2"/>
      <w:lvlJc w:val="left"/>
      <w:rPr>
        <w:rFonts w:hint="eastAsia" w:cs="Times New Roman"/>
      </w:rPr>
    </w:lvl>
    <w:lvl w:ilvl="2" w:tentative="0">
      <w:start w:val="1"/>
      <w:numFmt w:val="decimal"/>
      <w:isLgl/>
      <w:suff w:val="space"/>
      <w:lvlText w:val="%1.%2.%3"/>
      <w:lvlJc w:val="left"/>
      <w:rPr>
        <w:rFonts w:hint="eastAsia" w:cs="Times New Roman"/>
      </w:rPr>
    </w:lvl>
    <w:lvl w:ilvl="3" w:tentative="0">
      <w:start w:val="1"/>
      <w:numFmt w:val="decimal"/>
      <w:isLgl/>
      <w:suff w:val="space"/>
      <w:lvlText w:val="%1.%2.%3.%4"/>
      <w:lvlJc w:val="left"/>
      <w:rPr>
        <w:rFonts w:hint="eastAsia" w:cs="Times New Roman"/>
      </w:rPr>
    </w:lvl>
    <w:lvl w:ilvl="4" w:tentative="0">
      <w:start w:val="1"/>
      <w:numFmt w:val="decimal"/>
      <w:isLgl/>
      <w:suff w:val="space"/>
      <w:lvlText w:val="%1.%2.%3.%4.%5"/>
      <w:lvlJc w:val="left"/>
      <w:rPr>
        <w:rFonts w:hint="eastAsia" w:cs="Times New Roman"/>
      </w:rPr>
    </w:lvl>
    <w:lvl w:ilvl="5" w:tentative="0">
      <w:start w:val="1"/>
      <w:numFmt w:val="decimal"/>
      <w:isLgl/>
      <w:suff w:val="space"/>
      <w:lvlText w:val="%1.%2.%3.%4.%5.%6"/>
      <w:lvlJc w:val="left"/>
      <w:rPr>
        <w:rFonts w:hint="eastAsia" w:cs="Times New Roman"/>
      </w:rPr>
    </w:lvl>
    <w:lvl w:ilvl="6" w:tentative="0">
      <w:start w:val="1"/>
      <w:numFmt w:val="decimal"/>
      <w:isLgl/>
      <w:suff w:val="space"/>
      <w:lvlText w:val="%1.%2.%3.%4.%5.%6.%7"/>
      <w:lvlJc w:val="left"/>
      <w:rPr>
        <w:rFonts w:hint="eastAsia" w:cs="Times New Roman"/>
      </w:rPr>
    </w:lvl>
    <w:lvl w:ilvl="7" w:tentative="0">
      <w:start w:val="1"/>
      <w:numFmt w:val="decimal"/>
      <w:isLgl/>
      <w:suff w:val="space"/>
      <w:lvlText w:val="%1.%2.%3.%4.%5.%6.%7.%8"/>
      <w:lvlJc w:val="left"/>
      <w:rPr>
        <w:rFonts w:hint="eastAsia" w:cs="Times New Roman"/>
      </w:rPr>
    </w:lvl>
    <w:lvl w:ilvl="8" w:tentative="0">
      <w:start w:val="1"/>
      <w:numFmt w:val="decimal"/>
      <w:isLgl/>
      <w:suff w:val="space"/>
      <w:lvlText w:val="%1.%2.%3.%4.%5.%6.%7.%8.%9"/>
      <w:lvlJc w:val="left"/>
      <w:rPr>
        <w:rFonts w:hint="eastAsia" w:cs="Times New Roman"/>
      </w:rPr>
    </w:lvl>
  </w:abstractNum>
  <w:abstractNum w:abstractNumId="4">
    <w:nsid w:val="250B1803"/>
    <w:multiLevelType w:val="singleLevel"/>
    <w:tmpl w:val="250B1803"/>
    <w:lvl w:ilvl="0" w:tentative="0">
      <w:start w:val="2"/>
      <w:numFmt w:val="decimal"/>
      <w:lvlText w:val="%1."/>
      <w:lvlJc w:val="left"/>
      <w:pPr>
        <w:tabs>
          <w:tab w:val="left" w:pos="312"/>
        </w:tabs>
      </w:pPr>
    </w:lvl>
  </w:abstractNum>
  <w:abstractNum w:abstractNumId="5">
    <w:nsid w:val="410D48D9"/>
    <w:multiLevelType w:val="multilevel"/>
    <w:tmpl w:val="410D48D9"/>
    <w:lvl w:ilvl="0" w:tentative="0">
      <w:start w:val="1"/>
      <w:numFmt w:val="decimal"/>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5"/>
  </w:num>
  <w:num w:numId="2">
    <w:abstractNumId w:val="3"/>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xNGFmYWU2ZDcxYmRjNzZmOTYxZWY3MzJiN2M4MWUifQ=="/>
  </w:docVars>
  <w:rsids>
    <w:rsidRoot w:val="41D25E9B"/>
    <w:rsid w:val="00047229"/>
    <w:rsid w:val="000743FC"/>
    <w:rsid w:val="000B6A72"/>
    <w:rsid w:val="000B6F82"/>
    <w:rsid w:val="000E7009"/>
    <w:rsid w:val="00121E4E"/>
    <w:rsid w:val="00122A33"/>
    <w:rsid w:val="001301C5"/>
    <w:rsid w:val="00177E5C"/>
    <w:rsid w:val="001E2B1F"/>
    <w:rsid w:val="001E6496"/>
    <w:rsid w:val="00214FD2"/>
    <w:rsid w:val="0025126A"/>
    <w:rsid w:val="002725E2"/>
    <w:rsid w:val="002B6992"/>
    <w:rsid w:val="002C4CB8"/>
    <w:rsid w:val="002D0000"/>
    <w:rsid w:val="002D41B5"/>
    <w:rsid w:val="002F253C"/>
    <w:rsid w:val="0030308F"/>
    <w:rsid w:val="003C1873"/>
    <w:rsid w:val="003F01A2"/>
    <w:rsid w:val="00437859"/>
    <w:rsid w:val="00437BAA"/>
    <w:rsid w:val="004917E0"/>
    <w:rsid w:val="004A7C1E"/>
    <w:rsid w:val="004F08EE"/>
    <w:rsid w:val="0050401F"/>
    <w:rsid w:val="00515E27"/>
    <w:rsid w:val="00542F35"/>
    <w:rsid w:val="0054757D"/>
    <w:rsid w:val="005E2DB3"/>
    <w:rsid w:val="00614717"/>
    <w:rsid w:val="00640192"/>
    <w:rsid w:val="0066169D"/>
    <w:rsid w:val="006873C3"/>
    <w:rsid w:val="006A20D9"/>
    <w:rsid w:val="006A3503"/>
    <w:rsid w:val="006C0FF3"/>
    <w:rsid w:val="006C34DD"/>
    <w:rsid w:val="006D0799"/>
    <w:rsid w:val="006E1F85"/>
    <w:rsid w:val="006E213B"/>
    <w:rsid w:val="0073153E"/>
    <w:rsid w:val="0073308D"/>
    <w:rsid w:val="00736E32"/>
    <w:rsid w:val="00787D7E"/>
    <w:rsid w:val="0079196F"/>
    <w:rsid w:val="007A3901"/>
    <w:rsid w:val="007B3D29"/>
    <w:rsid w:val="007C22CC"/>
    <w:rsid w:val="00824C49"/>
    <w:rsid w:val="008260C8"/>
    <w:rsid w:val="00832515"/>
    <w:rsid w:val="008542E8"/>
    <w:rsid w:val="008B008A"/>
    <w:rsid w:val="008C71E3"/>
    <w:rsid w:val="008F1BA8"/>
    <w:rsid w:val="00963D61"/>
    <w:rsid w:val="0097582B"/>
    <w:rsid w:val="0099623E"/>
    <w:rsid w:val="009975E4"/>
    <w:rsid w:val="00A658BB"/>
    <w:rsid w:val="00A7331A"/>
    <w:rsid w:val="00AC1F94"/>
    <w:rsid w:val="00AC3668"/>
    <w:rsid w:val="00AD4C6C"/>
    <w:rsid w:val="00AD7851"/>
    <w:rsid w:val="00AE14AF"/>
    <w:rsid w:val="00B06786"/>
    <w:rsid w:val="00B43FE9"/>
    <w:rsid w:val="00B72929"/>
    <w:rsid w:val="00B84090"/>
    <w:rsid w:val="00B95DF5"/>
    <w:rsid w:val="00BB5433"/>
    <w:rsid w:val="00C9341C"/>
    <w:rsid w:val="00CE38E7"/>
    <w:rsid w:val="00CF1A69"/>
    <w:rsid w:val="00D21545"/>
    <w:rsid w:val="00D519DB"/>
    <w:rsid w:val="00D61F1D"/>
    <w:rsid w:val="00DC5E7A"/>
    <w:rsid w:val="00DC6BBA"/>
    <w:rsid w:val="00DD2A66"/>
    <w:rsid w:val="00DF1DA1"/>
    <w:rsid w:val="00E14A8F"/>
    <w:rsid w:val="00E315A6"/>
    <w:rsid w:val="00E42D01"/>
    <w:rsid w:val="00E6097D"/>
    <w:rsid w:val="00E7360D"/>
    <w:rsid w:val="00EC5320"/>
    <w:rsid w:val="00EF4CF0"/>
    <w:rsid w:val="00F04195"/>
    <w:rsid w:val="00FB07CA"/>
    <w:rsid w:val="00FB62BE"/>
    <w:rsid w:val="00FD3239"/>
    <w:rsid w:val="013730A5"/>
    <w:rsid w:val="01D82094"/>
    <w:rsid w:val="020E4FF7"/>
    <w:rsid w:val="021103A4"/>
    <w:rsid w:val="022B30ED"/>
    <w:rsid w:val="02656A81"/>
    <w:rsid w:val="028210B9"/>
    <w:rsid w:val="02DA2D45"/>
    <w:rsid w:val="03E77D43"/>
    <w:rsid w:val="048719C5"/>
    <w:rsid w:val="04D952ED"/>
    <w:rsid w:val="053E2E67"/>
    <w:rsid w:val="058A6CF4"/>
    <w:rsid w:val="05B13F23"/>
    <w:rsid w:val="06D74B56"/>
    <w:rsid w:val="07677786"/>
    <w:rsid w:val="0847128A"/>
    <w:rsid w:val="088A7F5F"/>
    <w:rsid w:val="090E7982"/>
    <w:rsid w:val="09287EA3"/>
    <w:rsid w:val="09CF52A7"/>
    <w:rsid w:val="09D12CAA"/>
    <w:rsid w:val="09D43B87"/>
    <w:rsid w:val="0AF81AF7"/>
    <w:rsid w:val="0B0F1770"/>
    <w:rsid w:val="0B3404A1"/>
    <w:rsid w:val="0BB727B1"/>
    <w:rsid w:val="0C441B7D"/>
    <w:rsid w:val="0CE5201C"/>
    <w:rsid w:val="0D0429D6"/>
    <w:rsid w:val="0D270A42"/>
    <w:rsid w:val="0D9D373F"/>
    <w:rsid w:val="0DA6583B"/>
    <w:rsid w:val="0DD7694D"/>
    <w:rsid w:val="0E3E6500"/>
    <w:rsid w:val="0E7A026C"/>
    <w:rsid w:val="0EAD5EEB"/>
    <w:rsid w:val="0ED11576"/>
    <w:rsid w:val="0F0C4D33"/>
    <w:rsid w:val="0F5A2DD2"/>
    <w:rsid w:val="119E76F6"/>
    <w:rsid w:val="127B34AE"/>
    <w:rsid w:val="129C717C"/>
    <w:rsid w:val="12A37DB0"/>
    <w:rsid w:val="12F26E2C"/>
    <w:rsid w:val="136A777E"/>
    <w:rsid w:val="138207CA"/>
    <w:rsid w:val="13FD5C4E"/>
    <w:rsid w:val="14207BB7"/>
    <w:rsid w:val="14CD7E01"/>
    <w:rsid w:val="14E4620B"/>
    <w:rsid w:val="15863E84"/>
    <w:rsid w:val="15D867AD"/>
    <w:rsid w:val="176E561B"/>
    <w:rsid w:val="178A50D7"/>
    <w:rsid w:val="17AD21E7"/>
    <w:rsid w:val="18A83EBD"/>
    <w:rsid w:val="18E13495"/>
    <w:rsid w:val="18E857D7"/>
    <w:rsid w:val="19A72C0F"/>
    <w:rsid w:val="1A2876FC"/>
    <w:rsid w:val="1A3C0181"/>
    <w:rsid w:val="1A9E1FC7"/>
    <w:rsid w:val="1B032C85"/>
    <w:rsid w:val="1B167910"/>
    <w:rsid w:val="1BE55113"/>
    <w:rsid w:val="1CCC6872"/>
    <w:rsid w:val="1CF16F00"/>
    <w:rsid w:val="1D3D5968"/>
    <w:rsid w:val="1D595A4A"/>
    <w:rsid w:val="1D70551D"/>
    <w:rsid w:val="1D95226D"/>
    <w:rsid w:val="1DDE4B7D"/>
    <w:rsid w:val="1E367E4B"/>
    <w:rsid w:val="1E672D94"/>
    <w:rsid w:val="1EAE43DA"/>
    <w:rsid w:val="1EFC05B3"/>
    <w:rsid w:val="202260DF"/>
    <w:rsid w:val="21F229A5"/>
    <w:rsid w:val="227604AA"/>
    <w:rsid w:val="228E0E79"/>
    <w:rsid w:val="22B86D36"/>
    <w:rsid w:val="22BD0785"/>
    <w:rsid w:val="23153C71"/>
    <w:rsid w:val="238D035C"/>
    <w:rsid w:val="23C87DC8"/>
    <w:rsid w:val="244A6C98"/>
    <w:rsid w:val="251669BE"/>
    <w:rsid w:val="254F03F4"/>
    <w:rsid w:val="255C6C4F"/>
    <w:rsid w:val="256440E7"/>
    <w:rsid w:val="25C91C6F"/>
    <w:rsid w:val="260E1D77"/>
    <w:rsid w:val="261B2F3C"/>
    <w:rsid w:val="2754570B"/>
    <w:rsid w:val="28A95D87"/>
    <w:rsid w:val="28AB7D51"/>
    <w:rsid w:val="28C70D0A"/>
    <w:rsid w:val="290851A4"/>
    <w:rsid w:val="297A7E50"/>
    <w:rsid w:val="2A0D190E"/>
    <w:rsid w:val="2A195FE6"/>
    <w:rsid w:val="2A461AE0"/>
    <w:rsid w:val="2AA329F2"/>
    <w:rsid w:val="2AF3377C"/>
    <w:rsid w:val="2B0025D7"/>
    <w:rsid w:val="2BAC0068"/>
    <w:rsid w:val="2BC76C50"/>
    <w:rsid w:val="2BDD6474"/>
    <w:rsid w:val="2C524FA7"/>
    <w:rsid w:val="2D517119"/>
    <w:rsid w:val="2DA806E6"/>
    <w:rsid w:val="2DBD6592"/>
    <w:rsid w:val="2DC86CB0"/>
    <w:rsid w:val="2DE52B85"/>
    <w:rsid w:val="2E2C3224"/>
    <w:rsid w:val="2E38422E"/>
    <w:rsid w:val="2E582BC8"/>
    <w:rsid w:val="2E911F29"/>
    <w:rsid w:val="2EE17287"/>
    <w:rsid w:val="2F0B32F8"/>
    <w:rsid w:val="2FEE7A9E"/>
    <w:rsid w:val="30361406"/>
    <w:rsid w:val="30440CC0"/>
    <w:rsid w:val="30B01F90"/>
    <w:rsid w:val="30FB0EEE"/>
    <w:rsid w:val="31480833"/>
    <w:rsid w:val="31740F85"/>
    <w:rsid w:val="322C401C"/>
    <w:rsid w:val="32EC269B"/>
    <w:rsid w:val="32ED1692"/>
    <w:rsid w:val="32F60DA5"/>
    <w:rsid w:val="33163FCD"/>
    <w:rsid w:val="33296443"/>
    <w:rsid w:val="33775400"/>
    <w:rsid w:val="340B3F40"/>
    <w:rsid w:val="346C476C"/>
    <w:rsid w:val="34BD482D"/>
    <w:rsid w:val="36C26992"/>
    <w:rsid w:val="36E56B24"/>
    <w:rsid w:val="370011B1"/>
    <w:rsid w:val="393B6421"/>
    <w:rsid w:val="39483C73"/>
    <w:rsid w:val="39D2056C"/>
    <w:rsid w:val="39FE208D"/>
    <w:rsid w:val="3A612B54"/>
    <w:rsid w:val="3AA25A5E"/>
    <w:rsid w:val="3B1E35D8"/>
    <w:rsid w:val="3C8E1B3D"/>
    <w:rsid w:val="3EFC7E35"/>
    <w:rsid w:val="3F7A6254"/>
    <w:rsid w:val="406C4569"/>
    <w:rsid w:val="41D25E9B"/>
    <w:rsid w:val="4255773E"/>
    <w:rsid w:val="435F4A94"/>
    <w:rsid w:val="43F20A21"/>
    <w:rsid w:val="44B42D14"/>
    <w:rsid w:val="44BC21CD"/>
    <w:rsid w:val="44F87A23"/>
    <w:rsid w:val="44F91BC5"/>
    <w:rsid w:val="461A3FBB"/>
    <w:rsid w:val="46E02E18"/>
    <w:rsid w:val="48FC6AB3"/>
    <w:rsid w:val="493D6C54"/>
    <w:rsid w:val="4A2372D5"/>
    <w:rsid w:val="4AB7540C"/>
    <w:rsid w:val="4ABE0363"/>
    <w:rsid w:val="4AF351E4"/>
    <w:rsid w:val="4B3B24D5"/>
    <w:rsid w:val="4C2F567D"/>
    <w:rsid w:val="4CFE7606"/>
    <w:rsid w:val="4D0A226B"/>
    <w:rsid w:val="4D1F07FB"/>
    <w:rsid w:val="4D251872"/>
    <w:rsid w:val="4DB21C9F"/>
    <w:rsid w:val="4ECA16E1"/>
    <w:rsid w:val="4F610FE6"/>
    <w:rsid w:val="502317A0"/>
    <w:rsid w:val="50E97F21"/>
    <w:rsid w:val="50FD26A1"/>
    <w:rsid w:val="51321A00"/>
    <w:rsid w:val="51600E2A"/>
    <w:rsid w:val="51744C0F"/>
    <w:rsid w:val="51954F77"/>
    <w:rsid w:val="51E57A85"/>
    <w:rsid w:val="51F001F5"/>
    <w:rsid w:val="526D688B"/>
    <w:rsid w:val="5277266C"/>
    <w:rsid w:val="52BE682D"/>
    <w:rsid w:val="537A185D"/>
    <w:rsid w:val="53B86CFB"/>
    <w:rsid w:val="53C47756"/>
    <w:rsid w:val="53F22E5F"/>
    <w:rsid w:val="55C702B2"/>
    <w:rsid w:val="566D0567"/>
    <w:rsid w:val="56A16E51"/>
    <w:rsid w:val="56AB2B47"/>
    <w:rsid w:val="56F03786"/>
    <w:rsid w:val="57305690"/>
    <w:rsid w:val="57745B9A"/>
    <w:rsid w:val="5798472B"/>
    <w:rsid w:val="57B35E04"/>
    <w:rsid w:val="58523DFD"/>
    <w:rsid w:val="5867407D"/>
    <w:rsid w:val="58B54EFA"/>
    <w:rsid w:val="58C50640"/>
    <w:rsid w:val="58D307D6"/>
    <w:rsid w:val="58E32A6C"/>
    <w:rsid w:val="58E9778D"/>
    <w:rsid w:val="592717A4"/>
    <w:rsid w:val="5962713E"/>
    <w:rsid w:val="59A33FA9"/>
    <w:rsid w:val="59F63582"/>
    <w:rsid w:val="5A93179D"/>
    <w:rsid w:val="5B1C0B9A"/>
    <w:rsid w:val="5BD42B40"/>
    <w:rsid w:val="5C6F003A"/>
    <w:rsid w:val="5CA66832"/>
    <w:rsid w:val="5CD16115"/>
    <w:rsid w:val="5D5B7BB4"/>
    <w:rsid w:val="5E655CD1"/>
    <w:rsid w:val="5E804121"/>
    <w:rsid w:val="5EA52572"/>
    <w:rsid w:val="5EB16EB6"/>
    <w:rsid w:val="5F797C86"/>
    <w:rsid w:val="60352703"/>
    <w:rsid w:val="605E50CE"/>
    <w:rsid w:val="60980AAC"/>
    <w:rsid w:val="60E508E1"/>
    <w:rsid w:val="61324549"/>
    <w:rsid w:val="63381C06"/>
    <w:rsid w:val="6431668F"/>
    <w:rsid w:val="64AD439B"/>
    <w:rsid w:val="65E1136E"/>
    <w:rsid w:val="65F30067"/>
    <w:rsid w:val="66752183"/>
    <w:rsid w:val="66A50C45"/>
    <w:rsid w:val="673152EA"/>
    <w:rsid w:val="673C0F4D"/>
    <w:rsid w:val="68040C10"/>
    <w:rsid w:val="694F4571"/>
    <w:rsid w:val="69AC1DA8"/>
    <w:rsid w:val="6A8B4D12"/>
    <w:rsid w:val="6BC018A6"/>
    <w:rsid w:val="6BCC50A5"/>
    <w:rsid w:val="6C1B6850"/>
    <w:rsid w:val="6CD75FEC"/>
    <w:rsid w:val="6CEE25F2"/>
    <w:rsid w:val="6DD369FE"/>
    <w:rsid w:val="6E1908ED"/>
    <w:rsid w:val="6E9E3430"/>
    <w:rsid w:val="6EF044C7"/>
    <w:rsid w:val="700370F8"/>
    <w:rsid w:val="7082577D"/>
    <w:rsid w:val="721124E9"/>
    <w:rsid w:val="72A051FC"/>
    <w:rsid w:val="73207CAC"/>
    <w:rsid w:val="73B327E9"/>
    <w:rsid w:val="740873D5"/>
    <w:rsid w:val="740A3816"/>
    <w:rsid w:val="74546E17"/>
    <w:rsid w:val="74D44DDD"/>
    <w:rsid w:val="754D6952"/>
    <w:rsid w:val="755738FE"/>
    <w:rsid w:val="755B7980"/>
    <w:rsid w:val="766703E1"/>
    <w:rsid w:val="76820C04"/>
    <w:rsid w:val="775F46DE"/>
    <w:rsid w:val="77B84BC3"/>
    <w:rsid w:val="785726D7"/>
    <w:rsid w:val="78721C35"/>
    <w:rsid w:val="78DB3308"/>
    <w:rsid w:val="78ED2A41"/>
    <w:rsid w:val="79082058"/>
    <w:rsid w:val="796B112B"/>
    <w:rsid w:val="79C930C8"/>
    <w:rsid w:val="7A6A66F1"/>
    <w:rsid w:val="7ABB1C9F"/>
    <w:rsid w:val="7AFA4953"/>
    <w:rsid w:val="7B5C35E4"/>
    <w:rsid w:val="7BCB66EE"/>
    <w:rsid w:val="7BFC3A5F"/>
    <w:rsid w:val="7BFE53B6"/>
    <w:rsid w:val="7CA24793"/>
    <w:rsid w:val="7CD117C3"/>
    <w:rsid w:val="7E613817"/>
    <w:rsid w:val="7EF7251E"/>
    <w:rsid w:val="7FB87E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0"/>
    <w:pPr>
      <w:keepNext/>
      <w:keepLines/>
      <w:spacing w:line="576" w:lineRule="auto"/>
      <w:outlineLvl w:val="0"/>
    </w:pPr>
    <w:rPr>
      <w:b/>
      <w:bCs/>
      <w:kern w:val="44"/>
      <w:sz w:val="44"/>
      <w:szCs w:val="44"/>
    </w:rPr>
  </w:style>
  <w:style w:type="paragraph" w:styleId="3">
    <w:name w:val="heading 2"/>
    <w:basedOn w:val="1"/>
    <w:next w:val="1"/>
    <w:autoRedefine/>
    <w:qFormat/>
    <w:uiPriority w:val="9"/>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5"/>
    <w:link w:val="30"/>
    <w:autoRedefine/>
    <w:qFormat/>
    <w:uiPriority w:val="0"/>
    <w:pPr>
      <w:keepNext/>
      <w:widowControl/>
      <w:jc w:val="left"/>
      <w:outlineLvl w:val="2"/>
    </w:pPr>
    <w:rPr>
      <w:rFonts w:ascii="Arial" w:hAnsi="Arial" w:eastAsia="华文宋体"/>
      <w:b/>
      <w:kern w:val="0"/>
      <w:sz w:val="26"/>
    </w:rPr>
  </w:style>
  <w:style w:type="paragraph" w:styleId="6">
    <w:name w:val="heading 4"/>
    <w:basedOn w:val="1"/>
    <w:autoRedefine/>
    <w:qFormat/>
    <w:uiPriority w:val="0"/>
    <w:pPr>
      <w:keepNext/>
      <w:keepLines/>
      <w:spacing w:line="372" w:lineRule="auto"/>
      <w:outlineLvl w:val="3"/>
    </w:pPr>
    <w:rPr>
      <w:rFonts w:ascii="Arial" w:hAnsi="Arial" w:eastAsia="黑体"/>
      <w:b/>
      <w:bCs/>
      <w:sz w:val="28"/>
      <w:szCs w:val="28"/>
    </w:rPr>
  </w:style>
  <w:style w:type="paragraph" w:styleId="7">
    <w:name w:val="heading 6"/>
    <w:basedOn w:val="1"/>
    <w:next w:val="1"/>
    <w:link w:val="48"/>
    <w:autoRedefine/>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25">
    <w:name w:val="Default Paragraph Font"/>
    <w:autoRedefine/>
    <w:semiHidden/>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customStyle="1" w:styleId="5">
    <w:name w:val="方案正文"/>
    <w:basedOn w:val="1"/>
    <w:autoRedefine/>
    <w:qFormat/>
    <w:uiPriority w:val="0"/>
    <w:pPr>
      <w:widowControl/>
      <w:spacing w:line="360" w:lineRule="auto"/>
      <w:ind w:firstLine="504"/>
      <w:jc w:val="left"/>
    </w:pPr>
    <w:rPr>
      <w:rFonts w:ascii="宋体" w:hAnsi="宋体"/>
      <w:kern w:val="0"/>
      <w:sz w:val="24"/>
      <w:szCs w:val="28"/>
    </w:rPr>
  </w:style>
  <w:style w:type="paragraph" w:styleId="8">
    <w:name w:val="Normal Indent"/>
    <w:basedOn w:val="1"/>
    <w:next w:val="9"/>
    <w:autoRedefine/>
    <w:qFormat/>
    <w:uiPriority w:val="0"/>
    <w:pPr>
      <w:autoSpaceDE w:val="0"/>
      <w:autoSpaceDN w:val="0"/>
      <w:adjustRightInd w:val="0"/>
      <w:spacing w:line="640" w:lineRule="exact"/>
      <w:ind w:firstLine="585"/>
    </w:pPr>
    <w:rPr>
      <w:rFonts w:ascii="楷体_GB2312" w:eastAsia="楷体_GB2312"/>
      <w:sz w:val="32"/>
      <w:szCs w:val="32"/>
    </w:rPr>
  </w:style>
  <w:style w:type="paragraph" w:styleId="9">
    <w:name w:val="toc 4"/>
    <w:basedOn w:val="1"/>
    <w:next w:val="1"/>
    <w:qFormat/>
    <w:uiPriority w:val="0"/>
    <w:pPr>
      <w:ind w:left="600" w:leftChars="600"/>
    </w:pPr>
    <w:rPr>
      <w:rFonts w:ascii="Times New Roman" w:hAnsi="Times New Roman" w:eastAsia="Calibri" w:cs="Times New Roman"/>
    </w:rPr>
  </w:style>
  <w:style w:type="paragraph" w:styleId="10">
    <w:name w:val="Body Text"/>
    <w:basedOn w:val="1"/>
    <w:next w:val="1"/>
    <w:autoRedefine/>
    <w:qFormat/>
    <w:uiPriority w:val="0"/>
    <w:rPr>
      <w:kern w:val="0"/>
      <w:sz w:val="28"/>
      <w:szCs w:val="24"/>
    </w:rPr>
  </w:style>
  <w:style w:type="paragraph" w:styleId="11">
    <w:name w:val="Body Text Indent"/>
    <w:basedOn w:val="1"/>
    <w:autoRedefine/>
    <w:semiHidden/>
    <w:unhideWhenUsed/>
    <w:qFormat/>
    <w:uiPriority w:val="99"/>
    <w:pPr>
      <w:spacing w:after="120"/>
      <w:ind w:left="420" w:leftChars="200"/>
    </w:pPr>
  </w:style>
  <w:style w:type="paragraph" w:styleId="12">
    <w:name w:val="Block Text"/>
    <w:basedOn w:val="1"/>
    <w:autoRedefine/>
    <w:unhideWhenUsed/>
    <w:qFormat/>
    <w:uiPriority w:val="99"/>
    <w:pPr>
      <w:spacing w:after="120"/>
      <w:ind w:left="1440" w:leftChars="700" w:right="700" w:rightChars="700"/>
    </w:pPr>
    <w:rPr>
      <w:szCs w:val="24"/>
    </w:rPr>
  </w:style>
  <w:style w:type="paragraph" w:styleId="13">
    <w:name w:val="Plain Text"/>
    <w:basedOn w:val="1"/>
    <w:autoRedefine/>
    <w:unhideWhenUsed/>
    <w:qFormat/>
    <w:uiPriority w:val="99"/>
    <w:rPr>
      <w:rFonts w:ascii="宋体" w:hAnsi="宋体"/>
      <w:kern w:val="1"/>
    </w:rPr>
  </w:style>
  <w:style w:type="paragraph" w:styleId="14">
    <w:name w:val="Balloon Text"/>
    <w:basedOn w:val="1"/>
    <w:link w:val="47"/>
    <w:autoRedefine/>
    <w:qFormat/>
    <w:uiPriority w:val="0"/>
    <w:rPr>
      <w:sz w:val="18"/>
      <w:szCs w:val="18"/>
    </w:rPr>
  </w:style>
  <w:style w:type="paragraph" w:styleId="15">
    <w:name w:val="footer"/>
    <w:basedOn w:val="1"/>
    <w:link w:val="38"/>
    <w:autoRedefine/>
    <w:qFormat/>
    <w:uiPriority w:val="0"/>
    <w:pPr>
      <w:tabs>
        <w:tab w:val="center" w:pos="4153"/>
        <w:tab w:val="right" w:pos="8306"/>
      </w:tabs>
      <w:snapToGrid w:val="0"/>
      <w:jc w:val="left"/>
    </w:pPr>
    <w:rPr>
      <w:sz w:val="18"/>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autoRedefine/>
    <w:qFormat/>
    <w:uiPriority w:val="39"/>
  </w:style>
  <w:style w:type="paragraph" w:styleId="18">
    <w:name w:val="HTML Preformatted"/>
    <w:basedOn w:val="1"/>
    <w:autoRedefine/>
    <w:unhideWhenUsed/>
    <w:qFormat/>
    <w:uiPriority w:val="99"/>
    <w:rPr>
      <w:rFonts w:ascii="Courier New" w:hAnsi="Courier New" w:cs="Courier New"/>
      <w:sz w:val="20"/>
    </w:rPr>
  </w:style>
  <w:style w:type="paragraph" w:styleId="19">
    <w:name w:val="Normal (Web)"/>
    <w:basedOn w:val="1"/>
    <w:autoRedefine/>
    <w:qFormat/>
    <w:uiPriority w:val="0"/>
    <w:pPr>
      <w:widowControl/>
      <w:jc w:val="left"/>
    </w:pPr>
    <w:rPr>
      <w:rFonts w:ascii="宋体" w:hAnsi="宋体" w:cs="宋体"/>
      <w:kern w:val="0"/>
      <w:sz w:val="24"/>
      <w:szCs w:val="24"/>
    </w:rPr>
  </w:style>
  <w:style w:type="paragraph" w:styleId="20">
    <w:name w:val="Title"/>
    <w:basedOn w:val="1"/>
    <w:autoRedefine/>
    <w:qFormat/>
    <w:uiPriority w:val="0"/>
    <w:pPr>
      <w:spacing w:before="240" w:after="60"/>
      <w:jc w:val="center"/>
      <w:outlineLvl w:val="0"/>
    </w:pPr>
    <w:rPr>
      <w:rFonts w:ascii="Cambria" w:hAnsi="Cambria"/>
      <w:b/>
      <w:bCs/>
      <w:sz w:val="32"/>
      <w:szCs w:val="32"/>
    </w:rPr>
  </w:style>
  <w:style w:type="paragraph" w:styleId="21">
    <w:name w:val="Body Text First Indent"/>
    <w:basedOn w:val="10"/>
    <w:autoRedefine/>
    <w:unhideWhenUsed/>
    <w:qFormat/>
    <w:uiPriority w:val="0"/>
    <w:pPr>
      <w:spacing w:after="120"/>
      <w:ind w:firstLine="420" w:firstLineChars="100"/>
    </w:pPr>
    <w:rPr>
      <w:sz w:val="18"/>
      <w:szCs w:val="18"/>
    </w:rPr>
  </w:style>
  <w:style w:type="paragraph" w:styleId="22">
    <w:name w:val="Body Text First Indent 2"/>
    <w:basedOn w:val="11"/>
    <w:autoRedefine/>
    <w:unhideWhenUsed/>
    <w:qFormat/>
    <w:uiPriority w:val="99"/>
    <w:pPr>
      <w:ind w:firstLine="420" w:firstLineChars="200"/>
    </w:p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basedOn w:val="25"/>
    <w:autoRedefine/>
    <w:qFormat/>
    <w:uiPriority w:val="0"/>
    <w:rPr>
      <w:b/>
    </w:rPr>
  </w:style>
  <w:style w:type="character" w:styleId="27">
    <w:name w:val="page number"/>
    <w:basedOn w:val="25"/>
    <w:autoRedefine/>
    <w:qFormat/>
    <w:uiPriority w:val="0"/>
  </w:style>
  <w:style w:type="character" w:styleId="28">
    <w:name w:val="Hyperlink"/>
    <w:basedOn w:val="25"/>
    <w:autoRedefine/>
    <w:qFormat/>
    <w:uiPriority w:val="0"/>
    <w:rPr>
      <w:color w:val="0000FF"/>
      <w:u w:val="single"/>
    </w:rPr>
  </w:style>
  <w:style w:type="paragraph" w:styleId="29">
    <w:name w:val="List Paragraph"/>
    <w:basedOn w:val="1"/>
    <w:autoRedefine/>
    <w:qFormat/>
    <w:uiPriority w:val="34"/>
    <w:pPr>
      <w:ind w:firstLine="420" w:firstLineChars="200"/>
    </w:pPr>
    <w:rPr>
      <w:rFonts w:ascii="Calibri" w:hAnsi="Calibri"/>
      <w:szCs w:val="22"/>
    </w:rPr>
  </w:style>
  <w:style w:type="character" w:customStyle="1" w:styleId="30">
    <w:name w:val="标题 3 Char"/>
    <w:link w:val="4"/>
    <w:autoRedefine/>
    <w:qFormat/>
    <w:uiPriority w:val="0"/>
    <w:rPr>
      <w:rFonts w:ascii="Arial" w:hAnsi="Arial" w:eastAsia="华文宋体"/>
      <w:b/>
      <w:kern w:val="0"/>
      <w:sz w:val="26"/>
    </w:rPr>
  </w:style>
  <w:style w:type="paragraph" w:customStyle="1" w:styleId="31">
    <w:name w:val="_Style 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3">
    <w:name w:val="font71"/>
    <w:basedOn w:val="25"/>
    <w:autoRedefine/>
    <w:qFormat/>
    <w:uiPriority w:val="0"/>
    <w:rPr>
      <w:rFonts w:hint="eastAsia" w:ascii="仿宋" w:hAnsi="仿宋" w:eastAsia="仿宋" w:cs="仿宋"/>
      <w:color w:val="000000"/>
      <w:sz w:val="22"/>
      <w:szCs w:val="22"/>
      <w:u w:val="none"/>
    </w:rPr>
  </w:style>
  <w:style w:type="character" w:customStyle="1" w:styleId="34">
    <w:name w:val="font41"/>
    <w:basedOn w:val="25"/>
    <w:autoRedefine/>
    <w:qFormat/>
    <w:uiPriority w:val="0"/>
    <w:rPr>
      <w:rFonts w:hint="eastAsia" w:ascii="仿宋" w:hAnsi="仿宋" w:eastAsia="仿宋" w:cs="仿宋"/>
      <w:color w:val="000000"/>
      <w:sz w:val="22"/>
      <w:szCs w:val="22"/>
      <w:u w:val="none"/>
      <w:vertAlign w:val="subscript"/>
    </w:rPr>
  </w:style>
  <w:style w:type="character" w:customStyle="1" w:styleId="35">
    <w:name w:val="font01"/>
    <w:basedOn w:val="25"/>
    <w:autoRedefine/>
    <w:qFormat/>
    <w:uiPriority w:val="0"/>
    <w:rPr>
      <w:rFonts w:hint="eastAsia" w:ascii="仿宋" w:hAnsi="仿宋" w:eastAsia="仿宋" w:cs="仿宋"/>
      <w:color w:val="0070C0"/>
      <w:sz w:val="20"/>
      <w:szCs w:val="20"/>
      <w:u w:val="none"/>
    </w:rPr>
  </w:style>
  <w:style w:type="character" w:customStyle="1" w:styleId="36">
    <w:name w:val="font31"/>
    <w:basedOn w:val="25"/>
    <w:autoRedefine/>
    <w:qFormat/>
    <w:uiPriority w:val="0"/>
    <w:rPr>
      <w:rFonts w:hint="eastAsia" w:ascii="仿宋" w:hAnsi="仿宋" w:eastAsia="仿宋" w:cs="仿宋"/>
      <w:color w:val="FF0000"/>
      <w:sz w:val="22"/>
      <w:szCs w:val="22"/>
      <w:u w:val="none"/>
    </w:rPr>
  </w:style>
  <w:style w:type="character" w:customStyle="1" w:styleId="37">
    <w:name w:val="font61"/>
    <w:basedOn w:val="25"/>
    <w:autoRedefine/>
    <w:qFormat/>
    <w:uiPriority w:val="0"/>
    <w:rPr>
      <w:rFonts w:hint="eastAsia" w:ascii="仿宋" w:hAnsi="仿宋" w:eastAsia="仿宋" w:cs="仿宋"/>
      <w:color w:val="0070C0"/>
      <w:sz w:val="22"/>
      <w:szCs w:val="22"/>
      <w:u w:val="none"/>
    </w:rPr>
  </w:style>
  <w:style w:type="character" w:customStyle="1" w:styleId="38">
    <w:name w:val="页脚 Char"/>
    <w:basedOn w:val="25"/>
    <w:link w:val="15"/>
    <w:autoRedefine/>
    <w:qFormat/>
    <w:uiPriority w:val="0"/>
    <w:rPr>
      <w:kern w:val="2"/>
      <w:sz w:val="18"/>
    </w:rPr>
  </w:style>
  <w:style w:type="paragraph" w:customStyle="1" w:styleId="39">
    <w:name w:val="样式 首行缩进:  2 字符"/>
    <w:basedOn w:val="1"/>
    <w:autoRedefine/>
    <w:qFormat/>
    <w:uiPriority w:val="0"/>
    <w:pPr>
      <w:spacing w:line="400" w:lineRule="exact"/>
      <w:ind w:firstLine="200" w:firstLineChars="200"/>
    </w:pPr>
    <w:rPr>
      <w:rFonts w:cs="宋体"/>
      <w:sz w:val="24"/>
      <w:szCs w:val="24"/>
    </w:rPr>
  </w:style>
  <w:style w:type="paragraph" w:customStyle="1" w:styleId="40">
    <w:name w:val="_Style 126"/>
    <w:basedOn w:val="1"/>
    <w:next w:val="1"/>
    <w:autoRedefine/>
    <w:qFormat/>
    <w:uiPriority w:val="0"/>
    <w:pPr>
      <w:ind w:firstLine="420" w:firstLineChars="200"/>
    </w:pPr>
    <w:rPr>
      <w:sz w:val="18"/>
      <w:szCs w:val="18"/>
    </w:rPr>
  </w:style>
  <w:style w:type="character" w:customStyle="1" w:styleId="41">
    <w:name w:val="标题 2 字符"/>
    <w:autoRedefine/>
    <w:qFormat/>
    <w:uiPriority w:val="0"/>
    <w:rPr>
      <w:rFonts w:ascii="等线 Light" w:hAnsi="等线 Light" w:eastAsia="等线 Light" w:cs="Times New Roman"/>
      <w:b/>
      <w:bCs/>
      <w:sz w:val="32"/>
      <w:szCs w:val="32"/>
    </w:rPr>
  </w:style>
  <w:style w:type="paragraph" w:customStyle="1" w:styleId="42">
    <w:name w:val="正文缩进1"/>
    <w:basedOn w:val="1"/>
    <w:autoRedefine/>
    <w:qFormat/>
    <w:uiPriority w:val="0"/>
    <w:pPr>
      <w:ind w:firstLine="420"/>
    </w:pPr>
  </w:style>
  <w:style w:type="paragraph" w:customStyle="1" w:styleId="43">
    <w:name w:val="列出段落1"/>
    <w:basedOn w:val="1"/>
    <w:autoRedefine/>
    <w:qFormat/>
    <w:uiPriority w:val="99"/>
    <w:pPr>
      <w:ind w:firstLine="420" w:firstLineChars="200"/>
    </w:pPr>
  </w:style>
  <w:style w:type="paragraph" w:customStyle="1" w:styleId="44">
    <w:name w:val="Table Paragraph"/>
    <w:basedOn w:val="1"/>
    <w:autoRedefine/>
    <w:qFormat/>
    <w:uiPriority w:val="1"/>
  </w:style>
  <w:style w:type="paragraph" w:customStyle="1" w:styleId="45">
    <w:name w:val="标题一"/>
    <w:basedOn w:val="1"/>
    <w:autoRedefine/>
    <w:qFormat/>
    <w:uiPriority w:val="0"/>
    <w:pPr>
      <w:widowControl/>
      <w:numPr>
        <w:ilvl w:val="0"/>
        <w:numId w:val="2"/>
      </w:numPr>
      <w:tabs>
        <w:tab w:val="left" w:pos="720"/>
      </w:tabs>
      <w:spacing w:line="360" w:lineRule="auto"/>
      <w:jc w:val="left"/>
    </w:pPr>
    <w:rPr>
      <w:sz w:val="28"/>
    </w:rPr>
  </w:style>
  <w:style w:type="table" w:customStyle="1" w:styleId="46">
    <w:name w:val="Table Normal"/>
    <w:autoRedefine/>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character" w:customStyle="1" w:styleId="47">
    <w:name w:val="批注框文本 Char"/>
    <w:basedOn w:val="25"/>
    <w:link w:val="14"/>
    <w:autoRedefine/>
    <w:qFormat/>
    <w:uiPriority w:val="0"/>
    <w:rPr>
      <w:kern w:val="2"/>
      <w:sz w:val="18"/>
      <w:szCs w:val="18"/>
    </w:rPr>
  </w:style>
  <w:style w:type="character" w:customStyle="1" w:styleId="48">
    <w:name w:val="标题 6 Char"/>
    <w:basedOn w:val="25"/>
    <w:link w:val="7"/>
    <w:autoRedefine/>
    <w:semiHidden/>
    <w:qFormat/>
    <w:uiPriority w:val="0"/>
    <w:rPr>
      <w:rFonts w:ascii="宋体" w:hAnsi="宋体"/>
      <w:b/>
      <w:bCs/>
      <w:sz w:val="15"/>
      <w:szCs w:val="15"/>
    </w:rPr>
  </w:style>
  <w:style w:type="paragraph" w:customStyle="1" w:styleId="49">
    <w:name w:val="reader-word-layer reader-word-s1-11 reader-word-s1-14"/>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0">
    <w:name w:val="BodyText1I"/>
    <w:basedOn w:val="51"/>
    <w:autoRedefine/>
    <w:qFormat/>
    <w:uiPriority w:val="0"/>
    <w:pPr>
      <w:spacing w:after="120" w:line="240" w:lineRule="auto"/>
      <w:ind w:firstLine="420" w:firstLineChars="100"/>
      <w:jc w:val="both"/>
      <w:textAlignment w:val="baseline"/>
    </w:pPr>
    <w:rPr>
      <w:rFonts w:ascii="Times New Roman" w:hAnsi="Times New Roman" w:eastAsia="宋体"/>
      <w:color w:val="000000"/>
      <w:kern w:val="2"/>
      <w:sz w:val="18"/>
      <w:szCs w:val="18"/>
      <w:lang w:val="en-US" w:eastAsia="zh-CN" w:bidi="ar-SA"/>
    </w:rPr>
  </w:style>
  <w:style w:type="paragraph" w:customStyle="1" w:styleId="51">
    <w:name w:val="BodyText"/>
    <w:basedOn w:val="1"/>
    <w:autoRedefine/>
    <w:qFormat/>
    <w:uiPriority w:val="0"/>
    <w:pPr>
      <w:spacing w:after="120"/>
      <w:jc w:val="both"/>
      <w:textAlignment w:val="baseline"/>
    </w:pPr>
    <w:rPr>
      <w:rFonts w:ascii="Times New Roman" w:hAnsi="Times New Roman" w:eastAsia="宋体"/>
      <w:kern w:val="2"/>
      <w:sz w:val="21"/>
      <w:szCs w:val="20"/>
      <w:lang w:val="en-US" w:eastAsia="zh-CN" w:bidi="ar-SA"/>
    </w:rPr>
  </w:style>
  <w:style w:type="paragraph" w:customStyle="1" w:styleId="52">
    <w:name w:val="Table Text"/>
    <w:basedOn w:val="1"/>
    <w:semiHidden/>
    <w:qFormat/>
    <w:uiPriority w:val="0"/>
    <w:rPr>
      <w:rFonts w:ascii="微软雅黑" w:hAnsi="微软雅黑" w:eastAsia="微软雅黑" w:cs="微软雅黑"/>
      <w:sz w:val="24"/>
      <w:szCs w:val="24"/>
      <w:lang w:val="en-US" w:eastAsia="en-US" w:bidi="ar-SA"/>
    </w:rPr>
  </w:style>
  <w:style w:type="paragraph" w:customStyle="1" w:styleId="5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42</Pages>
  <Words>20630</Words>
  <Characters>21536</Characters>
  <Lines>175</Lines>
  <Paragraphs>49</Paragraphs>
  <TotalTime>2</TotalTime>
  <ScaleCrop>false</ScaleCrop>
  <LinksUpToDate>false</LinksUpToDate>
  <CharactersWithSpaces>22194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2020-04-20T00:20:00Z</dcterms:created>
  <dc:creator>End</dc:creator>
  <cp:lastModifiedBy>1</cp:lastModifiedBy>
  <cp:lastPrinted>2023-12-28T06:33:00Z</cp:lastPrinted>
  <dcterms:modified xsi:type="dcterms:W3CDTF">2026-09-02T08:31:53Z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78D4649312894FAD9C7536B216FC2EED_13</vt:lpwstr>
  </property>
  <property fmtid="{D5CDD505-2E9C-101B-9397-08002B2CF9AE}" pid="4" name="KSOTemplateDocerSaveRecord">
    <vt:lpwstr>eyJoZGlkIjoiYTUxNGFmYWU2ZDcxYmRjNzZmOTYxZWY3MzJiN2M4MWUiLCJ1c2VySWQiOiI0MTgxNjQ0ODkifQ==</vt:lpwstr>
  </property>
</Properties>
</file>