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版本号：SCZB-2026-050120260603004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电力增容改造项目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SCZB-2026-0501</w:t>
      </w:r>
      <w:r>
        <w:br/>
      </w:r>
      <w:r>
        <w:br/>
      </w:r>
      <w:r>
        <w:br/>
      </w:r>
    </w:p>
    <w:p>
      <w:pPr>
        <w:pStyle w:val="null3"/>
        <w:jc w:val="center"/>
        <w:outlineLvl w:val="2"/>
      </w:pPr>
      <w:r>
        <w:rPr>
          <w:rFonts w:ascii="仿宋_GB2312" w:hAnsi="仿宋_GB2312" w:cs="仿宋_GB2312" w:eastAsia="仿宋_GB2312"/>
          <w:sz w:val="28"/>
          <w:b/>
        </w:rPr>
        <w:t>西安市临潼区中医医院</w:t>
      </w:r>
    </w:p>
    <w:p>
      <w:pPr>
        <w:pStyle w:val="null3"/>
        <w:jc w:val="center"/>
        <w:outlineLvl w:val="2"/>
      </w:pPr>
      <w:r>
        <w:rPr>
          <w:rFonts w:ascii="仿宋_GB2312" w:hAnsi="仿宋_GB2312" w:cs="仿宋_GB2312" w:eastAsia="仿宋_GB2312"/>
          <w:sz w:val="28"/>
          <w:b/>
        </w:rPr>
        <w:t>陕西圣宸建设项目咨询有限公司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陕西圣宸建设项目咨询有限公司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西安市临潼区中医医院</w:t>
      </w:r>
      <w:r>
        <w:rPr>
          <w:rFonts w:ascii="仿宋_GB2312" w:hAnsi="仿宋_GB2312" w:cs="仿宋_GB2312" w:eastAsia="仿宋_GB2312"/>
        </w:rPr>
        <w:t>委托，拟对</w:t>
      </w:r>
      <w:r>
        <w:rPr>
          <w:rFonts w:ascii="仿宋_GB2312" w:hAnsi="仿宋_GB2312" w:cs="仿宋_GB2312" w:eastAsia="仿宋_GB2312"/>
        </w:rPr>
        <w:t>电力增容改造项目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SCZB-2026-0501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电力增容改造项目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对医院现有变压器进行增容改造，将现有200KVA变压器增容至800KVA，主要包括变压器更换、配套供电线路改造、配电设施升级等内容。具体施工方案详见本项目设计图纸和工程量清单。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1、主体资格证明文件：具有独立承担民事责任能力的法人或非法人组织或自然人，提供合法有效的统一社会信用代码的营业执照等证明文件，自然人提供身份证件</w:t>
      </w:r>
    </w:p>
    <w:p>
      <w:pPr>
        <w:pStyle w:val="null3"/>
      </w:pPr>
      <w:r>
        <w:rPr>
          <w:rFonts w:ascii="仿宋_GB2312" w:hAnsi="仿宋_GB2312" w:cs="仿宋_GB2312" w:eastAsia="仿宋_GB2312"/>
        </w:rPr>
        <w:t>2、法定代表人授权书：提供法定代表人授权委托书及被授权人身份证及被授权人近三个月在本单位社保缴纳的证明资料（供应商为法定代表人时，须提交法定代表人证明书及身份证复印件且与营业执照上信息须一致）</w:t>
      </w:r>
    </w:p>
    <w:p>
      <w:pPr>
        <w:pStyle w:val="null3"/>
      </w:pPr>
      <w:r>
        <w:rPr>
          <w:rFonts w:ascii="仿宋_GB2312" w:hAnsi="仿宋_GB2312" w:cs="仿宋_GB2312" w:eastAsia="仿宋_GB2312"/>
        </w:rPr>
        <w:t>3、社会保障资金缴纳证明：供应商在本项目磋商响应文件递交截止时间前十二个月内任意一个月的税收缴纳凭证及社会保险缴纳的凭证。依法免税或不需要缴纳社会保障资金的供应商，应提供相应文件证明其依法免税或不需要缴纳社会保障资金证明</w:t>
      </w:r>
    </w:p>
    <w:p>
      <w:pPr>
        <w:pStyle w:val="null3"/>
      </w:pPr>
      <w:r>
        <w:rPr>
          <w:rFonts w:ascii="仿宋_GB2312" w:hAnsi="仿宋_GB2312" w:cs="仿宋_GB2312" w:eastAsia="仿宋_GB2312"/>
        </w:rPr>
        <w:t>4、政府采购活动前3年内没有重大违法记录书面声明：参加政府采购活动前3年内在经营活动中没有重大违法记录的书面声明</w:t>
      </w:r>
    </w:p>
    <w:p>
      <w:pPr>
        <w:pStyle w:val="null3"/>
      </w:pPr>
      <w:r>
        <w:rPr>
          <w:rFonts w:ascii="仿宋_GB2312" w:hAnsi="仿宋_GB2312" w:cs="仿宋_GB2312" w:eastAsia="仿宋_GB2312"/>
        </w:rPr>
        <w:t>5、财务状况：供应商应提供2025年经审计的财务报告且出具的审计报告应当经过注册会计师行业统一监管平台备案赋码（事业法人可提供部门决算报告）或基本开户银行出具的资信证明或政府采购专业担保机构出具的投标担保函</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供应商特殊资格要求：供应商应具备建设行政主管部门核发的电力工程施工总承包三级（含）以上资质或输变电工程专业承包三级(含三级)以上资质；同时具备有效的承装（修、试）电力设施许可证三级（含）以上（新证）；并在人员、设备、资金等方面具备相应的能力，且具备合法有效的安全生产许可证</w:t>
      </w:r>
    </w:p>
    <w:p>
      <w:pPr>
        <w:pStyle w:val="null3"/>
      </w:pPr>
      <w:r>
        <w:rPr>
          <w:rFonts w:ascii="仿宋_GB2312" w:hAnsi="仿宋_GB2312" w:cs="仿宋_GB2312" w:eastAsia="仿宋_GB2312"/>
        </w:rPr>
        <w:t>8、拟派项目经理资质和专业要求：供应商拟派项目经理须具备机电工程专业二级及以上注册建造师资格、在本单位注册并且具有安全生产考核合格证（B证）且无不良信用记录，无在建工程（提供承诺书）</w:t>
      </w:r>
    </w:p>
    <w:p>
      <w:pPr>
        <w:pStyle w:val="null3"/>
      </w:pPr>
      <w:r>
        <w:rPr>
          <w:rFonts w:ascii="仿宋_GB2312" w:hAnsi="仿宋_GB2312" w:cs="仿宋_GB2312" w:eastAsia="仿宋_GB2312"/>
        </w:rPr>
        <w:t>9、信用主体查询：不得为“信用中国”网站（www.cre 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10、非联合体投标声明：本项目不接受联合体投标</w:t>
      </w:r>
    </w:p>
    <w:p>
      <w:pPr>
        <w:pStyle w:val="null3"/>
      </w:pPr>
      <w:r>
        <w:rPr>
          <w:rFonts w:ascii="仿宋_GB2312" w:hAnsi="仿宋_GB2312" w:cs="仿宋_GB2312" w:eastAsia="仿宋_GB2312"/>
        </w:rPr>
        <w:t>11、中小企业声明函：须符合财政部工业和信息化部《关于印发〈政府采购促进中小企业发展管理办法〉的通知》（财库〔2020〕46号）规定的中小企业参加，并提供《中小企业声明函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临潼区南大街46号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任掌权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13572957969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陕西圣宸建设项目咨询有限公司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西安市经济技术开发区凤城二路海璟国际C2座606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029-65693165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根据《招标代理服务收费管理暂行办法》（计价格[2002]1980号）、《国家发展改革委关于降低部门建设项目收费标准规范收费行为等有关问题的通知》（发改价格〔2011〕534号）及《国家改革改革委办公厅关于招标代理服务收费有关问题的通知》（发改办价格[2003]857号）文件收费标准计取。 成交服务费账户： 户名：陕西圣宸建设项目咨询有限公司 账号：8111701011500592879 开户行：中信银行股份有限公司西安经济技术开发区支行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西安市临潼区中医医院</w:t>
      </w:r>
      <w:r>
        <w:rPr>
          <w:rFonts w:ascii="仿宋_GB2312" w:hAnsi="仿宋_GB2312" w:cs="仿宋_GB2312" w:eastAsia="仿宋_GB2312"/>
        </w:rPr>
        <w:t>和</w:t>
      </w:r>
      <w:r>
        <w:rPr>
          <w:rFonts w:ascii="仿宋_GB2312" w:hAnsi="仿宋_GB2312" w:cs="仿宋_GB2312" w:eastAsia="仿宋_GB2312"/>
        </w:rPr>
        <w:t>陕西圣宸建设项目咨询有限公司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陕西圣宸建设项目咨询有限公司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陕西圣宸建设项目咨询有限公司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⼀、达到国家现⾏施⼯验收规范“合格”标准。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陕西圣宸建设项目咨询有限公司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陕西圣宸建设项目咨询有限公司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陕西圣宸建设项目咨询有限公司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联系电话：029-65693165</w:t>
      </w:r>
    </w:p>
    <w:p>
      <w:pPr>
        <w:pStyle w:val="null3"/>
      </w:pPr>
      <w:r>
        <w:rPr>
          <w:rFonts w:ascii="仿宋_GB2312" w:hAnsi="仿宋_GB2312" w:cs="仿宋_GB2312" w:eastAsia="仿宋_GB2312"/>
        </w:rPr>
        <w:t>地址：西安市经济技术开发区凤城二路海璟国际C2座606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电力增容改造项目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标的名称：电力增容改造项目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 xml:space="preserve">: </w:t>
            </w:r>
            <w:r>
              <w:rPr>
                <w:rFonts w:ascii="仿宋_GB2312" w:hAnsi="仿宋_GB2312" w:cs="仿宋_GB2312" w:eastAsia="仿宋_GB2312"/>
              </w:rPr>
              <w:t>560000.00</w:t>
            </w:r>
          </w:p>
          <w:p>
            <w:pPr>
              <w:pStyle w:val="null3"/>
            </w:pPr>
            <w:r>
              <w:rPr>
                <w:rFonts w:ascii="仿宋_GB2312" w:hAnsi="仿宋_GB2312" w:cs="仿宋_GB2312" w:eastAsia="仿宋_GB2312"/>
              </w:rPr>
              <w:t>采购包最高限价（元）</w:t>
            </w:r>
            <w:r>
              <w:rPr>
                <w:rFonts w:ascii="仿宋_GB2312" w:hAnsi="仿宋_GB2312" w:cs="仿宋_GB2312" w:eastAsia="仿宋_GB2312"/>
              </w:rPr>
              <w:t xml:space="preserve">: </w:t>
            </w:r>
            <w:r>
              <w:rPr>
                <w:rFonts w:ascii="仿宋_GB2312" w:hAnsi="仿宋_GB2312" w:cs="仿宋_GB2312" w:eastAsia="仿宋_GB2312"/>
              </w:rPr>
              <w:t>560000.00</w:t>
            </w:r>
          </w:p>
          <w:tbl>
            <w:tblPr>
              <w:tblBorders>
                <w:top w:val="none" w:color="000000" w:sz="4"/>
                <w:left w:val="none" w:color="000000" w:sz="4"/>
                <w:bottom w:val="none" w:color="000000" w:sz="4"/>
                <w:right w:val="none" w:color="000000" w:sz="4"/>
                <w:insideH w:val="none"/>
                <w:insideV w:val="none"/>
              </w:tblBorders>
            </w:tblPr>
            <w:tblGrid>
              <w:gridCol w:w="241"/>
              <w:gridCol w:w="612"/>
              <w:gridCol w:w="366"/>
              <w:gridCol w:w="482"/>
              <w:gridCol w:w="426"/>
              <w:gridCol w:w="426"/>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所属行业</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电力增容改造项目</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560000.00.00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电力增容改造项目</w:t>
            </w:r>
          </w:p>
          <w:tbl>
            <w:tblPr>
              <w:tblBorders>
                <w:top w:val="none" w:color="000000" w:sz="4"/>
                <w:left w:val="none" w:color="000000" w:sz="4"/>
                <w:bottom w:val="none" w:color="000000" w:sz="4"/>
                <w:right w:val="none" w:color="000000" w:sz="4"/>
                <w:insideH w:val="none"/>
                <w:insideV w:val="none"/>
              </w:tblBorders>
            </w:tblPr>
            <w:tblGrid>
              <w:gridCol w:w="298"/>
              <w:gridCol w:w="383"/>
              <w:gridCol w:w="1872"/>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1：</w:t>
                  </w:r>
                </w:p>
                <w:p>
                  <w:pPr>
                    <w:pStyle w:val="null3"/>
                  </w:pPr>
                  <w:r>
                    <w:rPr>
                      <w:rFonts w:ascii="仿宋_GB2312" w:hAnsi="仿宋_GB2312" w:cs="仿宋_GB2312" w:eastAsia="仿宋_GB2312"/>
                      <w:sz w:val="19"/>
                    </w:rPr>
                    <w:t>采购包预算金额（元）</w:t>
                  </w:r>
                  <w:r>
                    <w:rPr>
                      <w:rFonts w:ascii="仿宋_GB2312" w:hAnsi="仿宋_GB2312" w:cs="仿宋_GB2312" w:eastAsia="仿宋_GB2312"/>
                      <w:sz w:val="19"/>
                    </w:rPr>
                    <w:t xml:space="preserve">: </w:t>
                  </w:r>
                  <w:r>
                    <w:rPr>
                      <w:rFonts w:ascii="仿宋_GB2312" w:hAnsi="仿宋_GB2312" w:cs="仿宋_GB2312" w:eastAsia="仿宋_GB2312"/>
                      <w:sz w:val="19"/>
                    </w:rPr>
                    <w:t>56</w:t>
                  </w:r>
                  <w:r>
                    <w:rPr>
                      <w:rFonts w:ascii="仿宋_GB2312" w:hAnsi="仿宋_GB2312" w:cs="仿宋_GB2312" w:eastAsia="仿宋_GB2312"/>
                      <w:sz w:val="19"/>
                    </w:rPr>
                    <w:t>0000.00</w:t>
                  </w:r>
                </w:p>
                <w:p>
                  <w:pPr>
                    <w:pStyle w:val="null3"/>
                  </w:pPr>
                  <w:r>
                    <w:rPr>
                      <w:rFonts w:ascii="仿宋_GB2312" w:hAnsi="仿宋_GB2312" w:cs="仿宋_GB2312" w:eastAsia="仿宋_GB2312"/>
                      <w:sz w:val="19"/>
                    </w:rPr>
                    <w:t>采购包最高限价（元）</w:t>
                  </w:r>
                  <w:r>
                    <w:rPr>
                      <w:rFonts w:ascii="仿宋_GB2312" w:hAnsi="仿宋_GB2312" w:cs="仿宋_GB2312" w:eastAsia="仿宋_GB2312"/>
                      <w:sz w:val="19"/>
                    </w:rPr>
                    <w:t xml:space="preserve">: </w:t>
                  </w:r>
                  <w:r>
                    <w:rPr>
                      <w:rFonts w:ascii="仿宋_GB2312" w:hAnsi="仿宋_GB2312" w:cs="仿宋_GB2312" w:eastAsia="仿宋_GB2312"/>
                      <w:sz w:val="19"/>
                    </w:rPr>
                    <w:t>56</w:t>
                  </w:r>
                  <w:r>
                    <w:rPr>
                      <w:rFonts w:ascii="仿宋_GB2312" w:hAnsi="仿宋_GB2312" w:cs="仿宋_GB2312" w:eastAsia="仿宋_GB2312"/>
                      <w:sz w:val="19"/>
                    </w:rPr>
                    <w:t>0000.00</w:t>
                  </w:r>
                </w:p>
                <w:tbl>
                  <w:tblPr>
                    <w:tblBorders>
                      <w:top w:val="none" w:color="000000" w:sz="4"/>
                      <w:left w:val="none" w:color="000000" w:sz="4"/>
                      <w:bottom w:val="none" w:color="000000" w:sz="4"/>
                      <w:right w:val="none" w:color="000000" w:sz="4"/>
                      <w:insideH w:val="none"/>
                      <w:insideV w:val="none"/>
                    </w:tblBorders>
                  </w:tblPr>
                  <w:tblGrid>
                    <w:gridCol w:w="210"/>
                    <w:gridCol w:w="395"/>
                    <w:gridCol w:w="222"/>
                    <w:gridCol w:w="411"/>
                    <w:gridCol w:w="197"/>
                    <w:gridCol w:w="210"/>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标的金额（元）</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所属行业</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电力增容改造项目</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r>
                          <w:rPr>
                            <w:rFonts w:ascii="仿宋_GB2312" w:hAnsi="仿宋_GB2312" w:cs="仿宋_GB2312" w:eastAsia="仿宋_GB2312"/>
                            <w:sz w:val="19"/>
                          </w:rPr>
                          <w:t>0000.00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建筑业</w:t>
                        </w:r>
                      </w:p>
                    </w:tc>
                  </w:tr>
                </w:tbl>
                <w:p>
                  <w:pPr>
                    <w:pStyle w:val="null3"/>
                    <w:ind w:firstLine="480"/>
                  </w:pPr>
                  <w:r>
                    <w:rPr>
                      <w:rFonts w:ascii="仿宋_GB2312" w:hAnsi="仿宋_GB2312" w:cs="仿宋_GB2312" w:eastAsia="仿宋_GB2312"/>
                      <w:sz w:val="19"/>
                    </w:rPr>
                    <w:t>一、技术、服务标准和要求：</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1：</w:t>
                  </w:r>
                </w:p>
                <w:p>
                  <w:pPr>
                    <w:pStyle w:val="null3"/>
                  </w:pPr>
                  <w:r>
                    <w:rPr>
                      <w:rFonts w:ascii="仿宋_GB2312" w:hAnsi="仿宋_GB2312" w:cs="仿宋_GB2312" w:eastAsia="仿宋_GB2312"/>
                      <w:sz w:val="19"/>
                    </w:rPr>
                    <w:t>标的名称：</w:t>
                  </w:r>
                  <w:r>
                    <w:rPr>
                      <w:rFonts w:ascii="仿宋_GB2312" w:hAnsi="仿宋_GB2312" w:cs="仿宋_GB2312" w:eastAsia="仿宋_GB2312"/>
                      <w:sz w:val="19"/>
                    </w:rPr>
                    <w:t>电力增容改造项目</w:t>
                  </w:r>
                </w:p>
                <w:tbl>
                  <w:tblPr>
                    <w:tblBorders>
                      <w:top w:val="none" w:color="000000" w:sz="4"/>
                      <w:left w:val="none" w:color="000000" w:sz="4"/>
                      <w:bottom w:val="none" w:color="000000" w:sz="4"/>
                      <w:right w:val="none" w:color="000000" w:sz="4"/>
                      <w:insideH w:val="none"/>
                      <w:insideV w:val="none"/>
                    </w:tblBorders>
                  </w:tblPr>
                  <w:tblGrid>
                    <w:gridCol w:w="203"/>
                    <w:gridCol w:w="292"/>
                    <w:gridCol w:w="1155"/>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1.1项目概况</w:t>
                        </w:r>
                      </w:p>
                      <w:p>
                        <w:pPr>
                          <w:pStyle w:val="null3"/>
                          <w:ind w:firstLine="400"/>
                        </w:pPr>
                        <w:r>
                          <w:rPr>
                            <w:rFonts w:ascii="仿宋_GB2312" w:hAnsi="仿宋_GB2312" w:cs="仿宋_GB2312" w:eastAsia="仿宋_GB2312"/>
                            <w:sz w:val="19"/>
                          </w:rPr>
                          <w:t>本项目为医院现有供电系统增容升级改造，将原有</w:t>
                        </w:r>
                        <w:r>
                          <w:rPr>
                            <w:rFonts w:ascii="仿宋_GB2312" w:hAnsi="仿宋_GB2312" w:cs="仿宋_GB2312" w:eastAsia="仿宋_GB2312"/>
                            <w:sz w:val="19"/>
                          </w:rPr>
                          <w:t>200KVA变压器拆除更换，升级为800KVA变压器；同步完成配套高压、低压供电线路改造，配电柜、开关设备、接地系统、计量装置等配电设施整体升级优化，完善电力配套附属工程，保障医院供电容量、供电稳定性及用电安全达标。</w:t>
                        </w:r>
                        <w:r>
                          <w:rPr>
                            <w:rFonts w:ascii="仿宋_GB2312" w:hAnsi="仿宋_GB2312" w:cs="仿宋_GB2312" w:eastAsia="仿宋_GB2312"/>
                            <w:sz w:val="19"/>
                          </w:rPr>
                          <w:t>具体施工方案详见本项目设计图纸和工程量清单。</w:t>
                        </w:r>
                      </w:p>
                      <w:p>
                        <w:pPr>
                          <w:pStyle w:val="null3"/>
                          <w:jc w:val="both"/>
                        </w:pPr>
                        <w:r>
                          <w:rPr>
                            <w:rFonts w:ascii="仿宋_GB2312" w:hAnsi="仿宋_GB2312" w:cs="仿宋_GB2312" w:eastAsia="仿宋_GB2312"/>
                            <w:sz w:val="20"/>
                            <w:b/>
                          </w:rPr>
                          <w:t>1.2技术、服务标准及要求</w:t>
                        </w:r>
                      </w:p>
                      <w:p>
                        <w:pPr>
                          <w:pStyle w:val="null3"/>
                          <w:ind w:firstLine="420"/>
                          <w:jc w:val="both"/>
                        </w:pPr>
                        <w:r>
                          <w:rPr>
                            <w:rFonts w:ascii="仿宋_GB2312" w:hAnsi="仿宋_GB2312" w:cs="仿宋_GB2312" w:eastAsia="仿宋_GB2312"/>
                            <w:sz w:val="20"/>
                          </w:rPr>
                          <w:t>采购包</w:t>
                        </w:r>
                        <w:r>
                          <w:rPr>
                            <w:rFonts w:ascii="仿宋_GB2312" w:hAnsi="仿宋_GB2312" w:cs="仿宋_GB2312" w:eastAsia="仿宋_GB2312"/>
                            <w:sz w:val="20"/>
                          </w:rPr>
                          <w:t>1：</w:t>
                        </w:r>
                      </w:p>
                      <w:p>
                        <w:pPr>
                          <w:pStyle w:val="null3"/>
                          <w:ind w:firstLine="420"/>
                          <w:jc w:val="both"/>
                        </w:pPr>
                        <w:r>
                          <w:rPr>
                            <w:rFonts w:ascii="仿宋_GB2312" w:hAnsi="仿宋_GB2312" w:cs="仿宋_GB2312" w:eastAsia="仿宋_GB2312"/>
                            <w:sz w:val="20"/>
                          </w:rPr>
                          <w:t>采购包预算金额（元）：</w:t>
                        </w:r>
                        <w:r>
                          <w:rPr>
                            <w:rFonts w:ascii="仿宋_GB2312" w:hAnsi="仿宋_GB2312" w:cs="仿宋_GB2312" w:eastAsia="仿宋_GB2312"/>
                            <w:sz w:val="20"/>
                          </w:rPr>
                          <w:t>560000</w:t>
                        </w:r>
                        <w:r>
                          <w:rPr>
                            <w:rFonts w:ascii="仿宋_GB2312" w:hAnsi="仿宋_GB2312" w:cs="仿宋_GB2312" w:eastAsia="仿宋_GB2312"/>
                            <w:sz w:val="20"/>
                          </w:rPr>
                          <w:t>.00</w:t>
                        </w:r>
                      </w:p>
                      <w:p>
                        <w:pPr>
                          <w:pStyle w:val="null3"/>
                          <w:ind w:firstLine="420"/>
                          <w:jc w:val="both"/>
                        </w:pPr>
                        <w:r>
                          <w:rPr>
                            <w:rFonts w:ascii="仿宋_GB2312" w:hAnsi="仿宋_GB2312" w:cs="仿宋_GB2312" w:eastAsia="仿宋_GB2312"/>
                            <w:sz w:val="20"/>
                          </w:rPr>
                          <w:t>采购包最高限价（元）：</w:t>
                        </w:r>
                        <w:r>
                          <w:rPr>
                            <w:rFonts w:ascii="仿宋_GB2312" w:hAnsi="仿宋_GB2312" w:cs="仿宋_GB2312" w:eastAsia="仿宋_GB2312"/>
                            <w:sz w:val="20"/>
                          </w:rPr>
                          <w:t>560000</w:t>
                        </w:r>
                        <w:r>
                          <w:rPr>
                            <w:rFonts w:ascii="仿宋_GB2312" w:hAnsi="仿宋_GB2312" w:cs="仿宋_GB2312" w:eastAsia="仿宋_GB2312"/>
                            <w:sz w:val="20"/>
                          </w:rPr>
                          <w:t>.00</w:t>
                        </w:r>
                      </w:p>
                      <w:p>
                        <w:pPr>
                          <w:pStyle w:val="null3"/>
                          <w:jc w:val="both"/>
                        </w:pPr>
                        <w:r>
                          <w:rPr>
                            <w:rFonts w:ascii="仿宋_GB2312" w:hAnsi="仿宋_GB2312" w:cs="仿宋_GB2312" w:eastAsia="仿宋_GB2312"/>
                            <w:sz w:val="20"/>
                            <w:b/>
                          </w:rPr>
                          <w:t>2.1计划工期、缺陷责任期、质量保修期</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1）计划工期：</w:t>
                        </w:r>
                        <w:r>
                          <w:rPr>
                            <w:rFonts w:ascii="仿宋_GB2312" w:hAnsi="仿宋_GB2312" w:cs="仿宋_GB2312" w:eastAsia="仿宋_GB2312"/>
                            <w:sz w:val="20"/>
                          </w:rPr>
                          <w:t>45</w:t>
                        </w:r>
                        <w:r>
                          <w:rPr>
                            <w:rFonts w:ascii="仿宋_GB2312" w:hAnsi="仿宋_GB2312" w:cs="仿宋_GB2312" w:eastAsia="仿宋_GB2312"/>
                            <w:sz w:val="20"/>
                          </w:rPr>
                          <w:t>日历天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质量保修期：</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pPr>
                        <w:r>
                          <w:rPr>
                            <w:rFonts w:ascii="仿宋_GB2312" w:hAnsi="仿宋_GB2312" w:cs="仿宋_GB2312" w:eastAsia="仿宋_GB2312"/>
                            <w:sz w:val="20"/>
                            <w:b/>
                          </w:rPr>
                          <w:t>2.2供应商针对本项目的施工，必须达到国家及行业现行技术规范标准，符合国家及行业验收“合格”标准</w:t>
                        </w:r>
                        <w:r>
                          <w:rPr>
                            <w:rFonts w:ascii="仿宋_GB2312" w:hAnsi="仿宋_GB2312" w:cs="仿宋_GB2312" w:eastAsia="仿宋_GB2312"/>
                            <w:sz w:val="20"/>
                            <w:b/>
                          </w:rPr>
                          <w:t>；</w:t>
                        </w:r>
                        <w:r>
                          <w:rPr>
                            <w:rFonts w:ascii="仿宋_GB2312" w:hAnsi="仿宋_GB2312" w:cs="仿宋_GB2312" w:eastAsia="仿宋_GB2312"/>
                            <w:sz w:val="20"/>
                          </w:rPr>
                          <w:t>一次性通过采购人、供电主管部门竣工验收及并网验收，各项技术参数、供电指标完全达标。</w:t>
                        </w:r>
                      </w:p>
                      <w:p>
                        <w:pPr>
                          <w:pStyle w:val="null3"/>
                        </w:pPr>
                        <w:r>
                          <w:rPr>
                            <w:rFonts w:ascii="仿宋_GB2312" w:hAnsi="仿宋_GB2312" w:cs="仿宋_GB2312" w:eastAsia="仿宋_GB2312"/>
                            <w:sz w:val="20"/>
                            <w:b/>
                          </w:rPr>
                          <w:t>2.3施工要求</w:t>
                        </w:r>
                      </w:p>
                      <w:p>
                        <w:pPr>
                          <w:pStyle w:val="null3"/>
                        </w:pPr>
                        <w:r>
                          <w:rPr>
                            <w:rFonts w:ascii="仿宋_GB2312" w:hAnsi="仿宋_GB2312" w:cs="仿宋_GB2312" w:eastAsia="仿宋_GB2312"/>
                            <w:sz w:val="20"/>
                          </w:rPr>
                          <w:t>2.3.1办理工程相关施工手续，确保工程符合国家及地方相关施工管理规定，保证合法合规施工。</w:t>
                        </w:r>
                      </w:p>
                      <w:p>
                        <w:pPr>
                          <w:pStyle w:val="null3"/>
                        </w:pPr>
                        <w:r>
                          <w:rPr>
                            <w:rFonts w:ascii="仿宋_GB2312" w:hAnsi="仿宋_GB2312" w:cs="仿宋_GB2312" w:eastAsia="仿宋_GB2312"/>
                            <w:sz w:val="20"/>
                          </w:rPr>
                          <w:t>2.3.2在施工期间，中标供应商必须在不影响医院的正常医疗秩序的条件下施工，施工方应保障医院内人员安全。</w:t>
                        </w:r>
                      </w:p>
                      <w:p>
                        <w:pPr>
                          <w:pStyle w:val="null3"/>
                        </w:pPr>
                        <w:r>
                          <w:rPr>
                            <w:rFonts w:ascii="仿宋_GB2312" w:hAnsi="仿宋_GB2312" w:cs="仿宋_GB2312" w:eastAsia="仿宋_GB2312"/>
                            <w:sz w:val="20"/>
                          </w:rPr>
                          <w:t>2.3.3加强安全措施，并对施工人员进行安全教育。施工人员必须持证上岗。</w:t>
                        </w:r>
                      </w:p>
                      <w:p>
                        <w:pPr>
                          <w:pStyle w:val="null3"/>
                        </w:pPr>
                        <w:r>
                          <w:rPr>
                            <w:rFonts w:ascii="仿宋_GB2312" w:hAnsi="仿宋_GB2312" w:cs="仿宋_GB2312" w:eastAsia="仿宋_GB2312"/>
                            <w:sz w:val="20"/>
                          </w:rPr>
                          <w:t>2.3.4施工单位应充分考虑项目施工地点和工程的特殊性，必要时充分做好到封闭施工。</w:t>
                        </w:r>
                      </w:p>
                      <w:p>
                        <w:pPr>
                          <w:pStyle w:val="null3"/>
                        </w:pPr>
                        <w:r>
                          <w:rPr>
                            <w:rFonts w:ascii="仿宋_GB2312" w:hAnsi="仿宋_GB2312" w:cs="仿宋_GB2312" w:eastAsia="仿宋_GB2312"/>
                            <w:sz w:val="20"/>
                          </w:rPr>
                          <w:t>2.3.5施工单位</w:t>
                        </w:r>
                        <w:r>
                          <w:rPr>
                            <w:rFonts w:ascii="仿宋_GB2312" w:hAnsi="仿宋_GB2312" w:cs="仿宋_GB2312" w:eastAsia="仿宋_GB2312"/>
                            <w:sz w:val="20"/>
                          </w:rPr>
                          <w:t>须充分踏勘项目现场，熟知施工现场环境、医院用电现状及施工要求</w:t>
                        </w:r>
                        <w:r>
                          <w:rPr>
                            <w:rFonts w:ascii="仿宋_GB2312" w:hAnsi="仿宋_GB2312" w:cs="仿宋_GB2312" w:eastAsia="仿宋_GB2312"/>
                            <w:sz w:val="20"/>
                          </w:rPr>
                          <w:t>。</w:t>
                        </w:r>
                      </w:p>
                      <w:p>
                        <w:pPr>
                          <w:pStyle w:val="null3"/>
                        </w:pPr>
                        <w:r>
                          <w:rPr>
                            <w:rFonts w:ascii="仿宋_GB2312" w:hAnsi="仿宋_GB2312" w:cs="仿宋_GB2312" w:eastAsia="仿宋_GB2312"/>
                            <w:sz w:val="20"/>
                          </w:rPr>
                          <w:t>2.3.6中标供应商应对施工现场的安全负责，在整个施工过程中，不得出现任何事故，否则由此造成的一切后果均由中标供应商承担。</w:t>
                        </w:r>
                      </w:p>
                      <w:p>
                        <w:pPr>
                          <w:pStyle w:val="null3"/>
                        </w:pPr>
                        <w:r>
                          <w:rPr>
                            <w:rFonts w:ascii="仿宋_GB2312" w:hAnsi="仿宋_GB2312" w:cs="仿宋_GB2312" w:eastAsia="仿宋_GB2312"/>
                            <w:sz w:val="20"/>
                          </w:rPr>
                          <w:t>2.3.7若因本项目合同履行造成采购人、中标供应商、各方工作人员或任意第三方人身损害或财产损失的，由中标供应商承担全部责任，若采购人因此遭到索赔的，有权向中标供应商追偿。</w:t>
                        </w:r>
                      </w:p>
                      <w:p>
                        <w:pPr>
                          <w:pStyle w:val="null3"/>
                        </w:pPr>
                        <w:r>
                          <w:rPr>
                            <w:rFonts w:ascii="仿宋_GB2312" w:hAnsi="仿宋_GB2312" w:cs="仿宋_GB2312" w:eastAsia="仿宋_GB2312"/>
                            <w:sz w:val="20"/>
                            <w:b/>
                          </w:rPr>
                          <w:t>2.4计价依据</w:t>
                        </w:r>
                      </w:p>
                      <w:p>
                        <w:pPr>
                          <w:pStyle w:val="null3"/>
                          <w:numPr>
                            <w:ilvl w:val="0"/>
                            <w:numId w:val="1"/>
                          </w:numPr>
                        </w:pPr>
                        <w:r>
                          <w:rPr>
                            <w:rFonts w:ascii="仿宋_GB2312" w:hAnsi="仿宋_GB2312" w:cs="仿宋_GB2312" w:eastAsia="仿宋_GB2312"/>
                            <w:sz w:val="20"/>
                          </w:rPr>
                          <w:t>本项目施工图纸、技术规范、工程量清单及答疑补遗；</w:t>
                        </w:r>
                      </w:p>
                      <w:p>
                        <w:pPr>
                          <w:pStyle w:val="null3"/>
                          <w:numPr>
                            <w:ilvl w:val="0"/>
                            <w:numId w:val="1"/>
                          </w:numPr>
                        </w:pPr>
                        <w:r>
                          <w:rPr>
                            <w:rFonts w:ascii="仿宋_GB2312" w:hAnsi="仿宋_GB2312" w:cs="仿宋_GB2312" w:eastAsia="仿宋_GB2312"/>
                            <w:sz w:val="20"/>
                          </w:rPr>
                          <w:t>供应商依据市场价自主报价；</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本工程增值税计税方式为一般计税方法；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）其他相关资料</w:t>
                        </w:r>
                        <w:r>
                          <w:rPr>
                            <w:rFonts w:ascii="仿宋_GB2312" w:hAnsi="仿宋_GB2312" w:cs="仿宋_GB2312" w:eastAsia="仿宋_GB2312"/>
                            <w:sz w:val="20"/>
                          </w:rPr>
                          <w:t>。</w:t>
                        </w:r>
                      </w:p>
                      <w:p>
                        <w:pPr>
                          <w:pStyle w:val="null3"/>
                        </w:pPr>
                        <w:r>
                          <w:rPr>
                            <w:rFonts w:ascii="仿宋_GB2312" w:hAnsi="仿宋_GB2312" w:cs="仿宋_GB2312" w:eastAsia="仿宋_GB2312"/>
                            <w:sz w:val="19"/>
                          </w:rPr>
                          <w:t>★</w:t>
                        </w:r>
                        <w:r>
                          <w:rPr>
                            <w:rFonts w:ascii="仿宋_GB2312" w:hAnsi="仿宋_GB2312" w:cs="仿宋_GB2312" w:eastAsia="仿宋_GB2312"/>
                            <w:sz w:val="20"/>
                            <w:b/>
                          </w:rPr>
                          <w:t>2.5核心设备技术参数要求</w:t>
                        </w:r>
                      </w:p>
                      <w:p>
                        <w:pPr>
                          <w:pStyle w:val="null3"/>
                          <w:ind w:firstLine="480"/>
                        </w:pPr>
                        <w:r>
                          <w:rPr>
                            <w:rFonts w:ascii="仿宋_GB2312" w:hAnsi="仿宋_GB2312" w:cs="仿宋_GB2312" w:eastAsia="仿宋_GB2312"/>
                            <w:sz w:val="20"/>
                          </w:rPr>
                          <w:t>（一）主变压器设备要求</w:t>
                        </w:r>
                      </w:p>
                      <w:p>
                        <w:pPr>
                          <w:pStyle w:val="null3"/>
                          <w:ind w:firstLine="480"/>
                        </w:pPr>
                        <w:r>
                          <w:rPr>
                            <w:rFonts w:ascii="仿宋_GB2312" w:hAnsi="仿宋_GB2312" w:cs="仿宋_GB2312" w:eastAsia="仿宋_GB2312"/>
                            <w:sz w:val="20"/>
                          </w:rPr>
                          <w:t>1. 设备类型：采用节能型干式变压器，替代原有老旧高耗能油浸式变压器，具备防火防爆、低噪音、低损耗、抗短路、耐高温的特性，适配医院人员密集、环境密闭、安全等级要求高的使用场景。</w:t>
                        </w:r>
                      </w:p>
                      <w:p>
                        <w:pPr>
                          <w:pStyle w:val="null3"/>
                          <w:ind w:firstLine="480"/>
                        </w:pPr>
                        <w:r>
                          <w:rPr>
                            <w:rFonts w:ascii="仿宋_GB2312" w:hAnsi="仿宋_GB2312" w:cs="仿宋_GB2312" w:eastAsia="仿宋_GB2312"/>
                            <w:sz w:val="20"/>
                          </w:rPr>
                          <w:t>2. 额定参数：额定容量800KVA，额定电压、绝缘等级、负载损耗、空载损耗等核心指标严格符合国家一级能效标准，相比老旧设备有效降低电力损耗，实现医院用电降本增效。</w:t>
                        </w:r>
                      </w:p>
                      <w:p>
                        <w:pPr>
                          <w:pStyle w:val="null3"/>
                          <w:ind w:firstLine="480"/>
                        </w:pPr>
                        <w:r>
                          <w:rPr>
                            <w:rFonts w:ascii="仿宋_GB2312" w:hAnsi="仿宋_GB2312" w:cs="仿宋_GB2312" w:eastAsia="仿宋_GB2312"/>
                            <w:sz w:val="20"/>
                          </w:rPr>
                          <w:t>3. 智能功能：配备远程监控、实时负荷监测、故障自动预警、超压过载保护功能，可实时上传设备运行数据，支持后台智能化运维管理，杜绝无预警故障停机问题。</w:t>
                        </w:r>
                      </w:p>
                      <w:p>
                        <w:pPr>
                          <w:pStyle w:val="null3"/>
                          <w:ind w:firstLine="480"/>
                        </w:pPr>
                        <w:r>
                          <w:rPr>
                            <w:rFonts w:ascii="仿宋_GB2312" w:hAnsi="仿宋_GB2312" w:cs="仿宋_GB2312" w:eastAsia="仿宋_GB2312"/>
                            <w:sz w:val="20"/>
                          </w:rPr>
                          <w:t>4. 质量标准：设备为一线品牌全新正品，无翻新、无瑕疵，各项技术参数符合国家电力设备检测标准，可顺利通过电力部门验收。</w:t>
                        </w:r>
                      </w:p>
                      <w:p>
                        <w:pPr>
                          <w:pStyle w:val="null3"/>
                          <w:ind w:firstLine="480"/>
                        </w:pPr>
                        <w:r>
                          <w:rPr>
                            <w:rFonts w:ascii="仿宋_GB2312" w:hAnsi="仿宋_GB2312" w:cs="仿宋_GB2312" w:eastAsia="仿宋_GB2312"/>
                            <w:sz w:val="20"/>
                          </w:rPr>
                          <w:t>（二）配套配电设施要求</w:t>
                        </w:r>
                      </w:p>
                      <w:p>
                        <w:pPr>
                          <w:pStyle w:val="null3"/>
                          <w:ind w:firstLine="480"/>
                        </w:pPr>
                        <w:r>
                          <w:rPr>
                            <w:rFonts w:ascii="仿宋_GB2312" w:hAnsi="仿宋_GB2312" w:cs="仿宋_GB2312" w:eastAsia="仿宋_GB2312"/>
                            <w:sz w:val="20"/>
                          </w:rPr>
                          <w:t>1. 高低压配电柜：全新升级适配800KVA变压器的高低压配电柜，柜体结构稳固、防护等级高，具备过载、短路、漏电、欠压等多重保护功能，布局规范、操作便捷。</w:t>
                        </w:r>
                      </w:p>
                      <w:p>
                        <w:pPr>
                          <w:pStyle w:val="null3"/>
                          <w:ind w:firstLine="480"/>
                        </w:pPr>
                        <w:r>
                          <w:rPr>
                            <w:rFonts w:ascii="仿宋_GB2312" w:hAnsi="仿宋_GB2312" w:cs="仿宋_GB2312" w:eastAsia="仿宋_GB2312"/>
                            <w:sz w:val="20"/>
                          </w:rPr>
                          <w:t>2. 线路及辅材：全部更换老旧老化电缆、线路，采用国标高品质电力线缆，承载力匹配新变压器负荷，耐腐蚀、抗老化、导电性能稳定；配套完善无功补偿装置、谐波治理装置，解决原有配电系统功率因数低、谐波干扰大的问题，提升整体供电效率。</w:t>
                        </w:r>
                      </w:p>
                      <w:p>
                        <w:pPr>
                          <w:pStyle w:val="null3"/>
                          <w:ind w:firstLine="480"/>
                        </w:pPr>
                        <w:r>
                          <w:rPr>
                            <w:rFonts w:ascii="仿宋_GB2312" w:hAnsi="仿宋_GB2312" w:cs="仿宋_GB2312" w:eastAsia="仿宋_GB2312"/>
                            <w:sz w:val="20"/>
                          </w:rPr>
                          <w:t>3. 智能系统：配套搭建配电智能监控平台，实现变压器、配电柜、供电线路全时段运行监测、故障报警、数据统计分析，满足智慧医院电力运维管理要求。</w:t>
                        </w:r>
                      </w:p>
                    </w:tc>
                  </w:tr>
                </w:tbl>
                <w:p>
                  <w:pPr>
                    <w:pStyle w:val="null3"/>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1、办理工程相关施工手续，确保工程符合国家及地方相关施工管理规定，保证合法合规施工； 2、在施工期间，中标供应商必须在不影响医院的正常医疗秩序的条件下施工，施工方应保障医院内人员安全； 3、加强安全措施，并对施工人员进行安全教育。施工人员必须持证上岗； 4、施工单位应充分考虑项目施工地点和工程的特殊性，必要时充分做好到封闭施工； 5、参与本项目的施工人员进行高空作业时，须持有高空作业相关资质证书方可进行施工； 6、中标供应商应对施工现场的安全负责，在整个施工过程中，不得出现任何事故，在进行高空/楼顶作业时，应采取必要措施避免意外事故及高空坠落，否则由此造成的一切后果均由中标供应商承担； 7、若因本项目合同履行造成采购人、中标供应商、各方工作人员或任意第三方人身损害或财产损失的，由中标供应商承担全部责任，若采购人因此遭到索赔的，有权向中标供应商追偿。验收标准要求：1、整体项目完工后，需严格按照国家电力行业标准、医疗建筑电气规范、消防安全标准进行全面自检，确保所有设备运行正常、供电负荷稳定、各项技术指标达标。2、顺利通过电力部门、消防部门及行业第三方检测机构验收，出具完整的检测报告、验收资料，确保项目合规合法，无安全生产及用电合规隐患。3、验收完成后需向医院提供全套施工图纸、设备合格证、检测报告、操作手册、维保档案等完整资料，完成技术交底、人员培训工作。售后维保及服务要求：1、项目整体质保期限不低于3年，核心设备质保期按照一线品牌原厂标准执行，质保期内免费提供设备维修、零部件更换、系统调试、日常巡检服务。2、质保期内提供7×24小时应急抢修服务，接到设备故障报修后，需在2小时内响应、4小时内到场处置，快速解决供电故障，保障医院电力系统稳定运行。3、质保期结束后，需提供终身成本价运维服务，定期提供电力系统巡检、设备保养、技术升级建议，持续保障医院配电系统安全高效运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需要落实的政府采购政策：1、关于印发《政府采购促进中小企业发展管理办法》的通知（财库〔2020〕46号）；2、《财政部、司法部关于政府采购支持监狱企业发展有关问题的通知》（财库〔2014〕68号）；3、《民政部、财政部、中国残疾人联合会关于促进残疾人就业政府采购政策的通知》（财库〔2017〕141号）；4、财政部、国家发展和改革委员会关于印发《节能产品政府采购实施意见》的通知（财库〔2004〕185号）；5、《关于印发环境标志产品政府采购品目清单的通知》（财库〔2019〕18号）；6、《关于印发节能产品政府采购品目清单的通知》（财库〔2019〕19号）；7、《关于进一步加强政府绿色采购有关问题的通知》（陕财办采〔2021〕29号）；8、《财政部、发展改革委、生态环境部、市场监管总局关于调整优化节能产品、环境标志产品政府采购执行机制的通知》（财库〔2019〕9号）；9、《陕西省财政厅关于加快推进我省中小企业政府采购信用融资工作的通知》（陕财办采〔2020〕15号）；10、《关于运用政府采购政策支持乡村产业振兴的通知》（财库〔2021〕19号）；11、《关于深入开展政府采购脱贫地区农副产品工作推进乡村产业振兴的实施意见》的通知（财库〔2021〕20号）；12、《财政部关于进一步加大政府采购支持中小企业力度的通知》（财库〔2022〕19号）；13、陕西省财政厅关于印发《陕西省中小企业政府采购信用融资办法》（陕财办采〔2018〕23号）；14、《财政部关于在政府采购活动中查询及使用信用记录有关问题的通知》（财库〔2016〕125号）；15、《陕西省财政厅关于落实政府采购支持中小企业政策有关事项的通知》（陕财办采函〔2022〕10号）；14、其他需要落实的政府采购政策（如有最新颁布的政府采购政策，按最新的文件执行）。 二、供应商务必在开标截止时间30分钟前，通过项目电子化交易系统进行签到，如未进行签到，产生的一切后果由供应商自行承担。 三、报价说明：报价包含全部成本、利润、税金和风险。 四、本项目属于非专门面向中小企业采购。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截至资格预审申请文件提交截止日一年内银行出具的资信证明，③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技术方案.pdf 供应商应提交的相关资格证明材料 响应函 电力增容改造项目清单报价表.xlsx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提供法定代表人授权委托书及被授权人身份证及被授权人近三个月在本单位社保缴纳的证明资料（供应商为法定代表人时，须提交法定代表人证明书及身份证复印件且与营业执照上信息须一致）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政府采购活动前3年内没有重大违法记录书面声明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应提供2025年经审计的财务报告且出具的审计报告应当经过注册会计师行业统一监管平台备案赋码（事业法人可提供部门决算报告）或基本开户银行出具的资信证明或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供应商应具备建设行政主管部门核发的电力工程施工总承包三级（含）以上资质或输变电工程专业承包三级(含三级)以上资质；同时具备有效的承装（修、试）电力设施许可证三级（含）以上（新证）；并在人员、设备、资金等方面具备相应的能力，且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供应商拟派项目经理须具备机电工程专业二级及以上注册建造师资格、在本单位注册并且具有安全生产考核合格证（B证）且无不良信用记录，无在建工程（提供承诺书）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不得为“信用中国”网站（www.cre 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须符合财政部工业和信息化部《关于印发〈政府采购促进中小企业发展管理办法〉的通知》（财库〔2020〕46号）规定的中小企业参加，并提供《中小企业声明函 》</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劳动力投入计 划及保证措施</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方案内容专门针对本项目编制，符合项目实际情况及实施要求，内容详尽且涵盖角度全面，合理性和可行性强，能够保障项目顺利实施的，得5分； 方案内容能够针对本项目编制，符合项目实际情况及实施要求，内容详尽且涵盖角度基本全面，有一定的合理性和可行性的，得4分； 方案内容基本能够针对本项目编制，基本符合项目实际情况及实施要求，内容较详细，涵盖角度较全面，基本合理可行的，得3分； 具有方案内容但内容未贴合本项目，内容涵盖角度不全面且实施有难度的，得2分； 具有方案内容但内容未针对本项目，内容空洞宽泛，可实施性不强，得1分；未提供方案内容不得分。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供电应急预案</w:t>
            </w:r>
          </w:p>
        </w:tc>
        <w:tc>
          <w:tcPr>
            <w:tcW w:type="dxa" w:w="2492"/>
          </w:tcPr>
          <w:p>
            <w:pPr>
              <w:pStyle w:val="null3"/>
            </w:pPr>
            <w:r>
              <w:rPr>
                <w:rFonts w:ascii="仿宋_GB2312" w:hAnsi="仿宋_GB2312" w:cs="仿宋_GB2312" w:eastAsia="仿宋_GB2312"/>
              </w:rPr>
              <w:t>确保不可控因素导致无法供电或施工时电力不足的供电应急预案，符合项目实际情况及实施要求，内容详尽且涵盖角度全面，合理性和可行性强，能够保障项目顺利实施的，得5分； 应急预案内容能够针对本项目编制，符合项目实际情况及实施要求，内容详尽且涵盖角度基本全面，有一定的合理性和可行性的，得4分； 应急预案内容基本能够针对本项目编制，基本符合项目实际情况及实施要求，内容较详细，涵盖角度较全面，基本合理可行的，得3分； 具有应急预案内容但内容未贴合本项目，应急预案内容涵盖角度不全面且实施有难度的，得2分； 具有应急预案内容但内容未针对本项目，内容空洞宽泛，可实施性不强，得1分；未提供应急预案内容不得分。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提供2023年5月至今(附合同或中标通知书复印件，以施工合同签订日期为准)类似项目的业绩，每个业绩得2.5分，最高得10分，未按要求的不得分。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供应商认为需提供的其他材料.pdf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提供2023年5月至今(附合同或中标通知书复印件，以施工合同签订日期为准)类似项目的业绩，每个业绩得2.5分，最高得5分，未按要求的不得分。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电力增容改造项目清单报价表.xlsx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电力增容改造项目清单报价表.xlsx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电力增容改造项目清单报价表.xlsx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详见附件：供应商认为需提供的其他材料.pdf</w:t>
      </w:r>
    </w:p>
    <w:p>
      <w:pPr>
        <w:pStyle w:val="null3"/>
        <w:ind w:firstLine="960"/>
      </w:pPr>
      <w:r>
        <w:rPr>
          <w:rFonts w:ascii="仿宋_GB2312" w:hAnsi="仿宋_GB2312" w:cs="仿宋_GB2312" w:eastAsia="仿宋_GB2312"/>
        </w:rPr>
        <w:t>详见附件：电力增容改造项目清单报价表.xlsx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详见附件：电力增容施工合同模板.docx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