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41121A">
      <w:pPr>
        <w:jc w:val="center"/>
        <w:rPr>
          <w:rFonts w:hint="eastAsia" w:ascii="仿宋_GB2312" w:hAnsi="仿宋_GB2312" w:eastAsia="仿宋_GB2312" w:cs="仿宋_GB2312"/>
          <w:b/>
          <w:bCs/>
          <w:color w:val="auto"/>
          <w:sz w:val="44"/>
          <w:szCs w:val="44"/>
          <w:highlight w:val="none"/>
        </w:rPr>
      </w:pPr>
    </w:p>
    <w:p w14:paraId="56DF0C20">
      <w:pPr>
        <w:jc w:val="center"/>
        <w:rPr>
          <w:rFonts w:hint="eastAsia" w:ascii="仿宋_GB2312" w:hAnsi="仿宋_GB2312" w:eastAsia="仿宋_GB2312" w:cs="仿宋_GB2312"/>
          <w:b/>
          <w:bCs/>
          <w:color w:val="auto"/>
          <w:sz w:val="44"/>
          <w:szCs w:val="44"/>
          <w:highlight w:val="none"/>
          <w:lang w:eastAsia="zh-CN"/>
        </w:rPr>
      </w:pPr>
    </w:p>
    <w:p w14:paraId="64032741">
      <w:pPr>
        <w:jc w:val="center"/>
        <w:rPr>
          <w:rFonts w:hint="eastAsia" w:ascii="仿宋_GB2312" w:hAnsi="仿宋_GB2312" w:eastAsia="仿宋_GB2312" w:cs="仿宋_GB2312"/>
          <w:b/>
          <w:bCs/>
          <w:color w:val="auto"/>
          <w:sz w:val="44"/>
          <w:szCs w:val="44"/>
          <w:highlight w:val="none"/>
          <w:lang w:eastAsia="zh-CN"/>
        </w:rPr>
      </w:pPr>
    </w:p>
    <w:p w14:paraId="248EB6D3">
      <w:pPr>
        <w:jc w:val="center"/>
        <w:rPr>
          <w:rFonts w:hint="eastAsia" w:ascii="仿宋_GB2312" w:hAnsi="仿宋_GB2312" w:eastAsia="仿宋_GB2312" w:cs="仿宋_GB2312"/>
          <w:b/>
          <w:bCs/>
          <w:color w:val="auto"/>
          <w:sz w:val="44"/>
          <w:szCs w:val="44"/>
          <w:highlight w:val="none"/>
          <w:lang w:eastAsia="zh-CN"/>
        </w:rPr>
      </w:pPr>
      <w:r>
        <w:rPr>
          <w:rFonts w:hint="eastAsia" w:ascii="仿宋_GB2312" w:hAnsi="仿宋_GB2312" w:eastAsia="仿宋_GB2312" w:cs="仿宋_GB2312"/>
          <w:b/>
          <w:bCs/>
          <w:color w:val="auto"/>
          <w:sz w:val="44"/>
          <w:szCs w:val="44"/>
          <w:highlight w:val="none"/>
          <w:lang w:eastAsia="zh-CN"/>
        </w:rPr>
        <w:t>淳化县公办幼儿园校车运营服务购买项目</w:t>
      </w:r>
    </w:p>
    <w:p w14:paraId="3EB25DCC">
      <w:pPr>
        <w:rPr>
          <w:rFonts w:hint="eastAsia" w:ascii="仿宋_GB2312" w:hAnsi="仿宋_GB2312" w:eastAsia="仿宋_GB2312" w:cs="仿宋_GB2312"/>
          <w:color w:val="auto"/>
          <w:highlight w:val="none"/>
        </w:rPr>
      </w:pPr>
    </w:p>
    <w:p w14:paraId="57577285">
      <w:pPr>
        <w:rPr>
          <w:rFonts w:hint="eastAsia" w:ascii="仿宋_GB2312" w:hAnsi="仿宋_GB2312" w:eastAsia="仿宋_GB2312" w:cs="仿宋_GB2312"/>
          <w:color w:val="auto"/>
          <w:highlight w:val="none"/>
        </w:rPr>
      </w:pPr>
    </w:p>
    <w:p w14:paraId="62EEA627">
      <w:pPr>
        <w:rPr>
          <w:rFonts w:hint="eastAsia" w:ascii="仿宋_GB2312" w:hAnsi="仿宋_GB2312" w:eastAsia="仿宋_GB2312" w:cs="仿宋_GB2312"/>
          <w:color w:val="auto"/>
          <w:highlight w:val="none"/>
        </w:rPr>
      </w:pPr>
    </w:p>
    <w:p w14:paraId="6FD4FB90">
      <w:pPr>
        <w:rPr>
          <w:rFonts w:hint="eastAsia" w:ascii="仿宋_GB2312" w:hAnsi="仿宋_GB2312" w:eastAsia="仿宋_GB2312" w:cs="仿宋_GB2312"/>
          <w:color w:val="auto"/>
          <w:highlight w:val="none"/>
        </w:rPr>
      </w:pPr>
    </w:p>
    <w:p w14:paraId="3CDF9BFD">
      <w:pPr>
        <w:jc w:val="center"/>
        <w:rPr>
          <w:rFonts w:hint="eastAsia" w:ascii="仿宋_GB2312" w:hAnsi="仿宋_GB2312" w:eastAsia="仿宋_GB2312" w:cs="仿宋_GB2312"/>
          <w:b/>
          <w:color w:val="auto"/>
          <w:sz w:val="48"/>
          <w:szCs w:val="48"/>
          <w:highlight w:val="none"/>
        </w:rPr>
      </w:pPr>
      <w:r>
        <w:rPr>
          <w:rFonts w:hint="eastAsia" w:ascii="仿宋_GB2312" w:hAnsi="仿宋_GB2312" w:eastAsia="仿宋_GB2312" w:cs="仿宋_GB2312"/>
          <w:b/>
          <w:color w:val="auto"/>
          <w:sz w:val="48"/>
          <w:szCs w:val="48"/>
          <w:highlight w:val="none"/>
        </w:rPr>
        <w:t>政府采购合同</w:t>
      </w:r>
    </w:p>
    <w:p w14:paraId="6761D336">
      <w:pPr>
        <w:jc w:val="center"/>
        <w:rPr>
          <w:rFonts w:hint="eastAsia" w:ascii="仿宋_GB2312" w:hAnsi="仿宋_GB2312" w:eastAsia="仿宋_GB2312" w:cs="仿宋_GB2312"/>
          <w:b/>
          <w:color w:val="auto"/>
          <w:sz w:val="48"/>
          <w:szCs w:val="48"/>
          <w:highlight w:val="none"/>
        </w:rPr>
      </w:pPr>
    </w:p>
    <w:p w14:paraId="2595C411">
      <w:pPr>
        <w:jc w:val="center"/>
        <w:rPr>
          <w:rFonts w:hint="eastAsia" w:ascii="仿宋_GB2312" w:hAnsi="仿宋_GB2312" w:eastAsia="仿宋_GB2312" w:cs="仿宋_GB2312"/>
          <w:b/>
          <w:color w:val="auto"/>
          <w:sz w:val="48"/>
          <w:szCs w:val="48"/>
          <w:highlight w:val="none"/>
        </w:rPr>
      </w:pPr>
    </w:p>
    <w:p w14:paraId="7AE5B4B5">
      <w:pPr>
        <w:jc w:val="center"/>
        <w:rPr>
          <w:rFonts w:hint="eastAsia" w:ascii="仿宋_GB2312" w:hAnsi="仿宋_GB2312" w:eastAsia="仿宋_GB2312" w:cs="仿宋_GB2312"/>
          <w:b/>
          <w:bCs/>
          <w:color w:val="auto"/>
          <w:sz w:val="30"/>
          <w:szCs w:val="30"/>
          <w:highlight w:val="none"/>
        </w:rPr>
      </w:pPr>
      <w:r>
        <w:rPr>
          <w:rFonts w:hint="eastAsia" w:ascii="仿宋_GB2312" w:hAnsi="仿宋_GB2312" w:eastAsia="仿宋_GB2312" w:cs="仿宋_GB2312"/>
          <w:b/>
          <w:color w:val="auto"/>
          <w:sz w:val="32"/>
          <w:szCs w:val="32"/>
          <w:highlight w:val="none"/>
        </w:rPr>
        <w:t>合同编号：</w:t>
      </w:r>
    </w:p>
    <w:p w14:paraId="3029A040">
      <w:pPr>
        <w:rPr>
          <w:rFonts w:hint="eastAsia" w:ascii="仿宋" w:hAnsi="仿宋" w:eastAsia="仿宋" w:cs="仿宋"/>
          <w:b/>
          <w:color w:val="auto"/>
          <w:highlight w:val="none"/>
        </w:rPr>
      </w:pPr>
    </w:p>
    <w:p w14:paraId="5F1899A2">
      <w:pPr>
        <w:rPr>
          <w:rFonts w:hint="eastAsia" w:ascii="仿宋" w:hAnsi="仿宋" w:eastAsia="仿宋" w:cs="仿宋"/>
          <w:b/>
          <w:color w:val="auto"/>
          <w:highlight w:val="none"/>
        </w:rPr>
      </w:pPr>
    </w:p>
    <w:p w14:paraId="54951A31">
      <w:pPr>
        <w:rPr>
          <w:rFonts w:hint="eastAsia" w:ascii="仿宋" w:hAnsi="仿宋" w:eastAsia="仿宋" w:cs="仿宋"/>
          <w:b/>
          <w:color w:val="auto"/>
          <w:highlight w:val="none"/>
        </w:rPr>
      </w:pPr>
    </w:p>
    <w:p w14:paraId="1758ECF7">
      <w:pPr>
        <w:rPr>
          <w:rFonts w:hint="eastAsia" w:ascii="仿宋" w:hAnsi="仿宋" w:eastAsia="仿宋" w:cs="仿宋"/>
          <w:b/>
          <w:color w:val="auto"/>
          <w:highlight w:val="none"/>
        </w:rPr>
      </w:pPr>
    </w:p>
    <w:p w14:paraId="5A2FAEB8">
      <w:pPr>
        <w:rPr>
          <w:rFonts w:hint="eastAsia" w:ascii="仿宋" w:hAnsi="仿宋" w:eastAsia="仿宋" w:cs="仿宋"/>
          <w:b/>
          <w:color w:val="auto"/>
          <w:highlight w:val="none"/>
        </w:rPr>
      </w:pPr>
    </w:p>
    <w:p w14:paraId="2416995A">
      <w:pPr>
        <w:rPr>
          <w:rFonts w:hint="eastAsia" w:ascii="仿宋" w:hAnsi="仿宋" w:eastAsia="仿宋" w:cs="仿宋"/>
          <w:b/>
          <w:color w:val="auto"/>
          <w:highlight w:val="none"/>
        </w:rPr>
      </w:pPr>
    </w:p>
    <w:p w14:paraId="667CF096">
      <w:pPr>
        <w:rPr>
          <w:rFonts w:hint="eastAsia" w:ascii="仿宋_GB2312" w:hAnsi="仿宋_GB2312" w:eastAsia="仿宋_GB2312" w:cs="仿宋_GB2312"/>
          <w:b/>
          <w:color w:val="auto"/>
          <w:highlight w:val="none"/>
        </w:rPr>
      </w:pPr>
    </w:p>
    <w:p w14:paraId="2891E14A">
      <w:pPr>
        <w:rPr>
          <w:rFonts w:hint="eastAsia" w:ascii="仿宋_GB2312" w:hAnsi="仿宋_GB2312" w:eastAsia="仿宋_GB2312" w:cs="仿宋_GB2312"/>
          <w:b/>
          <w:color w:val="auto"/>
          <w:highlight w:val="none"/>
        </w:rPr>
      </w:pPr>
    </w:p>
    <w:p w14:paraId="5414052E">
      <w:pPr>
        <w:rPr>
          <w:rFonts w:hint="eastAsia" w:ascii="仿宋_GB2312" w:hAnsi="仿宋_GB2312" w:eastAsia="仿宋_GB2312" w:cs="仿宋_GB2312"/>
          <w:b/>
          <w:color w:val="auto"/>
          <w:sz w:val="48"/>
          <w:szCs w:val="48"/>
          <w:highlight w:val="none"/>
        </w:rPr>
      </w:pPr>
    </w:p>
    <w:p w14:paraId="241CB269">
      <w:pPr>
        <w:autoSpaceDE w:val="0"/>
        <w:autoSpaceDN w:val="0"/>
        <w:adjustRightInd w:val="0"/>
        <w:snapToGrid w:val="0"/>
        <w:spacing w:line="560" w:lineRule="exact"/>
        <w:ind w:firstLine="1836" w:firstLineChars="500"/>
        <w:rPr>
          <w:rFonts w:hint="eastAsia" w:ascii="仿宋_GB2312" w:hAnsi="仿宋_GB2312" w:eastAsia="仿宋_GB2312" w:cs="仿宋_GB2312"/>
          <w:b/>
          <w:color w:val="auto"/>
          <w:sz w:val="32"/>
          <w:szCs w:val="32"/>
          <w:highlight w:val="none"/>
          <w:u w:val="single"/>
        </w:rPr>
      </w:pPr>
      <w:r>
        <w:rPr>
          <w:rFonts w:hint="eastAsia" w:ascii="仿宋_GB2312" w:hAnsi="仿宋_GB2312" w:eastAsia="仿宋_GB2312" w:cs="仿宋_GB2312"/>
          <w:b/>
          <w:color w:val="auto"/>
          <w:spacing w:val="23"/>
          <w:sz w:val="32"/>
          <w:szCs w:val="32"/>
          <w:highlight w:val="none"/>
        </w:rPr>
        <w:t>甲方</w:t>
      </w:r>
      <w:r>
        <w:rPr>
          <w:rFonts w:hint="eastAsia" w:ascii="仿宋_GB2312" w:hAnsi="仿宋_GB2312" w:eastAsia="仿宋_GB2312" w:cs="仿宋_GB2312"/>
          <w:b/>
          <w:color w:val="auto"/>
          <w:sz w:val="32"/>
          <w:szCs w:val="32"/>
          <w:highlight w:val="none"/>
        </w:rPr>
        <w:t>（</w:t>
      </w:r>
      <w:r>
        <w:rPr>
          <w:rFonts w:hint="eastAsia" w:ascii="仿宋_GB2312" w:hAnsi="仿宋_GB2312" w:eastAsia="仿宋_GB2312" w:cs="仿宋_GB2312"/>
          <w:color w:val="auto"/>
          <w:highlight w:val="none"/>
        </w:rPr>
        <w:fldChar w:fldCharType="begin"/>
      </w:r>
      <w:r>
        <w:rPr>
          <w:rFonts w:hint="eastAsia" w:ascii="仿宋_GB2312" w:hAnsi="仿宋_GB2312" w:eastAsia="仿宋_GB2312" w:cs="仿宋_GB2312"/>
          <w:color w:val="auto"/>
          <w:highlight w:val="none"/>
        </w:rPr>
        <w:instrText xml:space="preserve"> HYPERLINK "http://set2.mail.qq.com/cgi-bin/mail_spam?action=check_link&amp;spam=0&amp;url=http%3A%2F%2Fwww%2Ebaidu%2Ecom%2Fs%3Fwd%3D%25E9%2587%2587%25E8%25B4%25AD%25E5%258D%2595%26hl_tag%3Dtextlink%26tn%3DSE_hldp01350_v6v6zkg6" </w:instrText>
      </w:r>
      <w:r>
        <w:rPr>
          <w:rFonts w:hint="eastAsia" w:ascii="仿宋_GB2312" w:hAnsi="仿宋_GB2312" w:eastAsia="仿宋_GB2312" w:cs="仿宋_GB2312"/>
          <w:color w:val="auto"/>
          <w:highlight w:val="none"/>
        </w:rPr>
        <w:fldChar w:fldCharType="separate"/>
      </w:r>
      <w:r>
        <w:rPr>
          <w:rFonts w:hint="eastAsia" w:ascii="仿宋_GB2312" w:hAnsi="仿宋_GB2312" w:eastAsia="仿宋_GB2312" w:cs="仿宋_GB2312"/>
          <w:b/>
          <w:color w:val="auto"/>
          <w:spacing w:val="23"/>
          <w:sz w:val="32"/>
          <w:szCs w:val="32"/>
          <w:highlight w:val="none"/>
        </w:rPr>
        <w:t>采购人</w:t>
      </w:r>
      <w:r>
        <w:rPr>
          <w:rFonts w:hint="eastAsia" w:ascii="仿宋_GB2312" w:hAnsi="仿宋_GB2312" w:eastAsia="仿宋_GB2312" w:cs="仿宋_GB2312"/>
          <w:b/>
          <w:color w:val="auto"/>
          <w:spacing w:val="23"/>
          <w:sz w:val="32"/>
          <w:szCs w:val="32"/>
          <w:highlight w:val="none"/>
        </w:rPr>
        <w:fldChar w:fldCharType="end"/>
      </w:r>
      <w:r>
        <w:rPr>
          <w:rFonts w:hint="eastAsia" w:ascii="仿宋_GB2312" w:hAnsi="仿宋_GB2312" w:eastAsia="仿宋_GB2312" w:cs="仿宋_GB2312"/>
          <w:b/>
          <w:color w:val="auto"/>
          <w:sz w:val="32"/>
          <w:szCs w:val="32"/>
          <w:highlight w:val="none"/>
        </w:rPr>
        <w:t>）：</w:t>
      </w:r>
      <w:r>
        <w:rPr>
          <w:rFonts w:hint="eastAsia" w:ascii="仿宋_GB2312" w:hAnsi="仿宋_GB2312" w:eastAsia="仿宋_GB2312" w:cs="仿宋_GB2312"/>
          <w:b/>
          <w:color w:val="auto"/>
          <w:sz w:val="32"/>
          <w:szCs w:val="32"/>
          <w:highlight w:val="none"/>
          <w:u w:val="single"/>
        </w:rPr>
        <w:t xml:space="preserve">                </w:t>
      </w:r>
    </w:p>
    <w:p w14:paraId="564788D9">
      <w:pPr>
        <w:autoSpaceDE w:val="0"/>
        <w:autoSpaceDN w:val="0"/>
        <w:adjustRightInd w:val="0"/>
        <w:snapToGrid w:val="0"/>
        <w:spacing w:line="560" w:lineRule="exact"/>
        <w:ind w:firstLine="1606" w:firstLineChars="500"/>
        <w:rPr>
          <w:rFonts w:hint="eastAsia" w:ascii="仿宋_GB2312" w:hAnsi="仿宋_GB2312" w:eastAsia="仿宋_GB2312" w:cs="仿宋_GB2312"/>
          <w:b/>
          <w:color w:val="auto"/>
          <w:sz w:val="32"/>
          <w:szCs w:val="32"/>
          <w:highlight w:val="none"/>
          <w:u w:val="single"/>
        </w:rPr>
      </w:pPr>
    </w:p>
    <w:p w14:paraId="443C2D25">
      <w:pPr>
        <w:autoSpaceDE w:val="0"/>
        <w:autoSpaceDN w:val="0"/>
        <w:adjustRightInd w:val="0"/>
        <w:snapToGrid w:val="0"/>
        <w:spacing w:line="560" w:lineRule="exact"/>
        <w:ind w:firstLine="1836" w:firstLineChars="500"/>
        <w:rPr>
          <w:rFonts w:hint="eastAsia" w:ascii="仿宋_GB2312" w:hAnsi="仿宋_GB2312" w:eastAsia="仿宋_GB2312" w:cs="仿宋_GB2312"/>
          <w:b/>
          <w:color w:val="auto"/>
          <w:sz w:val="32"/>
          <w:szCs w:val="32"/>
          <w:highlight w:val="none"/>
          <w:u w:val="single"/>
        </w:rPr>
      </w:pPr>
      <w:r>
        <w:rPr>
          <w:rFonts w:hint="eastAsia" w:ascii="仿宋_GB2312" w:hAnsi="仿宋_GB2312" w:eastAsia="仿宋_GB2312" w:cs="仿宋_GB2312"/>
          <w:b/>
          <w:color w:val="auto"/>
          <w:spacing w:val="23"/>
          <w:sz w:val="32"/>
          <w:szCs w:val="32"/>
          <w:highlight w:val="none"/>
        </w:rPr>
        <w:t>乙方</w:t>
      </w:r>
      <w:r>
        <w:rPr>
          <w:rFonts w:hint="eastAsia" w:ascii="仿宋_GB2312" w:hAnsi="仿宋_GB2312" w:eastAsia="仿宋_GB2312" w:cs="仿宋_GB2312"/>
          <w:b/>
          <w:color w:val="auto"/>
          <w:sz w:val="32"/>
          <w:szCs w:val="32"/>
          <w:highlight w:val="none"/>
        </w:rPr>
        <w:t>（</w:t>
      </w:r>
      <w:r>
        <w:rPr>
          <w:rFonts w:hint="eastAsia" w:ascii="仿宋_GB2312" w:hAnsi="仿宋_GB2312" w:eastAsia="仿宋_GB2312" w:cs="仿宋_GB2312"/>
          <w:b/>
          <w:color w:val="auto"/>
          <w:spacing w:val="23"/>
          <w:sz w:val="32"/>
          <w:szCs w:val="32"/>
          <w:highlight w:val="none"/>
        </w:rPr>
        <w:t>中标人</w:t>
      </w:r>
      <w:r>
        <w:rPr>
          <w:rFonts w:hint="eastAsia" w:ascii="仿宋_GB2312" w:hAnsi="仿宋_GB2312" w:eastAsia="仿宋_GB2312" w:cs="仿宋_GB2312"/>
          <w:b/>
          <w:color w:val="auto"/>
          <w:sz w:val="32"/>
          <w:szCs w:val="32"/>
          <w:highlight w:val="none"/>
        </w:rPr>
        <w:t>）：</w:t>
      </w:r>
      <w:r>
        <w:rPr>
          <w:rFonts w:hint="eastAsia" w:ascii="仿宋_GB2312" w:hAnsi="仿宋_GB2312" w:eastAsia="仿宋_GB2312" w:cs="仿宋_GB2312"/>
          <w:b/>
          <w:color w:val="auto"/>
          <w:sz w:val="32"/>
          <w:szCs w:val="32"/>
          <w:highlight w:val="none"/>
          <w:u w:val="single"/>
        </w:rPr>
        <w:t xml:space="preserve">                </w:t>
      </w:r>
    </w:p>
    <w:p w14:paraId="08C715D4">
      <w:pPr>
        <w:autoSpaceDE w:val="0"/>
        <w:autoSpaceDN w:val="0"/>
        <w:adjustRightInd w:val="0"/>
        <w:snapToGrid w:val="0"/>
        <w:spacing w:line="560" w:lineRule="exact"/>
        <w:ind w:firstLine="1606" w:firstLineChars="500"/>
        <w:rPr>
          <w:rFonts w:hint="eastAsia" w:ascii="仿宋_GB2312" w:hAnsi="仿宋_GB2312" w:eastAsia="仿宋_GB2312" w:cs="仿宋_GB2312"/>
          <w:b/>
          <w:color w:val="auto"/>
          <w:sz w:val="32"/>
          <w:szCs w:val="32"/>
          <w:highlight w:val="none"/>
        </w:rPr>
      </w:pPr>
    </w:p>
    <w:p w14:paraId="14A2A091">
      <w:pPr>
        <w:ind w:firstLine="1836" w:firstLineChars="500"/>
        <w:jc w:val="left"/>
        <w:rPr>
          <w:rFonts w:hint="eastAsia" w:ascii="仿宋_GB2312" w:hAnsi="仿宋_GB2312" w:eastAsia="仿宋_GB2312" w:cs="仿宋_GB2312"/>
          <w:b/>
          <w:color w:val="auto"/>
          <w:spacing w:val="23"/>
          <w:sz w:val="32"/>
          <w:szCs w:val="32"/>
          <w:highlight w:val="none"/>
        </w:rPr>
      </w:pPr>
      <w:r>
        <w:rPr>
          <w:rFonts w:hint="eastAsia" w:ascii="仿宋_GB2312" w:hAnsi="仿宋_GB2312" w:eastAsia="仿宋_GB2312" w:cs="仿宋_GB2312"/>
          <w:b/>
          <w:color w:val="auto"/>
          <w:spacing w:val="23"/>
          <w:sz w:val="32"/>
          <w:szCs w:val="32"/>
          <w:highlight w:val="none"/>
        </w:rPr>
        <w:t>签订时间：</w:t>
      </w:r>
      <w:r>
        <w:rPr>
          <w:rFonts w:hint="eastAsia" w:ascii="仿宋_GB2312" w:hAnsi="仿宋_GB2312" w:eastAsia="仿宋_GB2312" w:cs="仿宋_GB2312"/>
          <w:b/>
          <w:color w:val="auto"/>
          <w:spacing w:val="23"/>
          <w:sz w:val="32"/>
          <w:szCs w:val="32"/>
          <w:highlight w:val="none"/>
          <w:u w:val="single"/>
        </w:rPr>
        <w:t xml:space="preserve">   </w:t>
      </w:r>
      <w:r>
        <w:rPr>
          <w:rFonts w:hint="eastAsia" w:ascii="仿宋_GB2312" w:hAnsi="仿宋_GB2312" w:eastAsia="仿宋_GB2312" w:cs="仿宋_GB2312"/>
          <w:b/>
          <w:color w:val="auto"/>
          <w:spacing w:val="23"/>
          <w:sz w:val="32"/>
          <w:szCs w:val="32"/>
          <w:highlight w:val="none"/>
        </w:rPr>
        <w:t>年</w:t>
      </w:r>
      <w:r>
        <w:rPr>
          <w:rFonts w:hint="eastAsia" w:ascii="仿宋_GB2312" w:hAnsi="仿宋_GB2312" w:eastAsia="仿宋_GB2312" w:cs="仿宋_GB2312"/>
          <w:b/>
          <w:color w:val="auto"/>
          <w:spacing w:val="23"/>
          <w:sz w:val="32"/>
          <w:szCs w:val="32"/>
          <w:highlight w:val="none"/>
          <w:u w:val="single"/>
        </w:rPr>
        <w:t xml:space="preserve">   </w:t>
      </w:r>
      <w:r>
        <w:rPr>
          <w:rFonts w:hint="eastAsia" w:ascii="仿宋_GB2312" w:hAnsi="仿宋_GB2312" w:eastAsia="仿宋_GB2312" w:cs="仿宋_GB2312"/>
          <w:b/>
          <w:color w:val="auto"/>
          <w:spacing w:val="23"/>
          <w:sz w:val="32"/>
          <w:szCs w:val="32"/>
          <w:highlight w:val="none"/>
        </w:rPr>
        <w:t>月</w:t>
      </w:r>
      <w:r>
        <w:rPr>
          <w:rFonts w:hint="eastAsia" w:ascii="仿宋_GB2312" w:hAnsi="仿宋_GB2312" w:eastAsia="仿宋_GB2312" w:cs="仿宋_GB2312"/>
          <w:b/>
          <w:color w:val="auto"/>
          <w:spacing w:val="23"/>
          <w:sz w:val="32"/>
          <w:szCs w:val="32"/>
          <w:highlight w:val="none"/>
          <w:u w:val="single"/>
        </w:rPr>
        <w:t xml:space="preserve">   </w:t>
      </w:r>
      <w:r>
        <w:rPr>
          <w:rFonts w:hint="eastAsia" w:ascii="仿宋_GB2312" w:hAnsi="仿宋_GB2312" w:eastAsia="仿宋_GB2312" w:cs="仿宋_GB2312"/>
          <w:b/>
          <w:color w:val="auto"/>
          <w:spacing w:val="23"/>
          <w:sz w:val="32"/>
          <w:szCs w:val="32"/>
          <w:highlight w:val="none"/>
        </w:rPr>
        <w:t>日</w:t>
      </w:r>
    </w:p>
    <w:p w14:paraId="67485DB9">
      <w:pPr>
        <w:ind w:firstLine="643" w:firstLineChars="200"/>
        <w:jc w:val="left"/>
        <w:rPr>
          <w:rFonts w:hint="eastAsia" w:ascii="仿宋_GB2312" w:hAnsi="仿宋_GB2312" w:eastAsia="仿宋_GB2312" w:cs="仿宋_GB2312"/>
          <w:b/>
          <w:bCs/>
          <w:color w:val="auto"/>
          <w:sz w:val="32"/>
          <w:szCs w:val="32"/>
          <w:highlight w:val="none"/>
          <w:lang w:val="zh-CN"/>
        </w:rPr>
      </w:pPr>
    </w:p>
    <w:p w14:paraId="2DB3739B">
      <w:pPr>
        <w:ind w:firstLine="643" w:firstLineChars="200"/>
        <w:jc w:val="left"/>
        <w:rPr>
          <w:rFonts w:hint="eastAsia" w:ascii="仿宋_GB2312" w:hAnsi="仿宋_GB2312" w:eastAsia="仿宋_GB2312" w:cs="仿宋_GB2312"/>
          <w:b/>
          <w:bCs/>
          <w:color w:val="auto"/>
          <w:sz w:val="32"/>
          <w:szCs w:val="32"/>
          <w:highlight w:val="none"/>
          <w:lang w:val="zh-CN"/>
        </w:rPr>
      </w:pPr>
    </w:p>
    <w:p w14:paraId="6F85BFAC">
      <w:pPr>
        <w:ind w:firstLine="643" w:firstLineChars="200"/>
        <w:jc w:val="left"/>
        <w:rPr>
          <w:rFonts w:hint="eastAsia" w:ascii="仿宋_GB2312" w:hAnsi="仿宋_GB2312" w:eastAsia="仿宋_GB2312" w:cs="仿宋_GB2312"/>
          <w:bCs/>
          <w:color w:val="auto"/>
          <w:sz w:val="32"/>
          <w:szCs w:val="32"/>
          <w:highlight w:val="none"/>
          <w:lang w:val="zh-CN"/>
        </w:rPr>
      </w:pPr>
      <w:r>
        <w:rPr>
          <w:rFonts w:hint="eastAsia" w:ascii="仿宋_GB2312" w:hAnsi="仿宋_GB2312" w:eastAsia="仿宋_GB2312" w:cs="仿宋_GB2312"/>
          <w:b/>
          <w:bCs/>
          <w:color w:val="auto"/>
          <w:sz w:val="32"/>
          <w:szCs w:val="32"/>
          <w:highlight w:val="none"/>
          <w:lang w:val="zh-CN"/>
        </w:rPr>
        <w:t>甲方：</w:t>
      </w:r>
      <w:r>
        <w:rPr>
          <w:rFonts w:hint="eastAsia" w:ascii="仿宋_GB2312" w:hAnsi="仿宋_GB2312" w:eastAsia="仿宋_GB2312" w:cs="仿宋_GB2312"/>
          <w:b/>
          <w:bCs/>
          <w:color w:val="auto"/>
          <w:sz w:val="32"/>
          <w:szCs w:val="32"/>
          <w:highlight w:val="none"/>
          <w:u w:val="single"/>
        </w:rPr>
        <w:t xml:space="preserve">     淳化县教育局         </w:t>
      </w:r>
      <w:r>
        <w:rPr>
          <w:rFonts w:hint="eastAsia" w:ascii="仿宋_GB2312" w:hAnsi="仿宋_GB2312" w:eastAsia="仿宋_GB2312" w:cs="仿宋_GB2312"/>
          <w:bCs/>
          <w:color w:val="auto"/>
          <w:sz w:val="32"/>
          <w:szCs w:val="32"/>
          <w:highlight w:val="none"/>
          <w:lang w:val="zh-CN"/>
        </w:rPr>
        <w:t xml:space="preserve">（采购人） </w:t>
      </w:r>
    </w:p>
    <w:p w14:paraId="2BD204CE">
      <w:pPr>
        <w:keepNext w:val="0"/>
        <w:keepLines w:val="0"/>
        <w:pageBreakBefore w:val="0"/>
        <w:tabs>
          <w:tab w:val="left" w:pos="735"/>
        </w:tabs>
        <w:kinsoku/>
        <w:wordWrap/>
        <w:overflowPunct/>
        <w:topLinePunct w:val="0"/>
        <w:autoSpaceDE w:val="0"/>
        <w:autoSpaceDN w:val="0"/>
        <w:bidi w:val="0"/>
        <w:adjustRightInd w:val="0"/>
        <w:snapToGrid w:val="0"/>
        <w:spacing w:line="600" w:lineRule="exact"/>
        <w:ind w:firstLine="643" w:firstLineChars="200"/>
        <w:rPr>
          <w:rFonts w:hint="eastAsia" w:ascii="仿宋_GB2312" w:hAnsi="仿宋_GB2312" w:eastAsia="仿宋_GB2312" w:cs="仿宋_GB2312"/>
          <w:bCs/>
          <w:color w:val="auto"/>
          <w:sz w:val="32"/>
          <w:szCs w:val="32"/>
          <w:highlight w:val="none"/>
          <w:lang w:val="zh-CN"/>
        </w:rPr>
      </w:pPr>
      <w:r>
        <w:rPr>
          <w:rFonts w:hint="eastAsia" w:ascii="仿宋_GB2312" w:hAnsi="仿宋_GB2312" w:eastAsia="仿宋_GB2312" w:cs="仿宋_GB2312"/>
          <w:b/>
          <w:bCs/>
          <w:color w:val="auto"/>
          <w:sz w:val="32"/>
          <w:szCs w:val="32"/>
          <w:highlight w:val="none"/>
          <w:lang w:val="zh-CN"/>
        </w:rPr>
        <w:t>乙方：</w:t>
      </w:r>
      <w:r>
        <w:rPr>
          <w:rFonts w:hint="eastAsia" w:ascii="仿宋_GB2312" w:hAnsi="仿宋_GB2312" w:eastAsia="仿宋_GB2312" w:cs="仿宋_GB2312"/>
          <w:b/>
          <w:bCs/>
          <w:color w:val="auto"/>
          <w:sz w:val="32"/>
          <w:szCs w:val="32"/>
          <w:highlight w:val="none"/>
          <w:u w:val="single"/>
        </w:rPr>
        <w:t xml:space="preserve">                    </w:t>
      </w:r>
      <w:r>
        <w:rPr>
          <w:rFonts w:hint="eastAsia" w:ascii="仿宋_GB2312" w:hAnsi="仿宋_GB2312" w:eastAsia="仿宋_GB2312" w:cs="仿宋_GB2312"/>
          <w:b/>
          <w:bCs/>
          <w:color w:val="auto"/>
          <w:sz w:val="32"/>
          <w:szCs w:val="32"/>
          <w:highlight w:val="none"/>
          <w:u w:val="single"/>
          <w:lang w:val="en-US" w:eastAsia="zh-CN"/>
        </w:rPr>
        <w:t xml:space="preserve">  </w:t>
      </w:r>
      <w:r>
        <w:rPr>
          <w:rFonts w:hint="eastAsia" w:ascii="仿宋_GB2312" w:hAnsi="仿宋_GB2312" w:eastAsia="仿宋_GB2312" w:cs="仿宋_GB2312"/>
          <w:b/>
          <w:bCs/>
          <w:color w:val="auto"/>
          <w:sz w:val="32"/>
          <w:szCs w:val="32"/>
          <w:highlight w:val="none"/>
          <w:u w:val="single"/>
        </w:rPr>
        <w:t xml:space="preserve">    </w:t>
      </w:r>
      <w:r>
        <w:rPr>
          <w:rFonts w:hint="eastAsia" w:ascii="仿宋_GB2312" w:hAnsi="仿宋_GB2312" w:eastAsia="仿宋_GB2312" w:cs="仿宋_GB2312"/>
          <w:bCs/>
          <w:color w:val="auto"/>
          <w:sz w:val="32"/>
          <w:szCs w:val="32"/>
          <w:highlight w:val="none"/>
          <w:lang w:val="zh-CN"/>
        </w:rPr>
        <w:t>（中标人）</w:t>
      </w:r>
    </w:p>
    <w:p w14:paraId="4E185E49">
      <w:pPr>
        <w:keepNext w:val="0"/>
        <w:keepLines w:val="0"/>
        <w:pageBreakBefore w:val="0"/>
        <w:tabs>
          <w:tab w:val="left" w:pos="735"/>
        </w:tabs>
        <w:kinsoku/>
        <w:wordWrap/>
        <w:overflowPunct/>
        <w:topLinePunct w:val="0"/>
        <w:autoSpaceDE w:val="0"/>
        <w:autoSpaceDN w:val="0"/>
        <w:bidi w:val="0"/>
        <w:adjustRightInd w:val="0"/>
        <w:snapToGrid w:val="0"/>
        <w:spacing w:line="600" w:lineRule="exact"/>
        <w:rPr>
          <w:rFonts w:hint="eastAsia" w:ascii="仿宋_GB2312" w:hAnsi="仿宋_GB2312" w:eastAsia="仿宋_GB2312" w:cs="仿宋_GB2312"/>
          <w:color w:val="auto"/>
          <w:sz w:val="32"/>
          <w:szCs w:val="32"/>
          <w:highlight w:val="none"/>
          <w:lang w:val="zh-CN"/>
        </w:rPr>
      </w:pPr>
    </w:p>
    <w:p w14:paraId="75310047">
      <w:pPr>
        <w:keepNext w:val="0"/>
        <w:keepLines w:val="0"/>
        <w:pageBreakBefore w:val="0"/>
        <w:tabs>
          <w:tab w:val="left" w:pos="735"/>
        </w:tabs>
        <w:kinsoku/>
        <w:wordWrap/>
        <w:overflowPunct/>
        <w:topLinePunct w:val="0"/>
        <w:autoSpaceDE w:val="0"/>
        <w:autoSpaceDN w:val="0"/>
        <w:bidi w:val="0"/>
        <w:adjustRightInd w:val="0"/>
        <w:snapToGrid w:val="0"/>
        <w:spacing w:line="600" w:lineRule="exact"/>
        <w:ind w:firstLine="640" w:firstLineChars="200"/>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为进一步加强淳化县公办幼儿园幼儿上下学交通安全管理，积极探索符合淳化县实际的校车运营管理模式，更好地为需要乘车上下学的幼儿提供优质服务,切实消除交通安全隐患,落实安全责任，根据《校车安全管理条例》《陕西省实施&lt;校车安全管理条例&gt;办法》《中华人民共和国政府采购法》《中华人民共和国民法典》</w:t>
      </w:r>
      <w:r>
        <w:rPr>
          <w:rFonts w:hint="eastAsia" w:ascii="仿宋_GB2312" w:hAnsi="仿宋_GB2312" w:eastAsia="仿宋_GB2312" w:cs="仿宋_GB2312"/>
          <w:color w:val="000000"/>
          <w:sz w:val="32"/>
          <w:szCs w:val="32"/>
          <w:highlight w:val="none"/>
        </w:rPr>
        <w:t>《关于建立淳化县校车安全管理联席会议制度的通知》（〔2013〕18号）</w:t>
      </w:r>
      <w:r>
        <w:rPr>
          <w:rFonts w:hint="eastAsia" w:ascii="仿宋_GB2312" w:hAnsi="仿宋_GB2312" w:eastAsia="仿宋_GB2312" w:cs="仿宋_GB2312"/>
          <w:color w:val="auto"/>
          <w:sz w:val="32"/>
          <w:szCs w:val="32"/>
          <w:highlight w:val="none"/>
          <w:lang w:val="zh-CN"/>
        </w:rPr>
        <w:t>等相关法律法规要求，经甲、乙双方协商一致，订立本合同。</w:t>
      </w:r>
    </w:p>
    <w:p w14:paraId="1F7FB948">
      <w:pPr>
        <w:keepNext w:val="0"/>
        <w:keepLines w:val="0"/>
        <w:pageBreakBefore w:val="0"/>
        <w:tabs>
          <w:tab w:val="left" w:pos="735"/>
        </w:tabs>
        <w:kinsoku/>
        <w:wordWrap/>
        <w:overflowPunct/>
        <w:topLinePunct w:val="0"/>
        <w:autoSpaceDE w:val="0"/>
        <w:autoSpaceDN w:val="0"/>
        <w:bidi w:val="0"/>
        <w:adjustRightInd w:val="0"/>
        <w:snapToGrid w:val="0"/>
        <w:spacing w:line="600" w:lineRule="exact"/>
        <w:ind w:firstLine="640" w:firstLineChars="200"/>
        <w:rPr>
          <w:rFonts w:hint="eastAsia" w:ascii="仿宋_GB2312" w:hAnsi="仿宋_GB2312" w:eastAsia="仿宋_GB2312" w:cs="仿宋_GB2312"/>
          <w:b/>
          <w:bCs/>
          <w:color w:val="auto"/>
          <w:sz w:val="32"/>
          <w:szCs w:val="32"/>
          <w:highlight w:val="none"/>
          <w:lang w:val="zh-CN"/>
        </w:rPr>
      </w:pPr>
      <w:r>
        <w:rPr>
          <w:rFonts w:hint="eastAsia" w:ascii="黑体" w:hAnsi="黑体" w:eastAsia="黑体" w:cs="黑体"/>
          <w:b w:val="0"/>
          <w:bCs w:val="0"/>
          <w:color w:val="auto"/>
          <w:sz w:val="32"/>
          <w:szCs w:val="32"/>
          <w:highlight w:val="none"/>
          <w:lang w:val="zh-CN"/>
        </w:rPr>
        <w:t>一、</w:t>
      </w:r>
      <w:r>
        <w:rPr>
          <w:rFonts w:hint="eastAsia" w:ascii="黑体" w:hAnsi="黑体" w:eastAsia="黑体" w:cs="黑体"/>
          <w:b w:val="0"/>
          <w:bCs w:val="0"/>
          <w:color w:val="auto"/>
          <w:sz w:val="32"/>
          <w:szCs w:val="32"/>
          <w:highlight w:val="none"/>
          <w:lang w:val="en-US" w:eastAsia="zh-CN"/>
        </w:rPr>
        <w:t>服务目标</w:t>
      </w:r>
      <w:r>
        <w:rPr>
          <w:rFonts w:hint="eastAsia" w:ascii="黑体" w:hAnsi="黑体" w:eastAsia="黑体" w:cs="黑体"/>
          <w:b w:val="0"/>
          <w:bCs w:val="0"/>
          <w:color w:val="auto"/>
          <w:sz w:val="32"/>
          <w:szCs w:val="32"/>
          <w:highlight w:val="none"/>
          <w:lang w:val="zh-CN"/>
        </w:rPr>
        <w:t>:</w:t>
      </w:r>
      <w:r>
        <w:rPr>
          <w:rFonts w:hint="eastAsia" w:ascii="仿宋_GB2312" w:hAnsi="仿宋_GB2312" w:eastAsia="仿宋_GB2312" w:cs="仿宋_GB2312"/>
          <w:b w:val="0"/>
          <w:bCs w:val="0"/>
          <w:color w:val="auto"/>
          <w:sz w:val="32"/>
          <w:szCs w:val="32"/>
          <w:highlight w:val="none"/>
          <w:lang w:val="zh-CN"/>
        </w:rPr>
        <w:t xml:space="preserve">全面准确落实校车安全管理相关法律法规和政策要求，切实提升我县学前段幼儿出行交通安全管理工作水平，达到安全管理规范及行业运营合格标准，有效减轻家长接送负担，彻底化解幼儿上下学交通安全风险，全面筑牢出行安全防线，保障幼儿平安出行。 </w:t>
      </w:r>
    </w:p>
    <w:p w14:paraId="7625D4E5">
      <w:pPr>
        <w:keepNext w:val="0"/>
        <w:keepLines w:val="0"/>
        <w:pageBreakBefore w:val="0"/>
        <w:tabs>
          <w:tab w:val="left" w:pos="735"/>
        </w:tabs>
        <w:kinsoku/>
        <w:wordWrap/>
        <w:overflowPunct/>
        <w:topLinePunct w:val="0"/>
        <w:autoSpaceDE w:val="0"/>
        <w:autoSpaceDN w:val="0"/>
        <w:bidi w:val="0"/>
        <w:adjustRightInd w:val="0"/>
        <w:snapToGrid w:val="0"/>
        <w:spacing w:line="600" w:lineRule="exact"/>
        <w:ind w:firstLine="640" w:firstLineChars="200"/>
        <w:rPr>
          <w:rFonts w:hint="eastAsia" w:ascii="黑体" w:hAnsi="黑体" w:eastAsia="黑体" w:cs="黑体"/>
          <w:b w:val="0"/>
          <w:bCs w:val="0"/>
          <w:color w:val="auto"/>
          <w:sz w:val="32"/>
          <w:szCs w:val="32"/>
          <w:highlight w:val="none"/>
          <w:lang w:val="zh-CN"/>
        </w:rPr>
      </w:pPr>
      <w:r>
        <w:rPr>
          <w:rFonts w:hint="eastAsia" w:ascii="黑体" w:hAnsi="黑体" w:eastAsia="黑体" w:cs="黑体"/>
          <w:b w:val="0"/>
          <w:bCs w:val="0"/>
          <w:color w:val="auto"/>
          <w:sz w:val="32"/>
          <w:szCs w:val="32"/>
          <w:highlight w:val="none"/>
          <w:lang w:val="zh-CN"/>
        </w:rPr>
        <w:t>二、合同价款：</w:t>
      </w:r>
    </w:p>
    <w:p w14:paraId="2FBCC65B">
      <w:pPr>
        <w:keepNext w:val="0"/>
        <w:keepLines w:val="0"/>
        <w:pageBreakBefore w:val="0"/>
        <w:tabs>
          <w:tab w:val="left" w:pos="735"/>
        </w:tabs>
        <w:kinsoku/>
        <w:wordWrap/>
        <w:overflowPunct/>
        <w:topLinePunct w:val="0"/>
        <w:bidi w:val="0"/>
        <w:adjustRightInd w:val="0"/>
        <w:snapToGrid w:val="0"/>
        <w:spacing w:line="6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1、合同总价：人民币大写：</w:t>
      </w:r>
      <w:r>
        <w:rPr>
          <w:rFonts w:hint="eastAsia" w:ascii="仿宋_GB2312" w:hAnsi="仿宋_GB2312" w:eastAsia="仿宋_GB2312" w:cs="仿宋_GB2312"/>
          <w:color w:val="auto"/>
          <w:sz w:val="32"/>
          <w:szCs w:val="32"/>
          <w:highlight w:val="none"/>
          <w:u w:val="single"/>
        </w:rPr>
        <w:t xml:space="preserve">   </w:t>
      </w:r>
      <w:r>
        <w:rPr>
          <w:rFonts w:hint="eastAsia" w:ascii="仿宋_GB2312" w:hAnsi="仿宋_GB2312" w:eastAsia="仿宋_GB2312" w:cs="仿宋_GB2312"/>
          <w:color w:val="auto"/>
          <w:sz w:val="32"/>
          <w:szCs w:val="32"/>
          <w:highlight w:val="none"/>
          <w:u w:val="single"/>
          <w:lang w:val="en-US" w:eastAsia="zh-CN"/>
        </w:rPr>
        <w:t xml:space="preserve"> </w:t>
      </w:r>
      <w:r>
        <w:rPr>
          <w:rFonts w:hint="eastAsia" w:ascii="仿宋_GB2312" w:hAnsi="仿宋_GB2312" w:eastAsia="仿宋_GB2312" w:cs="仿宋_GB2312"/>
          <w:color w:val="auto"/>
          <w:sz w:val="32"/>
          <w:szCs w:val="32"/>
          <w:highlight w:val="none"/>
          <w:u w:val="single"/>
        </w:rPr>
        <w:t xml:space="preserve"> </w:t>
      </w:r>
      <w:r>
        <w:rPr>
          <w:rFonts w:hint="eastAsia" w:ascii="仿宋_GB2312" w:hAnsi="仿宋_GB2312" w:eastAsia="仿宋_GB2312" w:cs="仿宋_GB2312"/>
          <w:color w:val="auto"/>
          <w:sz w:val="32"/>
          <w:szCs w:val="32"/>
          <w:highlight w:val="none"/>
        </w:rPr>
        <w:t>元，小写：</w:t>
      </w:r>
      <w:r>
        <w:rPr>
          <w:rFonts w:hint="eastAsia" w:ascii="仿宋_GB2312" w:hAnsi="仿宋_GB2312" w:eastAsia="仿宋_GB2312" w:cs="仿宋_GB2312"/>
          <w:color w:val="auto"/>
          <w:sz w:val="32"/>
          <w:szCs w:val="32"/>
          <w:highlight w:val="none"/>
          <w:u w:val="single"/>
        </w:rPr>
        <w:t xml:space="preserve">  </w:t>
      </w:r>
      <w:r>
        <w:rPr>
          <w:rFonts w:hint="eastAsia" w:ascii="仿宋_GB2312" w:hAnsi="仿宋_GB2312" w:eastAsia="仿宋_GB2312" w:cs="仿宋_GB2312"/>
          <w:color w:val="auto"/>
          <w:sz w:val="32"/>
          <w:szCs w:val="32"/>
          <w:highlight w:val="none"/>
          <w:u w:val="single"/>
          <w:lang w:val="en-US" w:eastAsia="zh-CN"/>
        </w:rPr>
        <w:t xml:space="preserve"> </w:t>
      </w:r>
      <w:r>
        <w:rPr>
          <w:rFonts w:hint="eastAsia" w:ascii="仿宋_GB2312" w:hAnsi="仿宋_GB2312" w:eastAsia="仿宋_GB2312" w:cs="仿宋_GB2312"/>
          <w:color w:val="auto"/>
          <w:sz w:val="32"/>
          <w:szCs w:val="32"/>
          <w:highlight w:val="none"/>
          <w:u w:val="single"/>
        </w:rPr>
        <w:t xml:space="preserve"> </w:t>
      </w:r>
      <w:r>
        <w:rPr>
          <w:rFonts w:hint="eastAsia" w:ascii="仿宋_GB2312" w:hAnsi="仿宋_GB2312" w:eastAsia="仿宋_GB2312" w:cs="仿宋_GB2312"/>
          <w:color w:val="auto"/>
          <w:sz w:val="32"/>
          <w:szCs w:val="32"/>
          <w:highlight w:val="none"/>
        </w:rPr>
        <w:t>元。</w:t>
      </w:r>
    </w:p>
    <w:p w14:paraId="128F6180">
      <w:pPr>
        <w:keepNext w:val="0"/>
        <w:keepLines w:val="0"/>
        <w:pageBreakBefore w:val="0"/>
        <w:tabs>
          <w:tab w:val="left" w:pos="735"/>
        </w:tabs>
        <w:kinsoku/>
        <w:wordWrap/>
        <w:overflowPunct/>
        <w:topLinePunct w:val="0"/>
        <w:bidi w:val="0"/>
        <w:adjustRightInd w:val="0"/>
        <w:snapToGrid w:val="0"/>
        <w:spacing w:line="6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2、合同总价包括：该价款包括完成本项目并达到磋商文件要求所需要的全部费用，包括但不限于完成本次项目所需的设备费、人工费、服务费、管理费、税金等所有费用。</w:t>
      </w:r>
    </w:p>
    <w:p w14:paraId="7C482C81">
      <w:pPr>
        <w:keepNext w:val="0"/>
        <w:keepLines w:val="0"/>
        <w:pageBreakBefore w:val="0"/>
        <w:tabs>
          <w:tab w:val="left" w:pos="735"/>
        </w:tabs>
        <w:kinsoku/>
        <w:wordWrap/>
        <w:overflowPunct/>
        <w:topLinePunct w:val="0"/>
        <w:bidi w:val="0"/>
        <w:adjustRightInd w:val="0"/>
        <w:snapToGrid w:val="0"/>
        <w:spacing w:line="6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3、合同总价不受市场价变化的影响</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乙方不得以任何理由要求增加费用</w:t>
      </w:r>
      <w:r>
        <w:rPr>
          <w:rFonts w:hint="eastAsia" w:ascii="仿宋_GB2312" w:hAnsi="仿宋_GB2312" w:eastAsia="仿宋_GB2312" w:cs="仿宋_GB2312"/>
          <w:color w:val="auto"/>
          <w:sz w:val="32"/>
          <w:szCs w:val="32"/>
          <w:highlight w:val="none"/>
        </w:rPr>
        <w:t>。校车的运营管理，由乙方实行独立经营、自负盈亏、自担风险的经营管理模式。在合同履行期间依照法律规定及本协议约定，为了维护学生接受校车服务的安全，由学校以及相关部门采取联合监管的方式对乙方予以监督。</w:t>
      </w:r>
    </w:p>
    <w:p w14:paraId="62A1A9F9">
      <w:pPr>
        <w:keepNext w:val="0"/>
        <w:keepLines w:val="0"/>
        <w:pageBreakBefore w:val="0"/>
        <w:tabs>
          <w:tab w:val="left" w:pos="735"/>
        </w:tabs>
        <w:kinsoku/>
        <w:wordWrap/>
        <w:overflowPunct/>
        <w:topLinePunct w:val="0"/>
        <w:autoSpaceDE w:val="0"/>
        <w:autoSpaceDN w:val="0"/>
        <w:bidi w:val="0"/>
        <w:adjustRightInd w:val="0"/>
        <w:snapToGrid w:val="0"/>
        <w:spacing w:line="600" w:lineRule="exact"/>
        <w:ind w:firstLine="640" w:firstLineChars="200"/>
        <w:rPr>
          <w:rFonts w:hint="eastAsia" w:ascii="黑体" w:hAnsi="黑体" w:eastAsia="黑体" w:cs="黑体"/>
          <w:b w:val="0"/>
          <w:bCs w:val="0"/>
          <w:color w:val="auto"/>
          <w:sz w:val="32"/>
          <w:szCs w:val="32"/>
          <w:highlight w:val="none"/>
          <w:lang w:val="zh-CN"/>
        </w:rPr>
      </w:pPr>
      <w:r>
        <w:rPr>
          <w:rFonts w:hint="eastAsia" w:ascii="黑体" w:hAnsi="黑体" w:eastAsia="黑体" w:cs="黑体"/>
          <w:b w:val="0"/>
          <w:bCs w:val="0"/>
          <w:color w:val="auto"/>
          <w:sz w:val="32"/>
          <w:szCs w:val="32"/>
          <w:highlight w:val="none"/>
          <w:lang w:val="zh-CN"/>
        </w:rPr>
        <w:t>三、合同结算</w:t>
      </w:r>
    </w:p>
    <w:p w14:paraId="6AFE4DF0">
      <w:pPr>
        <w:keepNext w:val="0"/>
        <w:keepLines w:val="0"/>
        <w:pageBreakBefore w:val="0"/>
        <w:kinsoku/>
        <w:wordWrap/>
        <w:overflowPunct/>
        <w:topLinePunct w:val="0"/>
        <w:bidi w:val="0"/>
        <w:adjustRightInd w:val="0"/>
        <w:snapToGrid w:val="0"/>
        <w:spacing w:line="60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签订考核</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rPr>
        <w:t>合同一年一签，按照上一年度的年终考核结果，决定下一年度合同是否续签。合同最多签三年。</w:t>
      </w:r>
      <w:r>
        <w:rPr>
          <w:rFonts w:hint="eastAsia" w:ascii="仿宋_GB2312" w:hAnsi="仿宋_GB2312" w:eastAsia="仿宋_GB2312" w:cs="仿宋_GB2312"/>
          <w:color w:val="auto"/>
          <w:sz w:val="32"/>
          <w:szCs w:val="32"/>
          <w:highlight w:val="none"/>
          <w:lang w:val="en-US" w:eastAsia="zh-CN"/>
        </w:rPr>
        <w:t>甲方和乙方签订采购合同时，服务范围内的</w:t>
      </w:r>
      <w:r>
        <w:rPr>
          <w:rFonts w:hint="eastAsia" w:ascii="仿宋_GB2312" w:hAnsi="仿宋_GB2312" w:eastAsia="仿宋_GB2312" w:cs="仿宋_GB2312"/>
          <w:color w:val="auto"/>
          <w:sz w:val="32"/>
          <w:szCs w:val="32"/>
          <w:highlight w:val="none"/>
        </w:rPr>
        <w:t>各学校</w:t>
      </w:r>
      <w:r>
        <w:rPr>
          <w:rFonts w:hint="eastAsia" w:ascii="仿宋_GB2312" w:hAnsi="仿宋_GB2312" w:eastAsia="仿宋_GB2312" w:cs="仿宋_GB2312"/>
          <w:color w:val="auto"/>
          <w:sz w:val="32"/>
          <w:szCs w:val="32"/>
          <w:highlight w:val="none"/>
          <w:lang w:val="en-US" w:eastAsia="zh-CN"/>
        </w:rPr>
        <w:t>须同时和</w:t>
      </w:r>
      <w:r>
        <w:rPr>
          <w:rFonts w:hint="eastAsia" w:ascii="仿宋_GB2312" w:hAnsi="仿宋_GB2312" w:eastAsia="仿宋_GB2312" w:cs="仿宋_GB2312"/>
          <w:color w:val="auto"/>
          <w:sz w:val="32"/>
          <w:szCs w:val="32"/>
          <w:highlight w:val="none"/>
        </w:rPr>
        <w:t>乙方签订校车运营服务协议</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各学校依据《淳化县公办幼儿园校车运营服务工作考核办法》，对</w:t>
      </w:r>
      <w:r>
        <w:rPr>
          <w:rFonts w:hint="eastAsia" w:ascii="仿宋_GB2312" w:hAnsi="仿宋_GB2312" w:eastAsia="仿宋_GB2312" w:cs="仿宋_GB2312"/>
          <w:color w:val="auto"/>
          <w:sz w:val="32"/>
          <w:szCs w:val="32"/>
          <w:highlight w:val="none"/>
        </w:rPr>
        <w:t>服务企业</w:t>
      </w:r>
      <w:r>
        <w:rPr>
          <w:rFonts w:hint="eastAsia" w:ascii="仿宋_GB2312" w:hAnsi="仿宋_GB2312" w:eastAsia="仿宋_GB2312" w:cs="仿宋_GB2312"/>
          <w:color w:val="auto"/>
          <w:sz w:val="32"/>
          <w:szCs w:val="32"/>
          <w:highlight w:val="none"/>
          <w:lang w:val="en-US" w:eastAsia="zh-CN"/>
        </w:rPr>
        <w:t>进行</w:t>
      </w:r>
      <w:r>
        <w:rPr>
          <w:rFonts w:hint="eastAsia" w:ascii="仿宋_GB2312" w:hAnsi="仿宋_GB2312" w:eastAsia="仿宋_GB2312" w:cs="仿宋_GB2312"/>
          <w:color w:val="auto"/>
          <w:sz w:val="32"/>
          <w:szCs w:val="32"/>
          <w:highlight w:val="none"/>
        </w:rPr>
        <w:t>考核评价</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考核结果同时报送至淳化县教育局。</w:t>
      </w:r>
    </w:p>
    <w:p w14:paraId="46357C6B">
      <w:pPr>
        <w:keepNext w:val="0"/>
        <w:keepLines w:val="0"/>
        <w:pageBreakBefore w:val="0"/>
        <w:kinsoku/>
        <w:wordWrap/>
        <w:overflowPunct/>
        <w:topLinePunct w:val="0"/>
        <w:autoSpaceDE w:val="0"/>
        <w:autoSpaceDN w:val="0"/>
        <w:bidi w:val="0"/>
        <w:adjustRightInd w:val="0"/>
        <w:snapToGrid w:val="0"/>
        <w:spacing w:line="60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结算方式：</w:t>
      </w:r>
      <w:r>
        <w:rPr>
          <w:rFonts w:hint="eastAsia" w:ascii="仿宋_GB2312" w:hAnsi="仿宋_GB2312" w:eastAsia="仿宋_GB2312" w:cs="仿宋_GB2312"/>
          <w:color w:val="auto"/>
          <w:sz w:val="32"/>
          <w:szCs w:val="32"/>
          <w:highlight w:val="none"/>
        </w:rPr>
        <w:t>甲方依据财政专项补助资金和幼儿家长缴纳</w:t>
      </w:r>
      <w:r>
        <w:rPr>
          <w:rFonts w:hint="eastAsia" w:ascii="仿宋_GB2312" w:hAnsi="仿宋_GB2312" w:eastAsia="仿宋_GB2312" w:cs="仿宋_GB2312"/>
          <w:color w:val="auto"/>
          <w:sz w:val="32"/>
          <w:szCs w:val="32"/>
          <w:highlight w:val="none"/>
          <w:lang w:val="en-US" w:eastAsia="zh-CN"/>
        </w:rPr>
        <w:t>的乘车费用</w:t>
      </w:r>
      <w:r>
        <w:rPr>
          <w:rFonts w:hint="eastAsia" w:ascii="仿宋_GB2312" w:hAnsi="仿宋_GB2312" w:eastAsia="仿宋_GB2312" w:cs="仿宋_GB2312"/>
          <w:color w:val="auto"/>
          <w:sz w:val="32"/>
          <w:szCs w:val="32"/>
          <w:highlight w:val="none"/>
        </w:rPr>
        <w:t>，</w:t>
      </w:r>
      <w:r>
        <w:rPr>
          <w:rFonts w:hint="default" w:ascii="仿宋_GB2312" w:hAnsi="仿宋_GB2312" w:eastAsia="仿宋_GB2312" w:cs="仿宋_GB2312"/>
          <w:color w:val="auto"/>
          <w:sz w:val="32"/>
          <w:szCs w:val="32"/>
          <w:highlight w:val="none"/>
        </w:rPr>
        <w:t>按本合同约定向乙方支付相应费用。</w:t>
      </w:r>
    </w:p>
    <w:p w14:paraId="3B447DE4">
      <w:pPr>
        <w:keepNext w:val="0"/>
        <w:keepLines w:val="0"/>
        <w:pageBreakBefore w:val="0"/>
        <w:kinsoku/>
        <w:wordWrap/>
        <w:overflowPunct/>
        <w:topLinePunct w:val="0"/>
        <w:autoSpaceDE w:val="0"/>
        <w:autoSpaceDN w:val="0"/>
        <w:bidi w:val="0"/>
        <w:adjustRightInd w:val="0"/>
        <w:snapToGrid w:val="0"/>
        <w:spacing w:line="6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乙方指定收款账户信息如下：</w:t>
      </w:r>
    </w:p>
    <w:p w14:paraId="2B088CF7">
      <w:pPr>
        <w:keepNext w:val="0"/>
        <w:keepLines w:val="0"/>
        <w:pageBreakBefore w:val="0"/>
        <w:kinsoku/>
        <w:wordWrap/>
        <w:overflowPunct/>
        <w:topLinePunct w:val="0"/>
        <w:autoSpaceDE w:val="0"/>
        <w:autoSpaceDN w:val="0"/>
        <w:bidi w:val="0"/>
        <w:adjustRightInd w:val="0"/>
        <w:snapToGrid w:val="0"/>
        <w:spacing w:line="600" w:lineRule="exact"/>
        <w:ind w:firstLine="640" w:firstLineChars="200"/>
        <w:rPr>
          <w:rFonts w:hint="eastAsia" w:ascii="仿宋_GB2312" w:hAnsi="仿宋_GB2312" w:eastAsia="仿宋_GB2312" w:cs="仿宋_GB2312"/>
          <w:color w:val="auto"/>
          <w:sz w:val="32"/>
          <w:szCs w:val="32"/>
          <w:highlight w:val="none"/>
          <w:u w:val="single"/>
        </w:rPr>
      </w:pPr>
      <w:r>
        <w:rPr>
          <w:rFonts w:hint="eastAsia" w:ascii="仿宋_GB2312" w:hAnsi="仿宋_GB2312" w:eastAsia="仿宋_GB2312" w:cs="仿宋_GB2312"/>
          <w:color w:val="auto"/>
          <w:sz w:val="32"/>
          <w:szCs w:val="32"/>
          <w:highlight w:val="none"/>
        </w:rPr>
        <w:t>户名：</w:t>
      </w:r>
      <w:r>
        <w:rPr>
          <w:rFonts w:hint="eastAsia" w:ascii="仿宋_GB2312" w:hAnsi="仿宋_GB2312" w:eastAsia="仿宋_GB2312" w:cs="仿宋_GB2312"/>
          <w:color w:val="auto"/>
          <w:sz w:val="32"/>
          <w:szCs w:val="32"/>
          <w:highlight w:val="none"/>
          <w:u w:val="single"/>
        </w:rPr>
        <w:t xml:space="preserve">                            </w:t>
      </w:r>
    </w:p>
    <w:p w14:paraId="4F4612B4">
      <w:pPr>
        <w:keepNext w:val="0"/>
        <w:keepLines w:val="0"/>
        <w:pageBreakBefore w:val="0"/>
        <w:kinsoku/>
        <w:wordWrap/>
        <w:overflowPunct/>
        <w:topLinePunct w:val="0"/>
        <w:autoSpaceDE w:val="0"/>
        <w:autoSpaceDN w:val="0"/>
        <w:bidi w:val="0"/>
        <w:adjustRightInd w:val="0"/>
        <w:snapToGrid w:val="0"/>
        <w:spacing w:line="6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税号：</w:t>
      </w:r>
      <w:r>
        <w:rPr>
          <w:rFonts w:hint="eastAsia" w:ascii="仿宋_GB2312" w:hAnsi="仿宋_GB2312" w:eastAsia="仿宋_GB2312" w:cs="仿宋_GB2312"/>
          <w:color w:val="auto"/>
          <w:sz w:val="32"/>
          <w:szCs w:val="32"/>
          <w:highlight w:val="none"/>
          <w:u w:val="single"/>
        </w:rPr>
        <w:t xml:space="preserve">                            </w:t>
      </w:r>
    </w:p>
    <w:p w14:paraId="177B8E26">
      <w:pPr>
        <w:keepNext w:val="0"/>
        <w:keepLines w:val="0"/>
        <w:pageBreakBefore w:val="0"/>
        <w:kinsoku/>
        <w:wordWrap/>
        <w:overflowPunct/>
        <w:topLinePunct w:val="0"/>
        <w:autoSpaceDE w:val="0"/>
        <w:autoSpaceDN w:val="0"/>
        <w:bidi w:val="0"/>
        <w:adjustRightInd w:val="0"/>
        <w:snapToGrid w:val="0"/>
        <w:spacing w:line="6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银行账号：</w:t>
      </w:r>
      <w:r>
        <w:rPr>
          <w:rFonts w:hint="eastAsia" w:ascii="仿宋_GB2312" w:hAnsi="仿宋_GB2312" w:eastAsia="仿宋_GB2312" w:cs="仿宋_GB2312"/>
          <w:color w:val="auto"/>
          <w:sz w:val="32"/>
          <w:szCs w:val="32"/>
          <w:highlight w:val="none"/>
          <w:u w:val="single"/>
        </w:rPr>
        <w:t xml:space="preserve">                        </w:t>
      </w:r>
    </w:p>
    <w:p w14:paraId="0E72E554">
      <w:pPr>
        <w:keepNext w:val="0"/>
        <w:keepLines w:val="0"/>
        <w:pageBreakBefore w:val="0"/>
        <w:kinsoku/>
        <w:wordWrap/>
        <w:overflowPunct/>
        <w:topLinePunct w:val="0"/>
        <w:autoSpaceDE w:val="0"/>
        <w:autoSpaceDN w:val="0"/>
        <w:bidi w:val="0"/>
        <w:adjustRightInd w:val="0"/>
        <w:snapToGrid w:val="0"/>
        <w:spacing w:line="6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开户行：</w:t>
      </w:r>
      <w:r>
        <w:rPr>
          <w:rFonts w:hint="eastAsia" w:ascii="仿宋_GB2312" w:hAnsi="仿宋_GB2312" w:eastAsia="仿宋_GB2312" w:cs="仿宋_GB2312"/>
          <w:color w:val="auto"/>
          <w:sz w:val="32"/>
          <w:szCs w:val="32"/>
          <w:highlight w:val="none"/>
          <w:u w:val="single"/>
        </w:rPr>
        <w:t xml:space="preserve">                          </w:t>
      </w:r>
    </w:p>
    <w:p w14:paraId="5AA34F00">
      <w:pPr>
        <w:keepNext w:val="0"/>
        <w:keepLines w:val="0"/>
        <w:pageBreakBefore w:val="0"/>
        <w:kinsoku/>
        <w:wordWrap/>
        <w:overflowPunct/>
        <w:topLinePunct w:val="0"/>
        <w:autoSpaceDE w:val="0"/>
        <w:autoSpaceDN w:val="0"/>
        <w:bidi w:val="0"/>
        <w:adjustRightInd w:val="0"/>
        <w:snapToGrid w:val="0"/>
        <w:spacing w:line="600" w:lineRule="exact"/>
        <w:ind w:firstLine="640" w:firstLineChars="200"/>
        <w:rPr>
          <w:rFonts w:hint="eastAsia" w:ascii="仿宋_GB2312" w:hAnsi="仿宋_GB2312" w:eastAsia="仿宋_GB2312" w:cs="仿宋_GB2312"/>
          <w:color w:val="auto"/>
          <w:sz w:val="32"/>
          <w:szCs w:val="32"/>
          <w:highlight w:val="none"/>
          <w:u w:val="single"/>
        </w:rPr>
      </w:pPr>
      <w:r>
        <w:rPr>
          <w:rFonts w:hint="eastAsia" w:ascii="仿宋_GB2312" w:hAnsi="仿宋_GB2312" w:eastAsia="仿宋_GB2312" w:cs="仿宋_GB2312"/>
          <w:color w:val="auto"/>
          <w:sz w:val="32"/>
          <w:szCs w:val="32"/>
          <w:highlight w:val="none"/>
        </w:rPr>
        <w:t>联系人及电话：</w:t>
      </w:r>
      <w:r>
        <w:rPr>
          <w:rFonts w:hint="eastAsia" w:ascii="仿宋_GB2312" w:hAnsi="仿宋_GB2312" w:eastAsia="仿宋_GB2312" w:cs="仿宋_GB2312"/>
          <w:color w:val="auto"/>
          <w:sz w:val="32"/>
          <w:szCs w:val="32"/>
          <w:highlight w:val="none"/>
          <w:u w:val="single"/>
        </w:rPr>
        <w:t xml:space="preserve">                    </w:t>
      </w:r>
    </w:p>
    <w:p w14:paraId="11282FF3">
      <w:pPr>
        <w:keepNext w:val="0"/>
        <w:keepLines w:val="0"/>
        <w:pageBreakBefore w:val="0"/>
        <w:kinsoku/>
        <w:wordWrap/>
        <w:overflowPunct/>
        <w:topLinePunct w:val="0"/>
        <w:autoSpaceDE w:val="0"/>
        <w:autoSpaceDN w:val="0"/>
        <w:bidi w:val="0"/>
        <w:adjustRightInd w:val="0"/>
        <w:snapToGrid w:val="0"/>
        <w:spacing w:line="6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乙方需对上述指定收款账户信息的真实性、准确性、合法性负责，如需变更需提前10日书面通知甲方，否则由此产生的一切损失由乙方承担。</w:t>
      </w:r>
    </w:p>
    <w:p w14:paraId="0DA83572">
      <w:pPr>
        <w:keepNext w:val="0"/>
        <w:keepLines w:val="0"/>
        <w:pageBreakBefore w:val="0"/>
        <w:tabs>
          <w:tab w:val="left" w:pos="735"/>
        </w:tabs>
        <w:kinsoku/>
        <w:wordWrap/>
        <w:overflowPunct/>
        <w:topLinePunct w:val="0"/>
        <w:bidi w:val="0"/>
        <w:adjustRightInd w:val="0"/>
        <w:snapToGrid w:val="0"/>
        <w:spacing w:line="60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付款比例：合同签订生效后10个工作日内支付第一季度的校车运营服务费（占合同总价款的40%）；此后3个季度每季度末最后一周支付当季度的校车运营服务费（占合同总价款的20%），共计3个季度，支付合同总价款的60%。</w:t>
      </w:r>
    </w:p>
    <w:p w14:paraId="4323F567">
      <w:pPr>
        <w:keepNext w:val="0"/>
        <w:keepLines w:val="0"/>
        <w:pageBreakBefore w:val="0"/>
        <w:kinsoku/>
        <w:wordWrap/>
        <w:overflowPunct/>
        <w:topLinePunct w:val="0"/>
        <w:autoSpaceDE w:val="0"/>
        <w:autoSpaceDN w:val="0"/>
        <w:bidi w:val="0"/>
        <w:adjustRightInd w:val="0"/>
        <w:snapToGrid w:val="0"/>
        <w:spacing w:line="600" w:lineRule="exact"/>
        <w:ind w:firstLine="640" w:firstLineChars="200"/>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val="zh-CN"/>
        </w:rPr>
        <w:t>乙方应该工作日内办理结算手续，应向</w:t>
      </w:r>
      <w:r>
        <w:rPr>
          <w:rFonts w:hint="eastAsia" w:ascii="仿宋_GB2312" w:hAnsi="仿宋_GB2312" w:eastAsia="仿宋_GB2312" w:cs="仿宋_GB2312"/>
          <w:color w:val="auto"/>
          <w:sz w:val="32"/>
          <w:szCs w:val="32"/>
          <w:highlight w:val="none"/>
          <w:lang w:val="en-US" w:eastAsia="zh-CN"/>
        </w:rPr>
        <w:t>甲方</w:t>
      </w:r>
      <w:r>
        <w:rPr>
          <w:rFonts w:hint="eastAsia" w:ascii="仿宋_GB2312" w:hAnsi="仿宋_GB2312" w:eastAsia="仿宋_GB2312" w:cs="仿宋_GB2312"/>
          <w:color w:val="auto"/>
          <w:sz w:val="32"/>
          <w:szCs w:val="32"/>
          <w:highlight w:val="none"/>
          <w:lang w:val="zh-CN"/>
        </w:rPr>
        <w:t>提交</w:t>
      </w:r>
      <w:r>
        <w:rPr>
          <w:rFonts w:hint="eastAsia" w:ascii="仿宋_GB2312" w:hAnsi="仿宋_GB2312" w:eastAsia="仿宋_GB2312" w:cs="仿宋_GB2312"/>
          <w:color w:val="auto"/>
          <w:sz w:val="32"/>
          <w:szCs w:val="32"/>
          <w:highlight w:val="none"/>
          <w:lang w:val="en-US" w:eastAsia="zh-CN"/>
        </w:rPr>
        <w:t>付款申请</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rPr>
        <w:t>服务质量考核佐证材料</w:t>
      </w:r>
      <w:r>
        <w:rPr>
          <w:rFonts w:hint="default" w:ascii="仿宋_GB2312" w:hAnsi="仿宋_GB2312" w:eastAsia="仿宋_GB2312" w:cs="仿宋_GB2312"/>
          <w:color w:val="auto"/>
          <w:sz w:val="32"/>
          <w:szCs w:val="32"/>
          <w:highlight w:val="none"/>
        </w:rPr>
        <w:t>等资料</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en-US" w:eastAsia="zh-CN"/>
        </w:rPr>
        <w:t>同时</w:t>
      </w:r>
      <w:r>
        <w:rPr>
          <w:rFonts w:hint="eastAsia" w:ascii="仿宋_GB2312" w:hAnsi="仿宋_GB2312" w:eastAsia="仿宋_GB2312" w:cs="仿宋_GB2312"/>
          <w:color w:val="auto"/>
          <w:sz w:val="32"/>
          <w:szCs w:val="32"/>
          <w:highlight w:val="none"/>
          <w:lang w:val="zh-CN"/>
        </w:rPr>
        <w:t>为甲方出具等额的符合国家规定的增值税发票。</w:t>
      </w:r>
      <w:r>
        <w:rPr>
          <w:rFonts w:hint="eastAsia" w:ascii="仿宋_GB2312" w:hAnsi="仿宋_GB2312" w:eastAsia="仿宋_GB2312" w:cs="仿宋_GB2312"/>
          <w:color w:val="auto"/>
          <w:sz w:val="32"/>
          <w:szCs w:val="32"/>
          <w:highlight w:val="none"/>
        </w:rPr>
        <w:t>甲方在收到乙方完整结算资料及发票后，按本合同约定完成付款。</w:t>
      </w:r>
    </w:p>
    <w:p w14:paraId="50C61528">
      <w:pPr>
        <w:keepNext w:val="0"/>
        <w:keepLines w:val="0"/>
        <w:pageBreakBefore w:val="0"/>
        <w:tabs>
          <w:tab w:val="left" w:pos="735"/>
        </w:tabs>
        <w:kinsoku/>
        <w:wordWrap/>
        <w:overflowPunct/>
        <w:topLinePunct w:val="0"/>
        <w:autoSpaceDE w:val="0"/>
        <w:autoSpaceDN w:val="0"/>
        <w:bidi w:val="0"/>
        <w:adjustRightInd w:val="0"/>
        <w:snapToGrid w:val="0"/>
        <w:spacing w:line="600" w:lineRule="exact"/>
        <w:ind w:firstLine="640" w:firstLineChars="200"/>
        <w:rPr>
          <w:rFonts w:hint="eastAsia" w:ascii="黑体" w:hAnsi="黑体" w:eastAsia="黑体" w:cs="黑体"/>
          <w:b w:val="0"/>
          <w:bCs w:val="0"/>
          <w:color w:val="auto"/>
          <w:sz w:val="32"/>
          <w:szCs w:val="32"/>
          <w:highlight w:val="none"/>
          <w:lang w:val="zh-CN"/>
        </w:rPr>
      </w:pPr>
      <w:r>
        <w:rPr>
          <w:rFonts w:hint="eastAsia" w:ascii="黑体" w:hAnsi="黑体" w:eastAsia="黑体" w:cs="黑体"/>
          <w:b w:val="0"/>
          <w:bCs w:val="0"/>
          <w:color w:val="auto"/>
          <w:sz w:val="32"/>
          <w:szCs w:val="32"/>
          <w:highlight w:val="none"/>
          <w:lang w:val="en-US" w:eastAsia="zh-CN"/>
        </w:rPr>
        <w:t>四</w:t>
      </w:r>
      <w:r>
        <w:rPr>
          <w:rFonts w:hint="eastAsia" w:ascii="黑体" w:hAnsi="黑体" w:eastAsia="黑体" w:cs="黑体"/>
          <w:b w:val="0"/>
          <w:bCs w:val="0"/>
          <w:color w:val="auto"/>
          <w:sz w:val="32"/>
          <w:szCs w:val="32"/>
          <w:highlight w:val="none"/>
          <w:lang w:val="zh-CN"/>
        </w:rPr>
        <w:t>、服务方式</w:t>
      </w:r>
    </w:p>
    <w:p w14:paraId="75133299">
      <w:pPr>
        <w:keepNext w:val="0"/>
        <w:keepLines w:val="0"/>
        <w:pageBreakBefore w:val="0"/>
        <w:kinsoku/>
        <w:wordWrap/>
        <w:overflowPunct/>
        <w:topLinePunct w:val="0"/>
        <w:bidi w:val="0"/>
        <w:adjustRightInd w:val="0"/>
        <w:snapToGrid w:val="0"/>
        <w:spacing w:line="600" w:lineRule="exact"/>
        <w:ind w:firstLine="640" w:firstLineChars="200"/>
        <w:jc w:val="left"/>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1、</w:t>
      </w:r>
      <w:r>
        <w:rPr>
          <w:rFonts w:hint="eastAsia" w:ascii="仿宋_GB2312" w:hAnsi="仿宋_GB2312" w:eastAsia="仿宋_GB2312" w:cs="仿宋_GB2312"/>
          <w:color w:val="auto"/>
          <w:sz w:val="32"/>
          <w:szCs w:val="32"/>
          <w:highlight w:val="none"/>
          <w:lang w:val="en-US" w:eastAsia="zh-CN"/>
        </w:rPr>
        <w:t>乙方</w:t>
      </w:r>
      <w:r>
        <w:rPr>
          <w:rFonts w:hint="eastAsia" w:ascii="仿宋_GB2312" w:hAnsi="仿宋_GB2312" w:eastAsia="仿宋_GB2312" w:cs="仿宋_GB2312"/>
          <w:color w:val="auto"/>
          <w:sz w:val="32"/>
          <w:szCs w:val="32"/>
          <w:highlight w:val="none"/>
          <w:lang w:val="zh-CN"/>
        </w:rPr>
        <w:t>为淳化县</w:t>
      </w:r>
      <w:r>
        <w:rPr>
          <w:rFonts w:hint="eastAsia" w:ascii="仿宋_GB2312" w:hAnsi="仿宋_GB2312" w:eastAsia="仿宋_GB2312" w:cs="仿宋_GB2312"/>
          <w:color w:val="auto"/>
          <w:sz w:val="32"/>
          <w:szCs w:val="32"/>
          <w:highlight w:val="none"/>
          <w:lang w:val="en-US" w:eastAsia="zh-CN"/>
        </w:rPr>
        <w:t>公办</w:t>
      </w:r>
      <w:r>
        <w:rPr>
          <w:rFonts w:hint="eastAsia" w:ascii="仿宋_GB2312" w:hAnsi="仿宋_GB2312" w:eastAsia="仿宋_GB2312" w:cs="仿宋_GB2312"/>
          <w:color w:val="auto"/>
          <w:sz w:val="32"/>
          <w:szCs w:val="32"/>
          <w:highlight w:val="none"/>
          <w:lang w:val="zh-CN"/>
        </w:rPr>
        <w:t>幼儿园配备校车8辆（须提供符合国家安全标准的19座制式专用校车），承担为胡家庙、官庄、十里塬、卜家、润镇、</w:t>
      </w:r>
      <w:r>
        <w:rPr>
          <w:rFonts w:hint="eastAsia" w:ascii="仿宋_GB2312" w:hAnsi="仿宋_GB2312" w:eastAsia="仿宋_GB2312" w:cs="仿宋_GB2312"/>
          <w:color w:val="auto"/>
          <w:sz w:val="32"/>
          <w:szCs w:val="32"/>
          <w:highlight w:val="none"/>
          <w:lang w:val="en-US" w:eastAsia="zh-CN"/>
        </w:rPr>
        <w:t>铁</w:t>
      </w:r>
      <w:r>
        <w:rPr>
          <w:rFonts w:hint="eastAsia" w:ascii="仿宋_GB2312" w:hAnsi="仿宋_GB2312" w:eastAsia="仿宋_GB2312" w:cs="仿宋_GB2312"/>
          <w:color w:val="auto"/>
          <w:sz w:val="32"/>
          <w:szCs w:val="32"/>
          <w:highlight w:val="none"/>
          <w:lang w:val="zh-CN"/>
        </w:rPr>
        <w:t>王、秦庄、方里等8所公办幼儿园的幼儿提供上下学接送服务。</w:t>
      </w:r>
    </w:p>
    <w:p w14:paraId="2111C582">
      <w:pPr>
        <w:keepNext w:val="0"/>
        <w:keepLines w:val="0"/>
        <w:pageBreakBefore w:val="0"/>
        <w:kinsoku/>
        <w:wordWrap/>
        <w:overflowPunct/>
        <w:topLinePunct w:val="0"/>
        <w:bidi w:val="0"/>
        <w:adjustRightInd w:val="0"/>
        <w:snapToGrid w:val="0"/>
        <w:spacing w:line="60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2、服务地点：采购人指定地点。</w:t>
      </w:r>
    </w:p>
    <w:p w14:paraId="42ECF3DF">
      <w:pPr>
        <w:keepNext w:val="0"/>
        <w:keepLines w:val="0"/>
        <w:pageBreakBefore w:val="0"/>
        <w:kinsoku/>
        <w:wordWrap/>
        <w:overflowPunct/>
        <w:topLinePunct w:val="0"/>
        <w:bidi w:val="0"/>
        <w:adjustRightInd w:val="0"/>
        <w:snapToGrid w:val="0"/>
        <w:spacing w:line="600" w:lineRule="exact"/>
        <w:ind w:firstLine="640" w:firstLineChars="200"/>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3.乙方任命的现场负责人负责对乙方工作人员进行管理，甲方与乙方工作人员不存在雇佣关系。乙方工作人员的管理费用（含人员基本工资、奖金、法定节假日加班工资、社会保险、福利等）由乙方承担。乙方及其工作人员在履行本协议过程中产生的人身以及财产安全风险以及事件由乙方承担责任。同时乙方及其工作人员应该遵守法律规定，不得从事任何违法或者犯罪行为。因乙方及其工作人员的行为导致甲方受到损害的，应该由乙方予以赔偿。</w:t>
      </w:r>
    </w:p>
    <w:p w14:paraId="3C4C5BDE">
      <w:pPr>
        <w:keepNext w:val="0"/>
        <w:keepLines w:val="0"/>
        <w:pageBreakBefore w:val="0"/>
        <w:kinsoku/>
        <w:wordWrap/>
        <w:overflowPunct/>
        <w:topLinePunct w:val="0"/>
        <w:bidi w:val="0"/>
        <w:adjustRightInd w:val="0"/>
        <w:snapToGrid w:val="0"/>
        <w:spacing w:line="600" w:lineRule="exact"/>
        <w:ind w:firstLine="640" w:firstLineChars="200"/>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val="zh-CN"/>
        </w:rPr>
        <w:t>、乙方必须严格履行合同要求，不得转包或分包给他人经营。</w:t>
      </w:r>
    </w:p>
    <w:p w14:paraId="708FF66D">
      <w:pPr>
        <w:keepNext w:val="0"/>
        <w:keepLines w:val="0"/>
        <w:pageBreakBefore w:val="0"/>
        <w:kinsoku/>
        <w:wordWrap/>
        <w:overflowPunct/>
        <w:topLinePunct w:val="0"/>
        <w:bidi w:val="0"/>
        <w:adjustRightInd w:val="0"/>
        <w:snapToGrid w:val="0"/>
        <w:spacing w:line="60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5、乙方拟派服务人员的工资不得低于当地月最低工资标准，并依法为拟派服务人员足额缴纳“五险一金”。</w:t>
      </w:r>
    </w:p>
    <w:p w14:paraId="61A71C9B">
      <w:pPr>
        <w:keepNext w:val="0"/>
        <w:keepLines w:val="0"/>
        <w:pageBreakBefore w:val="0"/>
        <w:tabs>
          <w:tab w:val="left" w:pos="735"/>
        </w:tabs>
        <w:kinsoku/>
        <w:wordWrap/>
        <w:overflowPunct/>
        <w:topLinePunct w:val="0"/>
        <w:autoSpaceDE w:val="0"/>
        <w:autoSpaceDN w:val="0"/>
        <w:bidi w:val="0"/>
        <w:adjustRightInd w:val="0"/>
        <w:snapToGrid w:val="0"/>
        <w:spacing w:line="600" w:lineRule="exact"/>
        <w:ind w:firstLine="640" w:firstLineChars="200"/>
        <w:rPr>
          <w:rFonts w:hint="eastAsia" w:ascii="黑体" w:hAnsi="黑体" w:eastAsia="黑体" w:cs="黑体"/>
          <w:b w:val="0"/>
          <w:bCs w:val="0"/>
          <w:color w:val="auto"/>
          <w:sz w:val="32"/>
          <w:szCs w:val="32"/>
          <w:highlight w:val="none"/>
          <w:lang w:val="zh-CN"/>
        </w:rPr>
      </w:pPr>
      <w:r>
        <w:rPr>
          <w:rFonts w:hint="eastAsia" w:ascii="黑体" w:hAnsi="黑体" w:eastAsia="黑体" w:cs="黑体"/>
          <w:b w:val="0"/>
          <w:bCs w:val="0"/>
          <w:color w:val="auto"/>
          <w:sz w:val="32"/>
          <w:szCs w:val="32"/>
          <w:highlight w:val="none"/>
          <w:lang w:val="zh-CN"/>
        </w:rPr>
        <w:t>六、</w:t>
      </w:r>
      <w:r>
        <w:rPr>
          <w:rFonts w:hint="eastAsia" w:ascii="黑体" w:hAnsi="黑体" w:eastAsia="黑体" w:cs="黑体"/>
          <w:b w:val="0"/>
          <w:bCs w:val="0"/>
          <w:color w:val="auto"/>
          <w:sz w:val="32"/>
          <w:szCs w:val="32"/>
          <w:highlight w:val="none"/>
          <w:lang w:val="en-US" w:eastAsia="zh-CN"/>
        </w:rPr>
        <w:t>服务要求</w:t>
      </w:r>
      <w:r>
        <w:rPr>
          <w:rFonts w:hint="eastAsia" w:ascii="黑体" w:hAnsi="黑体" w:eastAsia="黑体" w:cs="黑体"/>
          <w:b w:val="0"/>
          <w:bCs w:val="0"/>
          <w:color w:val="auto"/>
          <w:sz w:val="32"/>
          <w:szCs w:val="32"/>
          <w:highlight w:val="none"/>
          <w:lang w:val="zh-CN"/>
        </w:rPr>
        <w:t xml:space="preserve"> </w:t>
      </w:r>
    </w:p>
    <w:p w14:paraId="2FB44BDF">
      <w:pPr>
        <w:keepNext w:val="0"/>
        <w:keepLines w:val="0"/>
        <w:pageBreakBefore w:val="0"/>
        <w:kinsoku/>
        <w:wordWrap/>
        <w:overflowPunct/>
        <w:topLinePunct w:val="0"/>
        <w:bidi w:val="0"/>
        <w:adjustRightInd w:val="0"/>
        <w:snapToGrid w:val="0"/>
        <w:spacing w:line="60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rPr>
        <w:t>1、</w:t>
      </w:r>
      <w:r>
        <w:rPr>
          <w:rFonts w:hint="eastAsia" w:ascii="仿宋_GB2312" w:hAnsi="仿宋_GB2312" w:eastAsia="仿宋_GB2312" w:cs="仿宋_GB2312"/>
          <w:color w:val="auto"/>
          <w:sz w:val="32"/>
          <w:szCs w:val="32"/>
          <w:highlight w:val="none"/>
          <w:lang w:val="en-US" w:eastAsia="zh-CN"/>
        </w:rPr>
        <w:t>车辆要求：</w:t>
      </w:r>
    </w:p>
    <w:p w14:paraId="22AB3E0F">
      <w:pPr>
        <w:keepNext w:val="0"/>
        <w:keepLines w:val="0"/>
        <w:pageBreakBefore w:val="0"/>
        <w:kinsoku/>
        <w:wordWrap/>
        <w:overflowPunct/>
        <w:topLinePunct w:val="0"/>
        <w:bidi w:val="0"/>
        <w:adjustRightInd w:val="0"/>
        <w:snapToGrid w:val="0"/>
        <w:spacing w:line="600" w:lineRule="exact"/>
        <w:ind w:firstLine="640" w:firstLineChars="200"/>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en-US" w:eastAsia="zh-CN"/>
        </w:rPr>
        <w:t>乙方为甲方提供的8辆19座制式专用校车必须是符合国标的在用校车，符合国务院《校车安全管理条例》、《专用校车安全技术条件》、《专用校车学生座椅系统及其车辆固定件的强度》等规定，所提供相关资质、公司运营资质、校车安全运行实时可视监控系统及驾驶员、照管员符合有关规定</w:t>
      </w:r>
      <w:r>
        <w:rPr>
          <w:rFonts w:hint="eastAsia" w:ascii="仿宋_GB2312" w:hAnsi="仿宋_GB2312" w:eastAsia="仿宋_GB2312" w:cs="仿宋_GB2312"/>
          <w:color w:val="auto"/>
          <w:sz w:val="32"/>
          <w:szCs w:val="32"/>
          <w:highlight w:val="none"/>
          <w:lang w:val="zh-CN"/>
        </w:rPr>
        <w:t>。</w:t>
      </w:r>
    </w:p>
    <w:p w14:paraId="2AE06020">
      <w:pPr>
        <w:keepNext w:val="0"/>
        <w:keepLines w:val="0"/>
        <w:pageBreakBefore w:val="0"/>
        <w:kinsoku/>
        <w:wordWrap/>
        <w:overflowPunct/>
        <w:topLinePunct w:val="0"/>
        <w:bidi w:val="0"/>
        <w:adjustRightInd w:val="0"/>
        <w:snapToGrid w:val="0"/>
        <w:spacing w:line="600" w:lineRule="exact"/>
        <w:ind w:firstLine="640" w:firstLineChars="200"/>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val="zh-CN"/>
        </w:rPr>
        <w:t>）乙方应配备标准制式校车，车辆的安全性能要保证完好，要定期进行维护、保养、检测，每日出车前要进行安全例检。车内的安全锤、急救箱、安全带、灭火器等相关安全设施要配套齐全。</w:t>
      </w:r>
    </w:p>
    <w:p w14:paraId="4CFDDD01">
      <w:pPr>
        <w:keepNext w:val="0"/>
        <w:keepLines w:val="0"/>
        <w:pageBreakBefore w:val="0"/>
        <w:kinsoku/>
        <w:wordWrap/>
        <w:overflowPunct/>
        <w:topLinePunct w:val="0"/>
        <w:bidi w:val="0"/>
        <w:adjustRightInd w:val="0"/>
        <w:snapToGrid w:val="0"/>
        <w:spacing w:line="600" w:lineRule="exact"/>
        <w:ind w:firstLine="640" w:firstLineChars="200"/>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2、</w:t>
      </w:r>
      <w:r>
        <w:rPr>
          <w:rFonts w:hint="eastAsia" w:ascii="仿宋_GB2312" w:hAnsi="仿宋_GB2312" w:eastAsia="仿宋_GB2312" w:cs="仿宋_GB2312"/>
          <w:color w:val="auto"/>
          <w:sz w:val="32"/>
          <w:szCs w:val="32"/>
          <w:highlight w:val="none"/>
          <w:lang w:val="en-US" w:eastAsia="zh-CN"/>
        </w:rPr>
        <w:t>校车</w:t>
      </w:r>
      <w:r>
        <w:rPr>
          <w:rFonts w:hint="eastAsia" w:ascii="仿宋_GB2312" w:hAnsi="仿宋_GB2312" w:eastAsia="仿宋_GB2312" w:cs="仿宋_GB2312"/>
          <w:color w:val="auto"/>
          <w:sz w:val="32"/>
          <w:szCs w:val="32"/>
          <w:highlight w:val="none"/>
          <w:lang w:val="zh-CN"/>
        </w:rPr>
        <w:t>驾驶员要求：</w:t>
      </w:r>
    </w:p>
    <w:p w14:paraId="3FF8ADE2">
      <w:pPr>
        <w:keepNext w:val="0"/>
        <w:keepLines w:val="0"/>
        <w:pageBreakBefore w:val="0"/>
        <w:kinsoku/>
        <w:wordWrap/>
        <w:overflowPunct/>
        <w:topLinePunct w:val="0"/>
        <w:bidi w:val="0"/>
        <w:adjustRightInd w:val="0"/>
        <w:snapToGrid w:val="0"/>
        <w:spacing w:line="600" w:lineRule="exact"/>
        <w:ind w:firstLine="640" w:firstLineChars="200"/>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校车公司的校车驾驶人员要符合国务院《校车安全管理条例》第四章第二十三条的规定：</w:t>
      </w:r>
    </w:p>
    <w:p w14:paraId="6B5623E0">
      <w:pPr>
        <w:keepNext w:val="0"/>
        <w:keepLines w:val="0"/>
        <w:pageBreakBefore w:val="0"/>
        <w:kinsoku/>
        <w:wordWrap/>
        <w:overflowPunct/>
        <w:topLinePunct w:val="0"/>
        <w:bidi w:val="0"/>
        <w:adjustRightInd w:val="0"/>
        <w:snapToGrid w:val="0"/>
        <w:spacing w:line="600" w:lineRule="exact"/>
        <w:ind w:firstLine="640" w:firstLineChars="200"/>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val="zh-CN"/>
        </w:rPr>
        <w:t>）取得相应准驾车型驾驶证并具有3年以上驾驶经历，年龄在25周岁以上，不超过60周岁。</w:t>
      </w:r>
    </w:p>
    <w:p w14:paraId="64F54D1C">
      <w:pPr>
        <w:keepNext w:val="0"/>
        <w:keepLines w:val="0"/>
        <w:pageBreakBefore w:val="0"/>
        <w:kinsoku/>
        <w:wordWrap/>
        <w:overflowPunct/>
        <w:topLinePunct w:val="0"/>
        <w:bidi w:val="0"/>
        <w:adjustRightInd w:val="0"/>
        <w:snapToGrid w:val="0"/>
        <w:spacing w:line="600" w:lineRule="exact"/>
        <w:ind w:firstLine="640" w:firstLineChars="200"/>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val="zh-CN"/>
        </w:rPr>
        <w:t>）最近连续3个记分周期内没有被记满分记录。</w:t>
      </w:r>
    </w:p>
    <w:p w14:paraId="4C7BE6BA">
      <w:pPr>
        <w:keepNext w:val="0"/>
        <w:keepLines w:val="0"/>
        <w:pageBreakBefore w:val="0"/>
        <w:kinsoku/>
        <w:wordWrap/>
        <w:overflowPunct/>
        <w:topLinePunct w:val="0"/>
        <w:bidi w:val="0"/>
        <w:adjustRightInd w:val="0"/>
        <w:snapToGrid w:val="0"/>
        <w:spacing w:line="600" w:lineRule="exact"/>
        <w:ind w:firstLine="640" w:firstLineChars="200"/>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val="zh-CN"/>
        </w:rPr>
        <w:t>）无致人死亡或者重伤的交通事故责任记录。</w:t>
      </w:r>
    </w:p>
    <w:p w14:paraId="2B6C2D79">
      <w:pPr>
        <w:keepNext w:val="0"/>
        <w:keepLines w:val="0"/>
        <w:pageBreakBefore w:val="0"/>
        <w:kinsoku/>
        <w:wordWrap/>
        <w:overflowPunct/>
        <w:topLinePunct w:val="0"/>
        <w:bidi w:val="0"/>
        <w:adjustRightInd w:val="0"/>
        <w:snapToGrid w:val="0"/>
        <w:spacing w:line="600" w:lineRule="exact"/>
        <w:ind w:firstLine="640" w:firstLineChars="200"/>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val="zh-CN"/>
        </w:rPr>
        <w:t>）无饮酒后驾驶或者醉酒驾驶机动车记录，最近1年内无驾驶客运车辆超员、超速等严重交通违法行为记录。</w:t>
      </w:r>
    </w:p>
    <w:p w14:paraId="2728FE98">
      <w:pPr>
        <w:keepNext w:val="0"/>
        <w:keepLines w:val="0"/>
        <w:pageBreakBefore w:val="0"/>
        <w:kinsoku/>
        <w:wordWrap/>
        <w:overflowPunct/>
        <w:topLinePunct w:val="0"/>
        <w:bidi w:val="0"/>
        <w:adjustRightInd w:val="0"/>
        <w:snapToGrid w:val="0"/>
        <w:spacing w:line="600" w:lineRule="exact"/>
        <w:ind w:firstLine="640" w:firstLineChars="200"/>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lang w:val="zh-CN"/>
        </w:rPr>
        <w:t>）无犯罪记录。</w:t>
      </w:r>
    </w:p>
    <w:p w14:paraId="37341270">
      <w:pPr>
        <w:keepNext w:val="0"/>
        <w:keepLines w:val="0"/>
        <w:pageBreakBefore w:val="0"/>
        <w:kinsoku/>
        <w:wordWrap/>
        <w:overflowPunct/>
        <w:topLinePunct w:val="0"/>
        <w:bidi w:val="0"/>
        <w:adjustRightInd w:val="0"/>
        <w:snapToGrid w:val="0"/>
        <w:spacing w:line="600" w:lineRule="exact"/>
        <w:ind w:firstLine="640" w:firstLineChars="200"/>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en-US" w:eastAsia="zh-CN"/>
        </w:rPr>
        <w:t>6</w:t>
      </w:r>
      <w:r>
        <w:rPr>
          <w:rFonts w:hint="eastAsia" w:ascii="仿宋_GB2312" w:hAnsi="仿宋_GB2312" w:eastAsia="仿宋_GB2312" w:cs="仿宋_GB2312"/>
          <w:color w:val="auto"/>
          <w:sz w:val="32"/>
          <w:szCs w:val="32"/>
          <w:highlight w:val="none"/>
          <w:lang w:val="zh-CN"/>
        </w:rPr>
        <w:t>）身心健康，无传染性疾病，无癫痫、精神病等可能危及行车安全的疾病病史，无酗酒、吸毒行为记录。</w:t>
      </w:r>
    </w:p>
    <w:p w14:paraId="59CE0628">
      <w:pPr>
        <w:keepNext w:val="0"/>
        <w:keepLines w:val="0"/>
        <w:pageBreakBefore w:val="0"/>
        <w:kinsoku/>
        <w:wordWrap/>
        <w:overflowPunct/>
        <w:topLinePunct w:val="0"/>
        <w:bidi w:val="0"/>
        <w:adjustRightInd w:val="0"/>
        <w:snapToGrid w:val="0"/>
        <w:spacing w:line="600" w:lineRule="exact"/>
        <w:ind w:firstLine="640" w:firstLineChars="200"/>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en-US" w:eastAsia="zh-CN"/>
        </w:rPr>
        <w:t>7</w:t>
      </w:r>
      <w:r>
        <w:rPr>
          <w:rFonts w:hint="eastAsia" w:ascii="仿宋_GB2312" w:hAnsi="仿宋_GB2312" w:eastAsia="仿宋_GB2312" w:cs="仿宋_GB2312"/>
          <w:color w:val="auto"/>
          <w:sz w:val="32"/>
          <w:szCs w:val="32"/>
          <w:highlight w:val="none"/>
          <w:lang w:val="zh-CN"/>
        </w:rPr>
        <w:t>）驾驶19座</w:t>
      </w:r>
      <w:r>
        <w:rPr>
          <w:rFonts w:hint="eastAsia" w:ascii="仿宋_GB2312" w:hAnsi="仿宋_GB2312" w:eastAsia="仿宋_GB2312" w:cs="仿宋_GB2312"/>
          <w:color w:val="auto"/>
          <w:sz w:val="32"/>
          <w:szCs w:val="32"/>
          <w:highlight w:val="none"/>
          <w:lang w:val="en-US" w:eastAsia="zh-CN"/>
        </w:rPr>
        <w:t>及</w:t>
      </w:r>
      <w:r>
        <w:rPr>
          <w:rFonts w:hint="eastAsia" w:ascii="仿宋_GB2312" w:hAnsi="仿宋_GB2312" w:eastAsia="仿宋_GB2312" w:cs="仿宋_GB2312"/>
          <w:color w:val="auto"/>
          <w:sz w:val="32"/>
          <w:szCs w:val="32"/>
          <w:highlight w:val="none"/>
          <w:lang w:val="zh-CN"/>
        </w:rPr>
        <w:t>以上的校车驾驶员持</w:t>
      </w:r>
      <w:r>
        <w:rPr>
          <w:rFonts w:hint="eastAsia" w:ascii="仿宋_GB2312" w:hAnsi="仿宋_GB2312" w:eastAsia="仿宋_GB2312" w:cs="仿宋_GB2312"/>
          <w:color w:val="auto"/>
          <w:sz w:val="32"/>
          <w:szCs w:val="32"/>
          <w:highlight w:val="none"/>
          <w:lang w:val="en-US" w:eastAsia="zh-CN"/>
        </w:rPr>
        <w:t>B1及以上</w:t>
      </w:r>
      <w:r>
        <w:rPr>
          <w:rFonts w:hint="eastAsia" w:ascii="仿宋_GB2312" w:hAnsi="仿宋_GB2312" w:eastAsia="仿宋_GB2312" w:cs="仿宋_GB2312"/>
          <w:color w:val="auto"/>
          <w:sz w:val="32"/>
          <w:szCs w:val="32"/>
          <w:highlight w:val="none"/>
          <w:lang w:val="zh-CN"/>
        </w:rPr>
        <w:t>驾驶证照。</w:t>
      </w:r>
    </w:p>
    <w:p w14:paraId="0A3BB42C">
      <w:pPr>
        <w:keepNext w:val="0"/>
        <w:keepLines w:val="0"/>
        <w:pageBreakBefore w:val="0"/>
        <w:kinsoku/>
        <w:wordWrap/>
        <w:overflowPunct/>
        <w:topLinePunct w:val="0"/>
        <w:bidi w:val="0"/>
        <w:adjustRightInd w:val="0"/>
        <w:snapToGrid w:val="0"/>
        <w:spacing w:line="600" w:lineRule="exact"/>
        <w:ind w:firstLine="640" w:firstLineChars="200"/>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en-US" w:eastAsia="zh-CN"/>
        </w:rPr>
        <w:t>8</w:t>
      </w:r>
      <w:r>
        <w:rPr>
          <w:rFonts w:hint="eastAsia" w:ascii="仿宋_GB2312" w:hAnsi="仿宋_GB2312" w:eastAsia="仿宋_GB2312" w:cs="仿宋_GB2312"/>
          <w:color w:val="auto"/>
          <w:sz w:val="32"/>
          <w:szCs w:val="32"/>
          <w:highlight w:val="none"/>
          <w:lang w:val="zh-CN"/>
        </w:rPr>
        <w:t>）机动车驾驶人未取得校车驾驶资格，不得驾驶校车。禁止聘用未取得校车驾驶资格的机动车驾驶人驾驶校车。</w:t>
      </w:r>
    </w:p>
    <w:p w14:paraId="7BEB5776">
      <w:pPr>
        <w:keepNext w:val="0"/>
        <w:keepLines w:val="0"/>
        <w:pageBreakBefore w:val="0"/>
        <w:kinsoku/>
        <w:wordWrap/>
        <w:overflowPunct/>
        <w:topLinePunct w:val="0"/>
        <w:bidi w:val="0"/>
        <w:adjustRightInd w:val="0"/>
        <w:snapToGrid w:val="0"/>
        <w:spacing w:line="600" w:lineRule="exact"/>
        <w:ind w:firstLine="640" w:firstLineChars="200"/>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en-US" w:eastAsia="zh-CN"/>
        </w:rPr>
        <w:t>9</w:t>
      </w:r>
      <w:r>
        <w:rPr>
          <w:rFonts w:hint="eastAsia" w:ascii="仿宋_GB2312" w:hAnsi="仿宋_GB2312" w:eastAsia="仿宋_GB2312" w:cs="仿宋_GB2312"/>
          <w:color w:val="auto"/>
          <w:sz w:val="32"/>
          <w:szCs w:val="32"/>
          <w:highlight w:val="none"/>
          <w:lang w:val="zh-CN"/>
        </w:rPr>
        <w:t>）校车驾驶人应当遵守道路交通安全法律法规，严格按照机动车道路 通行规则和驾驶操作规范安全驾驶、文明驾驶。</w:t>
      </w:r>
    </w:p>
    <w:p w14:paraId="4FC46D7B">
      <w:pPr>
        <w:keepNext w:val="0"/>
        <w:keepLines w:val="0"/>
        <w:pageBreakBefore w:val="0"/>
        <w:kinsoku/>
        <w:wordWrap/>
        <w:overflowPunct/>
        <w:topLinePunct w:val="0"/>
        <w:bidi w:val="0"/>
        <w:adjustRightInd w:val="0"/>
        <w:snapToGrid w:val="0"/>
        <w:spacing w:line="60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rPr>
        <w:t>3、</w:t>
      </w:r>
      <w:r>
        <w:rPr>
          <w:rFonts w:hint="eastAsia" w:ascii="仿宋_GB2312" w:hAnsi="仿宋_GB2312" w:eastAsia="仿宋_GB2312" w:cs="仿宋_GB2312"/>
          <w:color w:val="auto"/>
          <w:sz w:val="32"/>
          <w:szCs w:val="32"/>
          <w:highlight w:val="none"/>
          <w:lang w:val="en-US" w:eastAsia="zh-CN"/>
        </w:rPr>
        <w:t>运营要求:</w:t>
      </w:r>
    </w:p>
    <w:p w14:paraId="57A855E7">
      <w:pPr>
        <w:keepNext w:val="0"/>
        <w:keepLines w:val="0"/>
        <w:pageBreakBefore w:val="0"/>
        <w:kinsoku/>
        <w:wordWrap/>
        <w:overflowPunct/>
        <w:topLinePunct w:val="0"/>
        <w:bidi w:val="0"/>
        <w:adjustRightInd w:val="0"/>
        <w:snapToGrid w:val="0"/>
        <w:spacing w:line="600" w:lineRule="exact"/>
        <w:ind w:firstLine="640" w:firstLineChars="200"/>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（1）乙方根据采购人要求制定项目执行过程中的详细实施计划和车辆、人员的安排计划。</w:t>
      </w:r>
    </w:p>
    <w:p w14:paraId="0E379CF5">
      <w:pPr>
        <w:keepNext w:val="0"/>
        <w:keepLines w:val="0"/>
        <w:pageBreakBefore w:val="0"/>
        <w:kinsoku/>
        <w:wordWrap/>
        <w:overflowPunct/>
        <w:topLinePunct w:val="0"/>
        <w:bidi w:val="0"/>
        <w:adjustRightInd w:val="0"/>
        <w:snapToGrid w:val="0"/>
        <w:spacing w:line="600" w:lineRule="exact"/>
        <w:ind w:firstLine="640" w:firstLineChars="200"/>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（2）乙方应制定在车辆出现紧急故障或者人员特殊状况时的应急预案。</w:t>
      </w:r>
    </w:p>
    <w:p w14:paraId="03D6E98C">
      <w:pPr>
        <w:keepNext w:val="0"/>
        <w:keepLines w:val="0"/>
        <w:pageBreakBefore w:val="0"/>
        <w:kinsoku/>
        <w:wordWrap/>
        <w:overflowPunct/>
        <w:topLinePunct w:val="0"/>
        <w:bidi w:val="0"/>
        <w:adjustRightInd w:val="0"/>
        <w:snapToGrid w:val="0"/>
        <w:spacing w:line="600" w:lineRule="exact"/>
        <w:ind w:firstLine="640" w:firstLineChars="200"/>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（3）乙方在项目执行过程中车辆和人员需第一时间优先保证，以确保项目的正常运行。</w:t>
      </w:r>
    </w:p>
    <w:p w14:paraId="50EF4B69">
      <w:pPr>
        <w:keepNext w:val="0"/>
        <w:keepLines w:val="0"/>
        <w:pageBreakBefore w:val="0"/>
        <w:kinsoku/>
        <w:wordWrap/>
        <w:overflowPunct/>
        <w:topLinePunct w:val="0"/>
        <w:bidi w:val="0"/>
        <w:adjustRightInd w:val="0"/>
        <w:snapToGrid w:val="0"/>
        <w:spacing w:line="600" w:lineRule="exact"/>
        <w:ind w:firstLine="640" w:firstLineChars="200"/>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（4）乙方应定期对车辆进行检查、维修、保养，其费用包括在合同总价款中。</w:t>
      </w:r>
    </w:p>
    <w:p w14:paraId="26B0BCC0">
      <w:pPr>
        <w:keepNext w:val="0"/>
        <w:keepLines w:val="0"/>
        <w:pageBreakBefore w:val="0"/>
        <w:kinsoku/>
        <w:wordWrap/>
        <w:overflowPunct/>
        <w:topLinePunct w:val="0"/>
        <w:bidi w:val="0"/>
        <w:adjustRightInd w:val="0"/>
        <w:snapToGrid w:val="0"/>
        <w:spacing w:line="600" w:lineRule="exact"/>
        <w:ind w:firstLine="640" w:firstLineChars="200"/>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en-US" w:eastAsia="zh-CN"/>
        </w:rPr>
        <w:t>乙方</w:t>
      </w:r>
      <w:r>
        <w:rPr>
          <w:rFonts w:hint="eastAsia" w:ascii="仿宋_GB2312" w:hAnsi="仿宋_GB2312" w:eastAsia="仿宋_GB2312" w:cs="仿宋_GB2312"/>
          <w:color w:val="auto"/>
          <w:sz w:val="32"/>
          <w:szCs w:val="32"/>
          <w:highlight w:val="none"/>
          <w:lang w:val="zh-CN"/>
        </w:rPr>
        <w:t>必须按相关规定为校车及人员购买各类保险。</w:t>
      </w:r>
    </w:p>
    <w:p w14:paraId="2558EC54">
      <w:pPr>
        <w:keepNext w:val="0"/>
        <w:keepLines w:val="0"/>
        <w:pageBreakBefore w:val="0"/>
        <w:kinsoku/>
        <w:wordWrap/>
        <w:overflowPunct/>
        <w:topLinePunct w:val="0"/>
        <w:bidi w:val="0"/>
        <w:adjustRightInd w:val="0"/>
        <w:snapToGrid w:val="0"/>
        <w:spacing w:line="600" w:lineRule="exact"/>
        <w:ind w:firstLine="640" w:firstLineChars="200"/>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4、安全要求：</w:t>
      </w:r>
    </w:p>
    <w:p w14:paraId="75D0AC45">
      <w:pPr>
        <w:keepNext w:val="0"/>
        <w:keepLines w:val="0"/>
        <w:pageBreakBefore w:val="0"/>
        <w:kinsoku/>
        <w:wordWrap/>
        <w:overflowPunct/>
        <w:topLinePunct w:val="0"/>
        <w:bidi w:val="0"/>
        <w:adjustRightInd w:val="0"/>
        <w:snapToGrid w:val="0"/>
        <w:spacing w:line="60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（1）校车行驶线路应当尽量避开急弯、陡坡、临崖、临水的危险路段；确实无法避开的，协调道路或者交通设施的管理、养护单位应当按照标准对上述危险路段设置安全防护设施、限速标志、警告标牌。</w:t>
      </w:r>
    </w:p>
    <w:p w14:paraId="604ED0B2">
      <w:pPr>
        <w:keepNext w:val="0"/>
        <w:keepLines w:val="0"/>
        <w:pageBreakBefore w:val="0"/>
        <w:kinsoku/>
        <w:wordWrap/>
        <w:overflowPunct/>
        <w:topLinePunct w:val="0"/>
        <w:bidi w:val="0"/>
        <w:adjustRightInd w:val="0"/>
        <w:snapToGrid w:val="0"/>
        <w:spacing w:line="60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校车运载学生，应当按照国务院公安部门规定的位置放置校车标牌，开启校车标志灯。校车运载学生，应当按照经审核确定的线路行驶，遇有交通管制、道路施工以及自然灾害、恶劣气象条件或者重大交通事故等影响道路通行情形的除外。</w:t>
      </w:r>
    </w:p>
    <w:p w14:paraId="1AFE4FE0">
      <w:pPr>
        <w:keepNext w:val="0"/>
        <w:keepLines w:val="0"/>
        <w:pageBreakBefore w:val="0"/>
        <w:kinsoku/>
        <w:wordWrap/>
        <w:overflowPunct/>
        <w:topLinePunct w:val="0"/>
        <w:bidi w:val="0"/>
        <w:adjustRightInd w:val="0"/>
        <w:snapToGrid w:val="0"/>
        <w:spacing w:line="600" w:lineRule="exact"/>
        <w:ind w:left="718" w:leftChars="342" w:firstLine="0" w:firstLineChars="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（3）校车上下学生，应当在校车停靠站点停靠。</w:t>
      </w:r>
    </w:p>
    <w:p w14:paraId="422C10A1">
      <w:pPr>
        <w:keepNext w:val="0"/>
        <w:keepLines w:val="0"/>
        <w:pageBreakBefore w:val="0"/>
        <w:kinsoku/>
        <w:wordWrap/>
        <w:overflowPunct/>
        <w:topLinePunct w:val="0"/>
        <w:bidi w:val="0"/>
        <w:adjustRightInd w:val="0"/>
        <w:snapToGrid w:val="0"/>
        <w:spacing w:line="60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（4）校车在道路上停车上下学生，应当靠道路右侧停靠，开启危险报警闪光灯，打开停车指示标志。      </w:t>
      </w:r>
    </w:p>
    <w:p w14:paraId="658D79A2">
      <w:pPr>
        <w:keepNext w:val="0"/>
        <w:keepLines w:val="0"/>
        <w:pageBreakBefore w:val="0"/>
        <w:kinsoku/>
        <w:wordWrap/>
        <w:overflowPunct/>
        <w:topLinePunct w:val="0"/>
        <w:bidi w:val="0"/>
        <w:adjustRightInd w:val="0"/>
        <w:snapToGrid w:val="0"/>
        <w:spacing w:line="60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（5）校车载人不得超过核定的人数，不得以任何理由超员。学校和校车服务提供者不得要求校车驾驶人超员、超速驾驶校车。</w:t>
      </w:r>
    </w:p>
    <w:p w14:paraId="0F8DE553">
      <w:pPr>
        <w:keepNext w:val="0"/>
        <w:keepLines w:val="0"/>
        <w:pageBreakBefore w:val="0"/>
        <w:kinsoku/>
        <w:wordWrap/>
        <w:overflowPunct/>
        <w:topLinePunct w:val="0"/>
        <w:bidi w:val="0"/>
        <w:adjustRightInd w:val="0"/>
        <w:snapToGrid w:val="0"/>
        <w:spacing w:line="60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6）载有学生的校车在高速公路上行驶的最高时速不得超过80公里，在其他道路上行驶的最高时速不得超过60公里。道路交通安全法律法规规定或者道路上限速标志、标线标明的最高时速低于前款规定的，从其规定。载有学生的校车在急弯、陡坡、窄路、窄桥以及冰雪、泥泞的道路上行驶，或者遇有雾、雨、雪、沙尘、冰雹等低能见度气象条件时，最高时速不得超过20公里。</w:t>
      </w:r>
    </w:p>
    <w:p w14:paraId="2BFA001C">
      <w:pPr>
        <w:keepNext w:val="0"/>
        <w:keepLines w:val="0"/>
        <w:pageBreakBefore w:val="0"/>
        <w:kinsoku/>
        <w:wordWrap/>
        <w:overflowPunct/>
        <w:topLinePunct w:val="0"/>
        <w:bidi w:val="0"/>
        <w:adjustRightInd w:val="0"/>
        <w:snapToGrid w:val="0"/>
        <w:spacing w:line="60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（7）乙方需提供针对本项目制定定期安全培训计划，安全培训以驾驶人员熟练掌握安全驾驶要求为原则，并进行相应的安全培训考核；对安全管理人员进行相关培训，确保一切安全。</w:t>
      </w:r>
    </w:p>
    <w:p w14:paraId="347C281C">
      <w:pPr>
        <w:keepNext w:val="0"/>
        <w:keepLines w:val="0"/>
        <w:pageBreakBefore w:val="0"/>
        <w:kinsoku/>
        <w:wordWrap/>
        <w:overflowPunct/>
        <w:topLinePunct w:val="0"/>
        <w:bidi w:val="0"/>
        <w:adjustRightInd w:val="0"/>
        <w:snapToGrid w:val="0"/>
        <w:spacing w:line="60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（8）乙方为校车安全管理责任主体，应在甲方所属县区设立接受甲方和所属幼儿园、相关职能部门监督的校车服务管理机构。</w:t>
      </w:r>
    </w:p>
    <w:p w14:paraId="76E680B8">
      <w:pPr>
        <w:keepNext w:val="0"/>
        <w:keepLines w:val="0"/>
        <w:pageBreakBefore w:val="0"/>
        <w:tabs>
          <w:tab w:val="left" w:pos="735"/>
        </w:tabs>
        <w:kinsoku/>
        <w:wordWrap/>
        <w:overflowPunct/>
        <w:topLinePunct w:val="0"/>
        <w:autoSpaceDE w:val="0"/>
        <w:autoSpaceDN w:val="0"/>
        <w:bidi w:val="0"/>
        <w:adjustRightInd w:val="0"/>
        <w:snapToGrid w:val="0"/>
        <w:spacing w:line="600" w:lineRule="exact"/>
        <w:ind w:firstLine="640" w:firstLineChars="200"/>
        <w:rPr>
          <w:rFonts w:hint="eastAsia" w:ascii="黑体" w:hAnsi="黑体" w:eastAsia="黑体" w:cs="黑体"/>
          <w:b w:val="0"/>
          <w:bCs w:val="0"/>
          <w:color w:val="auto"/>
          <w:sz w:val="32"/>
          <w:szCs w:val="32"/>
          <w:highlight w:val="none"/>
          <w:lang w:val="zh-CN"/>
        </w:rPr>
      </w:pPr>
      <w:r>
        <w:rPr>
          <w:rFonts w:hint="eastAsia" w:ascii="黑体" w:hAnsi="黑体" w:eastAsia="黑体" w:cs="黑体"/>
          <w:b w:val="0"/>
          <w:bCs w:val="0"/>
          <w:color w:val="auto"/>
          <w:sz w:val="32"/>
          <w:szCs w:val="32"/>
          <w:highlight w:val="none"/>
          <w:lang w:val="en-US" w:eastAsia="zh-CN"/>
        </w:rPr>
        <w:t>七</w:t>
      </w:r>
      <w:r>
        <w:rPr>
          <w:rFonts w:hint="eastAsia" w:ascii="黑体" w:hAnsi="黑体" w:eastAsia="黑体" w:cs="黑体"/>
          <w:b w:val="0"/>
          <w:bCs w:val="0"/>
          <w:color w:val="auto"/>
          <w:sz w:val="32"/>
          <w:szCs w:val="32"/>
          <w:highlight w:val="none"/>
          <w:lang w:val="zh-CN"/>
        </w:rPr>
        <w:t>、双方的权利和义务</w:t>
      </w:r>
    </w:p>
    <w:p w14:paraId="6DB88ED9">
      <w:pPr>
        <w:keepNext w:val="0"/>
        <w:keepLines w:val="0"/>
        <w:pageBreakBefore w:val="0"/>
        <w:kinsoku/>
        <w:wordWrap/>
        <w:overflowPunct/>
        <w:topLinePunct w:val="0"/>
        <w:bidi w:val="0"/>
        <w:adjustRightInd w:val="0"/>
        <w:snapToGrid w:val="0"/>
        <w:spacing w:line="600" w:lineRule="exact"/>
        <w:ind w:firstLine="640" w:firstLineChars="200"/>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1、甲方的权利和义务：</w:t>
      </w:r>
    </w:p>
    <w:p w14:paraId="54F18EA0">
      <w:pPr>
        <w:keepNext w:val="0"/>
        <w:keepLines w:val="0"/>
        <w:pageBreakBefore w:val="0"/>
        <w:kinsoku/>
        <w:wordWrap/>
        <w:overflowPunct/>
        <w:topLinePunct w:val="0"/>
        <w:bidi w:val="0"/>
        <w:adjustRightInd w:val="0"/>
        <w:snapToGrid w:val="0"/>
        <w:spacing w:line="600" w:lineRule="exact"/>
        <w:ind w:firstLine="640" w:firstLineChars="200"/>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val="zh-CN" w:eastAsia="zh-CN"/>
        </w:rPr>
        <w:t>甲方负责为校车提供</w:t>
      </w:r>
      <w:r>
        <w:rPr>
          <w:rFonts w:hint="eastAsia" w:ascii="仿宋_GB2312" w:hAnsi="仿宋_GB2312" w:eastAsia="仿宋_GB2312" w:cs="仿宋_GB2312"/>
          <w:color w:val="auto"/>
          <w:sz w:val="32"/>
          <w:szCs w:val="32"/>
          <w:highlight w:val="none"/>
          <w:lang w:val="en-US" w:eastAsia="zh-CN"/>
        </w:rPr>
        <w:t>校车停靠在学校时的</w:t>
      </w:r>
      <w:r>
        <w:rPr>
          <w:rFonts w:hint="eastAsia" w:ascii="仿宋_GB2312" w:hAnsi="仿宋_GB2312" w:eastAsia="仿宋_GB2312" w:cs="仿宋_GB2312"/>
          <w:color w:val="auto"/>
          <w:sz w:val="32"/>
          <w:szCs w:val="32"/>
          <w:highlight w:val="none"/>
          <w:lang w:val="zh-CN" w:eastAsia="zh-CN"/>
        </w:rPr>
        <w:t>固定停车点。</w:t>
      </w:r>
    </w:p>
    <w:p w14:paraId="0F737441">
      <w:pPr>
        <w:keepNext w:val="0"/>
        <w:keepLines w:val="0"/>
        <w:pageBreakBefore w:val="0"/>
        <w:kinsoku/>
        <w:wordWrap/>
        <w:overflowPunct/>
        <w:topLinePunct w:val="0"/>
        <w:bidi w:val="0"/>
        <w:adjustRightInd w:val="0"/>
        <w:snapToGrid w:val="0"/>
        <w:spacing w:line="600" w:lineRule="exact"/>
        <w:ind w:firstLine="640" w:firstLineChars="200"/>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val="zh-CN"/>
        </w:rPr>
        <w:t>）甲方和相关校车监管职能部门有权对乙方校车的规范服务及公司的运营状况等实施监督检查。</w:t>
      </w:r>
    </w:p>
    <w:p w14:paraId="3E82D4DB">
      <w:pPr>
        <w:keepNext w:val="0"/>
        <w:keepLines w:val="0"/>
        <w:pageBreakBefore w:val="0"/>
        <w:kinsoku/>
        <w:wordWrap/>
        <w:overflowPunct/>
        <w:topLinePunct w:val="0"/>
        <w:bidi w:val="0"/>
        <w:adjustRightInd w:val="0"/>
        <w:snapToGrid w:val="0"/>
        <w:spacing w:line="600" w:lineRule="exact"/>
        <w:ind w:firstLine="640" w:firstLineChars="200"/>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val="zh-CN"/>
        </w:rPr>
        <w:t>）甲方协调相关部门</w:t>
      </w:r>
      <w:r>
        <w:rPr>
          <w:rFonts w:hint="eastAsia" w:ascii="仿宋_GB2312" w:hAnsi="仿宋_GB2312" w:eastAsia="仿宋_GB2312" w:cs="仿宋_GB2312"/>
          <w:color w:val="auto"/>
          <w:sz w:val="32"/>
          <w:szCs w:val="32"/>
          <w:highlight w:val="none"/>
          <w:lang w:val="en-US" w:eastAsia="zh-CN"/>
        </w:rPr>
        <w:t>和乙方的运营路线，</w:t>
      </w:r>
      <w:r>
        <w:rPr>
          <w:rFonts w:hint="eastAsia" w:ascii="仿宋_GB2312" w:hAnsi="仿宋_GB2312" w:eastAsia="仿宋_GB2312" w:cs="仿宋_GB2312"/>
          <w:color w:val="auto"/>
          <w:sz w:val="32"/>
          <w:szCs w:val="32"/>
          <w:highlight w:val="none"/>
          <w:lang w:val="zh-CN"/>
        </w:rPr>
        <w:t>制定校车接送学生时间表及运行路线图，交由乙方遵照执行（车辆使用期间双方均不得改变车辆运行线路及用途(特殊原因由双方进一步沟通确定)）。</w:t>
      </w:r>
    </w:p>
    <w:p w14:paraId="2474FCBE">
      <w:pPr>
        <w:keepNext w:val="0"/>
        <w:keepLines w:val="0"/>
        <w:pageBreakBefore w:val="0"/>
        <w:kinsoku/>
        <w:wordWrap/>
        <w:overflowPunct/>
        <w:topLinePunct w:val="0"/>
        <w:bidi w:val="0"/>
        <w:adjustRightInd w:val="0"/>
        <w:snapToGrid w:val="0"/>
        <w:spacing w:line="600" w:lineRule="exact"/>
        <w:ind w:firstLine="640" w:firstLineChars="200"/>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val="zh-CN"/>
        </w:rPr>
        <w:t>）甲方提前向乙方提供车辆运行起终站点及中途站点位置，确保车辆安全运行停靠。</w:t>
      </w:r>
    </w:p>
    <w:p w14:paraId="241592FE">
      <w:pPr>
        <w:keepNext w:val="0"/>
        <w:keepLines w:val="0"/>
        <w:pageBreakBefore w:val="0"/>
        <w:kinsoku/>
        <w:wordWrap/>
        <w:overflowPunct/>
        <w:topLinePunct w:val="0"/>
        <w:bidi w:val="0"/>
        <w:adjustRightInd w:val="0"/>
        <w:snapToGrid w:val="0"/>
        <w:spacing w:line="60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lang w:val="zh-CN"/>
        </w:rPr>
        <w:t>）甲方的学校应配合乙方提前告知学生及家长保管好自身财务，严禁携带“易燃、易爆、危险品”乘车，配合照管员告知并按照要求系好安全带(乘车 中严禁将头、手、物品伸出窗外)。</w:t>
      </w:r>
    </w:p>
    <w:p w14:paraId="237AADAD">
      <w:pPr>
        <w:keepNext w:val="0"/>
        <w:keepLines w:val="0"/>
        <w:pageBreakBefore w:val="0"/>
        <w:kinsoku/>
        <w:wordWrap/>
        <w:overflowPunct/>
        <w:topLinePunct w:val="0"/>
        <w:bidi w:val="0"/>
        <w:adjustRightInd w:val="0"/>
        <w:snapToGrid w:val="0"/>
        <w:spacing w:line="600" w:lineRule="exact"/>
        <w:ind w:firstLine="640" w:firstLineChars="200"/>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2、乙方的权利和义务：</w:t>
      </w:r>
    </w:p>
    <w:p w14:paraId="0F9C8E20">
      <w:pPr>
        <w:keepNext w:val="0"/>
        <w:keepLines w:val="0"/>
        <w:pageBreakBefore w:val="0"/>
        <w:kinsoku/>
        <w:wordWrap/>
        <w:overflowPunct/>
        <w:topLinePunct w:val="0"/>
        <w:bidi w:val="0"/>
        <w:adjustRightInd w:val="0"/>
        <w:snapToGrid w:val="0"/>
        <w:spacing w:line="600" w:lineRule="exact"/>
        <w:ind w:firstLine="640" w:firstLineChars="200"/>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zh-CN"/>
        </w:rPr>
        <w:t>（1）</w:t>
      </w:r>
      <w:r>
        <w:rPr>
          <w:rFonts w:hint="eastAsia" w:ascii="仿宋_GB2312" w:hAnsi="仿宋_GB2312" w:eastAsia="仿宋_GB2312" w:cs="仿宋_GB2312"/>
          <w:b w:val="0"/>
          <w:bCs w:val="0"/>
          <w:color w:val="auto"/>
          <w:sz w:val="32"/>
          <w:szCs w:val="32"/>
          <w:highlight w:val="none"/>
          <w:lang w:val="en-US" w:eastAsia="zh-CN"/>
        </w:rPr>
        <w:t>乙方提供的车辆必须保证质量可靠，手续齐全，应全面满足招标文件的要求，所供车辆质量应严格按照《校车安全管理条例》(国务院令第617号)规范标准执行，鼓励清洁能源车参与运营，如发生质量问题由乙方承担全部责任。</w:t>
      </w:r>
    </w:p>
    <w:p w14:paraId="36162E7E">
      <w:pPr>
        <w:keepNext w:val="0"/>
        <w:keepLines w:val="0"/>
        <w:pageBreakBefore w:val="0"/>
        <w:kinsoku/>
        <w:wordWrap/>
        <w:overflowPunct/>
        <w:topLinePunct w:val="0"/>
        <w:bidi w:val="0"/>
        <w:adjustRightInd w:val="0"/>
        <w:snapToGrid w:val="0"/>
        <w:spacing w:line="600" w:lineRule="exact"/>
        <w:ind w:firstLine="640" w:firstLineChars="200"/>
        <w:rPr>
          <w:rFonts w:hint="eastAsia" w:ascii="仿宋_GB2312" w:hAnsi="仿宋_GB2312" w:eastAsia="仿宋_GB2312" w:cs="仿宋_GB2312"/>
          <w:b/>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b w:val="0"/>
          <w:bCs/>
          <w:color w:val="auto"/>
          <w:sz w:val="32"/>
          <w:szCs w:val="32"/>
          <w:highlight w:val="none"/>
          <w:lang w:val="en-US" w:eastAsia="zh-CN"/>
        </w:rPr>
        <w:t>乙方要建立健全校车安全管理制度，配备安全管理人员，加强校车的安全维护，定期对校车驾驶人进行安全教育，组织校车驾驶人学习道路交通安全 法律法规及安全防范、应急处置和应急救援知识，保障学生乘车安全</w:t>
      </w:r>
      <w:r>
        <w:rPr>
          <w:rFonts w:hint="eastAsia" w:ascii="仿宋_GB2312" w:hAnsi="仿宋_GB2312" w:eastAsia="仿宋_GB2312" w:cs="仿宋_GB2312"/>
          <w:b/>
          <w:color w:val="auto"/>
          <w:sz w:val="32"/>
          <w:szCs w:val="32"/>
          <w:highlight w:val="none"/>
          <w:lang w:val="en-US" w:eastAsia="zh-CN"/>
        </w:rPr>
        <w:t>。</w:t>
      </w:r>
    </w:p>
    <w:p w14:paraId="7A54E549">
      <w:pPr>
        <w:keepNext w:val="0"/>
        <w:keepLines w:val="0"/>
        <w:pageBreakBefore w:val="0"/>
        <w:kinsoku/>
        <w:wordWrap/>
        <w:overflowPunct/>
        <w:topLinePunct w:val="0"/>
        <w:bidi w:val="0"/>
        <w:adjustRightInd w:val="0"/>
        <w:snapToGrid w:val="0"/>
        <w:spacing w:line="600" w:lineRule="exact"/>
        <w:ind w:firstLine="640" w:firstLineChars="200"/>
        <w:rPr>
          <w:rFonts w:hint="eastAsia" w:ascii="仿宋_GB2312" w:hAnsi="仿宋_GB2312" w:eastAsia="仿宋_GB2312" w:cs="仿宋_GB2312"/>
          <w:b/>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b w:val="0"/>
          <w:bCs/>
          <w:color w:val="auto"/>
          <w:sz w:val="32"/>
          <w:szCs w:val="32"/>
          <w:highlight w:val="none"/>
          <w:lang w:val="en-US" w:eastAsia="zh-CN"/>
        </w:rPr>
        <w:t>乙方要配备的校车驾驶人员应当依照《校车安全管理条例》(国务院令第617号)第四章第二十三条规定取得校车驾驶资格，且要经公安机关交通管理部门同意后方能使用，定期对驾驶人员进行交通安全知识培训和身体健康检查，确保驾驶人员身心健康情况下驾驶校车</w:t>
      </w:r>
      <w:r>
        <w:rPr>
          <w:rFonts w:hint="eastAsia" w:ascii="仿宋_GB2312" w:hAnsi="仿宋_GB2312" w:eastAsia="仿宋_GB2312" w:cs="仿宋_GB2312"/>
          <w:b/>
          <w:color w:val="auto"/>
          <w:sz w:val="32"/>
          <w:szCs w:val="32"/>
          <w:highlight w:val="none"/>
          <w:lang w:val="en-US" w:eastAsia="zh-CN"/>
        </w:rPr>
        <w:t>。</w:t>
      </w:r>
    </w:p>
    <w:p w14:paraId="70EBF277">
      <w:pPr>
        <w:keepNext w:val="0"/>
        <w:keepLines w:val="0"/>
        <w:pageBreakBefore w:val="0"/>
        <w:kinsoku/>
        <w:wordWrap/>
        <w:overflowPunct/>
        <w:topLinePunct w:val="0"/>
        <w:bidi w:val="0"/>
        <w:adjustRightInd w:val="0"/>
        <w:snapToGrid w:val="0"/>
        <w:spacing w:line="600" w:lineRule="exact"/>
        <w:ind w:firstLine="640" w:firstLineChars="200"/>
        <w:rPr>
          <w:rFonts w:hint="eastAsia" w:ascii="仿宋_GB2312" w:hAnsi="仿宋_GB2312" w:eastAsia="仿宋_GB2312" w:cs="仿宋_GB2312"/>
          <w:b/>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b w:val="0"/>
          <w:bCs/>
          <w:color w:val="auto"/>
          <w:sz w:val="32"/>
          <w:szCs w:val="32"/>
          <w:highlight w:val="none"/>
          <w:lang w:val="en-US" w:eastAsia="zh-CN"/>
        </w:rPr>
        <w:t>乙方在运营时要负责校车驾驶人员、跟车老师和幼儿的安全，严禁超员、超速接送学生；在运营过程中不得搭乘除跟车人员和学生外的任何人；驾驶人员在工作期间发生疾病或死亡，甲方不承担任何责任，善后事务处理由乙方协调解决</w:t>
      </w:r>
      <w:r>
        <w:rPr>
          <w:rFonts w:hint="eastAsia" w:ascii="仿宋_GB2312" w:hAnsi="仿宋_GB2312" w:eastAsia="仿宋_GB2312" w:cs="仿宋_GB2312"/>
          <w:b/>
          <w:color w:val="auto"/>
          <w:sz w:val="32"/>
          <w:szCs w:val="32"/>
          <w:highlight w:val="none"/>
          <w:lang w:val="en-US" w:eastAsia="zh-CN"/>
        </w:rPr>
        <w:t>。</w:t>
      </w:r>
    </w:p>
    <w:p w14:paraId="1DE7DC43">
      <w:pPr>
        <w:keepNext w:val="0"/>
        <w:keepLines w:val="0"/>
        <w:pageBreakBefore w:val="0"/>
        <w:kinsoku/>
        <w:wordWrap/>
        <w:overflowPunct/>
        <w:topLinePunct w:val="0"/>
        <w:bidi w:val="0"/>
        <w:adjustRightInd w:val="0"/>
        <w:snapToGrid w:val="0"/>
        <w:spacing w:line="600" w:lineRule="exact"/>
        <w:ind w:firstLine="640" w:firstLineChars="200"/>
        <w:rPr>
          <w:rFonts w:hint="eastAsia" w:ascii="仿宋_GB2312" w:hAnsi="仿宋_GB2312" w:eastAsia="仿宋_GB2312" w:cs="仿宋_GB2312"/>
          <w:b w:val="0"/>
          <w:bCs/>
          <w:i w:val="0"/>
          <w:iCs w:val="0"/>
          <w:color w:val="auto"/>
          <w:sz w:val="32"/>
          <w:szCs w:val="32"/>
          <w:highlight w:val="none"/>
          <w:lang w:val="en-US" w:eastAsia="zh-CN"/>
        </w:rPr>
      </w:pPr>
      <w:r>
        <w:rPr>
          <w:rFonts w:hint="eastAsia" w:ascii="仿宋_GB2312" w:hAnsi="仿宋_GB2312" w:eastAsia="仿宋_GB2312" w:cs="仿宋_GB2312"/>
          <w:b w:val="0"/>
          <w:bCs/>
          <w:i w:val="0"/>
          <w:iCs w:val="0"/>
          <w:color w:val="auto"/>
          <w:sz w:val="32"/>
          <w:szCs w:val="32"/>
          <w:highlight w:val="none"/>
          <w:lang w:val="en-US" w:eastAsia="zh-CN"/>
        </w:rPr>
        <w:t>（5）乙方在接送学生途中因违法操作，或因车辆存在安全隐患等造成的一切安全事故由乙方承担全部经济损失和法律责任，甲方不承担任何连带责任。</w:t>
      </w:r>
    </w:p>
    <w:p w14:paraId="76B3EB51">
      <w:pPr>
        <w:keepNext w:val="0"/>
        <w:keepLines w:val="0"/>
        <w:pageBreakBefore w:val="0"/>
        <w:kinsoku/>
        <w:wordWrap/>
        <w:overflowPunct/>
        <w:topLinePunct w:val="0"/>
        <w:bidi w:val="0"/>
        <w:adjustRightInd w:val="0"/>
        <w:snapToGrid w:val="0"/>
        <w:spacing w:line="600" w:lineRule="exact"/>
        <w:ind w:firstLine="640" w:firstLineChars="200"/>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（6）乙方配备接送学生车辆要依据甲方学校接送线路，接送车辆要守时，不得随意更改线路。若要更改校车行驶线路必须同所服务的学校协商同意后方 可实施。</w:t>
      </w:r>
    </w:p>
    <w:p w14:paraId="56E96F2E">
      <w:pPr>
        <w:keepNext w:val="0"/>
        <w:keepLines w:val="0"/>
        <w:pageBreakBefore w:val="0"/>
        <w:kinsoku/>
        <w:wordWrap/>
        <w:overflowPunct/>
        <w:topLinePunct w:val="0"/>
        <w:bidi w:val="0"/>
        <w:adjustRightInd w:val="0"/>
        <w:snapToGrid w:val="0"/>
        <w:spacing w:line="600" w:lineRule="exact"/>
        <w:ind w:firstLine="640" w:firstLineChars="200"/>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（7）乙方拟派的校车照管人员依据国务院《校车安全管理条例》（国务院令第617号）第六章第三十八条、第三十九条的规定配备。</w:t>
      </w:r>
    </w:p>
    <w:p w14:paraId="3AA5155C">
      <w:pPr>
        <w:keepNext w:val="0"/>
        <w:keepLines w:val="0"/>
        <w:pageBreakBefore w:val="0"/>
        <w:kinsoku/>
        <w:wordWrap/>
        <w:overflowPunct/>
        <w:topLinePunct w:val="0"/>
        <w:bidi w:val="0"/>
        <w:adjustRightInd w:val="0"/>
        <w:snapToGrid w:val="0"/>
        <w:spacing w:line="600" w:lineRule="exact"/>
        <w:ind w:firstLine="640" w:firstLineChars="200"/>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8）乙方按照甲方的要求，落实校车“七定”管理模式，即定人（定驾驶员、随车照管人员）、定车（固定班次）、定座位（固定学生座位）、定检（定时对校车进行检测维护）、定线路（固定接送线路）、定时间（固定接送时间）、定检测（每次接学生入校前的体温检测），做到规范服务，不得擅自变更运行时间和路线（遇有交通管制、道路施工以及自然灾害、恶劣气象条件或者重大交通事故等影响通行情形的除外）。</w:t>
      </w:r>
    </w:p>
    <w:p w14:paraId="2A2A3B89">
      <w:pPr>
        <w:keepNext w:val="0"/>
        <w:keepLines w:val="0"/>
        <w:pageBreakBefore w:val="0"/>
        <w:kinsoku/>
        <w:wordWrap/>
        <w:overflowPunct/>
        <w:topLinePunct w:val="0"/>
        <w:bidi w:val="0"/>
        <w:adjustRightInd w:val="0"/>
        <w:snapToGrid w:val="0"/>
        <w:spacing w:line="600" w:lineRule="exact"/>
        <w:ind w:firstLine="640" w:firstLineChars="200"/>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9）乙方应保障服务辖区学生“应坐尽坐”，要全面满足学生乘车需求，要做到“专车专用”，禁止除驾驶人、随车照管人员以外的人员乘坐校车。校车除从事学生上下学的接送服务外，不得从事社会营运和农村短途营运。</w:t>
      </w:r>
    </w:p>
    <w:p w14:paraId="400BFA1E">
      <w:pPr>
        <w:keepNext w:val="0"/>
        <w:keepLines w:val="0"/>
        <w:pageBreakBefore w:val="0"/>
        <w:kinsoku/>
        <w:wordWrap/>
        <w:overflowPunct/>
        <w:topLinePunct w:val="0"/>
        <w:bidi w:val="0"/>
        <w:adjustRightInd w:val="0"/>
        <w:snapToGrid w:val="0"/>
        <w:spacing w:line="600" w:lineRule="exact"/>
        <w:ind w:firstLine="640" w:firstLineChars="200"/>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（10）乙方应按照校车管理要求给校车安装5G视频定位系统，并进入全县校车视频监管服务平台，与甲方签订校车安全服务协议，与学生家长签订校车乘坐安全协议。</w:t>
      </w:r>
    </w:p>
    <w:p w14:paraId="1EFA9835">
      <w:pPr>
        <w:keepNext w:val="0"/>
        <w:keepLines w:val="0"/>
        <w:pageBreakBefore w:val="0"/>
        <w:tabs>
          <w:tab w:val="left" w:pos="735"/>
        </w:tabs>
        <w:kinsoku/>
        <w:wordWrap/>
        <w:overflowPunct/>
        <w:topLinePunct w:val="0"/>
        <w:autoSpaceDE w:val="0"/>
        <w:autoSpaceDN w:val="0"/>
        <w:bidi w:val="0"/>
        <w:adjustRightInd w:val="0"/>
        <w:snapToGrid w:val="0"/>
        <w:spacing w:line="600" w:lineRule="exact"/>
        <w:ind w:firstLine="640" w:firstLineChars="200"/>
        <w:rPr>
          <w:rFonts w:hint="eastAsia" w:ascii="黑体" w:hAnsi="黑体" w:eastAsia="黑体" w:cs="黑体"/>
          <w:b w:val="0"/>
          <w:bCs w:val="0"/>
          <w:color w:val="auto"/>
          <w:sz w:val="32"/>
          <w:szCs w:val="32"/>
          <w:highlight w:val="none"/>
          <w:lang w:val="zh-CN"/>
        </w:rPr>
      </w:pPr>
      <w:r>
        <w:rPr>
          <w:rFonts w:hint="eastAsia" w:ascii="黑体" w:hAnsi="黑体" w:eastAsia="黑体" w:cs="黑体"/>
          <w:b w:val="0"/>
          <w:bCs w:val="0"/>
          <w:color w:val="auto"/>
          <w:sz w:val="32"/>
          <w:szCs w:val="32"/>
          <w:highlight w:val="none"/>
          <w:lang w:val="en-US" w:eastAsia="zh-CN"/>
        </w:rPr>
        <w:t>八</w:t>
      </w:r>
      <w:r>
        <w:rPr>
          <w:rFonts w:hint="eastAsia" w:ascii="黑体" w:hAnsi="黑体" w:eastAsia="黑体" w:cs="黑体"/>
          <w:b w:val="0"/>
          <w:bCs w:val="0"/>
          <w:color w:val="auto"/>
          <w:sz w:val="32"/>
          <w:szCs w:val="32"/>
          <w:highlight w:val="none"/>
          <w:lang w:val="zh-CN"/>
        </w:rPr>
        <w:t>、合同的解除与变更</w:t>
      </w:r>
    </w:p>
    <w:p w14:paraId="44DA3AC8">
      <w:pPr>
        <w:keepNext w:val="0"/>
        <w:keepLines w:val="0"/>
        <w:pageBreakBefore w:val="0"/>
        <w:kinsoku/>
        <w:wordWrap/>
        <w:overflowPunct/>
        <w:topLinePunct w:val="0"/>
        <w:bidi w:val="0"/>
        <w:adjustRightInd w:val="0"/>
        <w:snapToGrid w:val="0"/>
        <w:spacing w:line="600" w:lineRule="exact"/>
        <w:ind w:firstLine="640" w:firstLineChars="200"/>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1、在协议履行期间，乙方明确表示或者以自己的行为表明不履行、延迟履行主要义务的，甲方有权单方面解除协。乙方违反本协议约定，造成校车安全事故或者导致严重损害后果，则甲方有权解除本协议。</w:t>
      </w:r>
    </w:p>
    <w:p w14:paraId="43443006">
      <w:pPr>
        <w:keepNext w:val="0"/>
        <w:keepLines w:val="0"/>
        <w:pageBreakBefore w:val="0"/>
        <w:kinsoku/>
        <w:wordWrap/>
        <w:overflowPunct/>
        <w:topLinePunct w:val="0"/>
        <w:bidi w:val="0"/>
        <w:adjustRightInd w:val="0"/>
        <w:snapToGrid w:val="0"/>
        <w:spacing w:line="600" w:lineRule="exact"/>
        <w:ind w:firstLine="640" w:firstLineChars="200"/>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2、一方违约，另一方要求解除协议的，应当催告对方在合理期限内履行义务，催告履行期限届满后对方仍未履行的，要求解除协议的一方应当通知对方，协议自通知到达对方时解除。</w:t>
      </w:r>
    </w:p>
    <w:p w14:paraId="0D7A69F3">
      <w:pPr>
        <w:keepNext w:val="0"/>
        <w:keepLines w:val="0"/>
        <w:pageBreakBefore w:val="0"/>
        <w:kinsoku/>
        <w:wordWrap/>
        <w:overflowPunct/>
        <w:topLinePunct w:val="0"/>
        <w:bidi w:val="0"/>
        <w:adjustRightInd w:val="0"/>
        <w:snapToGrid w:val="0"/>
        <w:spacing w:line="600" w:lineRule="exact"/>
        <w:ind w:firstLine="640" w:firstLineChars="200"/>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3、非甲乙双方的原因致使协议基础丧失的，任何一方均可以提出解除协议。</w:t>
      </w:r>
    </w:p>
    <w:p w14:paraId="6C691D82">
      <w:pPr>
        <w:keepNext w:val="0"/>
        <w:keepLines w:val="0"/>
        <w:pageBreakBefore w:val="0"/>
        <w:kinsoku/>
        <w:wordWrap/>
        <w:overflowPunct/>
        <w:topLinePunct w:val="0"/>
        <w:bidi w:val="0"/>
        <w:adjustRightInd w:val="0"/>
        <w:snapToGrid w:val="0"/>
        <w:spacing w:line="600" w:lineRule="exact"/>
        <w:ind w:firstLine="640" w:firstLineChars="200"/>
        <w:rPr>
          <w:rFonts w:hint="eastAsia" w:ascii="仿宋_GB2312" w:hAnsi="仿宋_GB2312" w:eastAsia="仿宋_GB2312" w:cs="仿宋_GB2312"/>
          <w:bCs/>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bCs/>
          <w:color w:val="000000" w:themeColor="text1"/>
          <w:sz w:val="32"/>
          <w:szCs w:val="32"/>
          <w:highlight w:val="none"/>
          <w:lang w:val="en-US" w:eastAsia="zh-CN"/>
          <w14:textFill>
            <w14:solidFill>
              <w14:schemeClr w14:val="tx1"/>
            </w14:solidFill>
          </w14:textFill>
        </w:rPr>
        <w:t>4、</w:t>
      </w:r>
      <w:r>
        <w:rPr>
          <w:rFonts w:hint="eastAsia" w:ascii="仿宋_GB2312" w:hAnsi="仿宋_GB2312" w:eastAsia="仿宋_GB2312" w:cs="仿宋_GB2312"/>
          <w:bCs/>
          <w:color w:val="000000" w:themeColor="text1"/>
          <w:sz w:val="32"/>
          <w:szCs w:val="32"/>
          <w:highlight w:val="none"/>
          <w14:textFill>
            <w14:solidFill>
              <w14:schemeClr w14:val="tx1"/>
            </w14:solidFill>
          </w14:textFill>
        </w:rPr>
        <w:t>因</w:t>
      </w:r>
      <w:r>
        <w:rPr>
          <w:rFonts w:hint="eastAsia" w:ascii="仿宋_GB2312" w:hAnsi="仿宋_GB2312" w:eastAsia="仿宋_GB2312" w:cs="仿宋_GB2312"/>
          <w:bCs/>
          <w:color w:val="000000" w:themeColor="text1"/>
          <w:sz w:val="32"/>
          <w:szCs w:val="32"/>
          <w:highlight w:val="none"/>
          <w:lang w:val="en-US" w:eastAsia="zh-CN"/>
          <w14:textFill>
            <w14:solidFill>
              <w14:schemeClr w14:val="tx1"/>
            </w14:solidFill>
          </w14:textFill>
        </w:rPr>
        <w:t>出现</w:t>
      </w:r>
      <w:r>
        <w:rPr>
          <w:rFonts w:hint="eastAsia" w:ascii="仿宋_GB2312" w:hAnsi="仿宋_GB2312" w:eastAsia="仿宋_GB2312" w:cs="仿宋_GB2312"/>
          <w:bCs/>
          <w:color w:val="000000" w:themeColor="text1"/>
          <w:sz w:val="32"/>
          <w:szCs w:val="32"/>
          <w:highlight w:val="none"/>
          <w14:textFill>
            <w14:solidFill>
              <w14:schemeClr w14:val="tx1"/>
            </w14:solidFill>
          </w14:textFill>
        </w:rPr>
        <w:t>甲方学校生源减少</w:t>
      </w:r>
      <w:r>
        <w:rPr>
          <w:rFonts w:hint="eastAsia" w:ascii="仿宋_GB2312" w:hAnsi="仿宋_GB2312" w:eastAsia="仿宋_GB2312" w:cs="仿宋_GB2312"/>
          <w:bCs/>
          <w:color w:val="000000" w:themeColor="text1"/>
          <w:sz w:val="32"/>
          <w:szCs w:val="32"/>
          <w:highlight w:val="none"/>
          <w:lang w:val="en-US" w:eastAsia="zh-CN"/>
          <w14:textFill>
            <w14:solidFill>
              <w14:schemeClr w14:val="tx1"/>
            </w14:solidFill>
          </w14:textFill>
        </w:rPr>
        <w:t>或者</w:t>
      </w:r>
      <w:r>
        <w:rPr>
          <w:rFonts w:hint="eastAsia" w:ascii="仿宋_GB2312" w:hAnsi="仿宋_GB2312" w:eastAsia="仿宋_GB2312" w:cs="仿宋_GB2312"/>
          <w:bCs/>
          <w:color w:val="000000" w:themeColor="text1"/>
          <w:sz w:val="32"/>
          <w:szCs w:val="32"/>
          <w:highlight w:val="none"/>
          <w14:textFill>
            <w14:solidFill>
              <w14:schemeClr w14:val="tx1"/>
            </w14:solidFill>
          </w14:textFill>
        </w:rPr>
        <w:t>教育资源布局调整、学校撤并等</w:t>
      </w:r>
      <w:r>
        <w:rPr>
          <w:rFonts w:hint="eastAsia" w:ascii="仿宋_GB2312" w:hAnsi="仿宋_GB2312" w:eastAsia="仿宋_GB2312" w:cs="仿宋_GB2312"/>
          <w:bCs/>
          <w:color w:val="000000" w:themeColor="text1"/>
          <w:sz w:val="32"/>
          <w:szCs w:val="32"/>
          <w:highlight w:val="none"/>
          <w:lang w:val="en-US" w:eastAsia="zh-CN"/>
          <w14:textFill>
            <w14:solidFill>
              <w14:schemeClr w14:val="tx1"/>
            </w14:solidFill>
          </w14:textFill>
        </w:rPr>
        <w:t>客观情况</w:t>
      </w:r>
      <w:r>
        <w:rPr>
          <w:rFonts w:hint="eastAsia" w:ascii="仿宋_GB2312" w:hAnsi="仿宋_GB2312" w:eastAsia="仿宋_GB2312" w:cs="仿宋_GB2312"/>
          <w:bCs/>
          <w:color w:val="000000" w:themeColor="text1"/>
          <w:sz w:val="32"/>
          <w:szCs w:val="32"/>
          <w:highlight w:val="none"/>
          <w14:textFill>
            <w14:solidFill>
              <w14:schemeClr w14:val="tx1"/>
            </w14:solidFill>
          </w14:textFill>
        </w:rPr>
        <w:t>，</w:t>
      </w:r>
      <w:r>
        <w:rPr>
          <w:rFonts w:hint="eastAsia" w:ascii="仿宋_GB2312" w:hAnsi="仿宋_GB2312" w:eastAsia="仿宋_GB2312" w:cs="仿宋_GB2312"/>
          <w:bCs/>
          <w:color w:val="000000" w:themeColor="text1"/>
          <w:sz w:val="32"/>
          <w:szCs w:val="32"/>
          <w:highlight w:val="none"/>
          <w:lang w:val="en-US" w:eastAsia="zh-CN"/>
          <w14:textFill>
            <w14:solidFill>
              <w14:schemeClr w14:val="tx1"/>
            </w14:solidFill>
          </w14:textFill>
        </w:rPr>
        <w:t>对应幼儿园</w:t>
      </w:r>
      <w:r>
        <w:rPr>
          <w:rFonts w:hint="eastAsia" w:ascii="仿宋_GB2312" w:hAnsi="仿宋_GB2312" w:eastAsia="仿宋_GB2312" w:cs="仿宋_GB2312"/>
          <w:bCs/>
          <w:color w:val="000000" w:themeColor="text1"/>
          <w:sz w:val="32"/>
          <w:szCs w:val="32"/>
          <w:highlight w:val="none"/>
          <w14:textFill>
            <w14:solidFill>
              <w14:schemeClr w14:val="tx1"/>
            </w14:solidFill>
          </w14:textFill>
        </w:rPr>
        <w:t>无乘坐校车学生或乘车学生人数大幅下降</w:t>
      </w:r>
      <w:r>
        <w:rPr>
          <w:rFonts w:hint="eastAsia" w:ascii="仿宋_GB2312" w:hAnsi="仿宋_GB2312" w:eastAsia="仿宋_GB2312" w:cs="仿宋_GB2312"/>
          <w:bCs/>
          <w:color w:val="000000" w:themeColor="text1"/>
          <w:sz w:val="32"/>
          <w:szCs w:val="32"/>
          <w:highlight w:val="none"/>
          <w:lang w:val="en-US" w:eastAsia="zh-CN"/>
          <w14:textFill>
            <w14:solidFill>
              <w14:schemeClr w14:val="tx1"/>
            </w14:solidFill>
          </w14:textFill>
        </w:rPr>
        <w:t>至5人以下的</w:t>
      </w:r>
      <w:r>
        <w:rPr>
          <w:rFonts w:hint="eastAsia" w:ascii="仿宋_GB2312" w:hAnsi="仿宋_GB2312" w:eastAsia="仿宋_GB2312" w:cs="仿宋_GB2312"/>
          <w:bCs/>
          <w:color w:val="000000" w:themeColor="text1"/>
          <w:sz w:val="32"/>
          <w:szCs w:val="32"/>
          <w:highlight w:val="none"/>
          <w14:textFill>
            <w14:solidFill>
              <w14:schemeClr w14:val="tx1"/>
            </w14:solidFill>
          </w14:textFill>
        </w:rPr>
        <w:t>，双方应在该情况发生之日起15个工作日内就车辆规模缩减及服务费用变更等事宜进行协商，并签订书面补充协议</w:t>
      </w:r>
      <w:r>
        <w:rPr>
          <w:rFonts w:hint="eastAsia" w:ascii="仿宋_GB2312" w:hAnsi="仿宋_GB2312" w:eastAsia="仿宋_GB2312" w:cs="仿宋_GB2312"/>
          <w:bCs/>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bCs/>
          <w:color w:val="000000" w:themeColor="text1"/>
          <w:sz w:val="32"/>
          <w:szCs w:val="32"/>
          <w:highlight w:val="none"/>
          <w14:textFill>
            <w14:solidFill>
              <w14:schemeClr w14:val="tx1"/>
            </w14:solidFill>
          </w14:textFill>
        </w:rPr>
        <w:t>协商不成的，双方均有权解除本协议</w:t>
      </w:r>
      <w:r>
        <w:rPr>
          <w:rFonts w:hint="eastAsia" w:ascii="仿宋_GB2312" w:hAnsi="仿宋_GB2312" w:eastAsia="仿宋_GB2312" w:cs="仿宋_GB2312"/>
          <w:bCs/>
          <w:color w:val="000000" w:themeColor="text1"/>
          <w:sz w:val="32"/>
          <w:szCs w:val="32"/>
          <w:highlight w:val="none"/>
          <w:lang w:val="en-US" w:eastAsia="zh-CN"/>
          <w14:textFill>
            <w14:solidFill>
              <w14:schemeClr w14:val="tx1"/>
            </w14:solidFill>
          </w14:textFill>
        </w:rPr>
        <w:t>对应幼儿园的校车服务</w:t>
      </w:r>
      <w:r>
        <w:rPr>
          <w:rFonts w:hint="eastAsia" w:ascii="仿宋_GB2312" w:hAnsi="仿宋_GB2312" w:eastAsia="仿宋_GB2312" w:cs="仿宋_GB2312"/>
          <w:bCs/>
          <w:color w:val="000000" w:themeColor="text1"/>
          <w:sz w:val="32"/>
          <w:szCs w:val="32"/>
          <w:highlight w:val="none"/>
          <w14:textFill>
            <w14:solidFill>
              <w14:schemeClr w14:val="tx1"/>
            </w14:solidFill>
          </w14:textFill>
        </w:rPr>
        <w:t>。</w:t>
      </w:r>
    </w:p>
    <w:p w14:paraId="2509F8C1">
      <w:pPr>
        <w:keepNext w:val="0"/>
        <w:keepLines w:val="0"/>
        <w:pageBreakBefore w:val="0"/>
        <w:tabs>
          <w:tab w:val="left" w:pos="735"/>
        </w:tabs>
        <w:kinsoku/>
        <w:wordWrap/>
        <w:overflowPunct/>
        <w:topLinePunct w:val="0"/>
        <w:autoSpaceDE w:val="0"/>
        <w:autoSpaceDN w:val="0"/>
        <w:bidi w:val="0"/>
        <w:adjustRightInd w:val="0"/>
        <w:snapToGrid w:val="0"/>
        <w:spacing w:line="600" w:lineRule="exact"/>
        <w:ind w:firstLine="640" w:firstLineChars="200"/>
        <w:rPr>
          <w:rFonts w:hint="eastAsia" w:ascii="黑体" w:hAnsi="黑体" w:eastAsia="黑体" w:cs="黑体"/>
          <w:b w:val="0"/>
          <w:bCs w:val="0"/>
          <w:color w:val="auto"/>
          <w:sz w:val="32"/>
          <w:szCs w:val="32"/>
          <w:highlight w:val="none"/>
          <w:lang w:val="zh-CN"/>
        </w:rPr>
      </w:pPr>
      <w:r>
        <w:rPr>
          <w:rFonts w:hint="eastAsia" w:ascii="黑体" w:hAnsi="黑体" w:eastAsia="黑体" w:cs="黑体"/>
          <w:b w:val="0"/>
          <w:bCs w:val="0"/>
          <w:color w:val="auto"/>
          <w:sz w:val="32"/>
          <w:szCs w:val="32"/>
          <w:highlight w:val="none"/>
          <w:lang w:val="en-US" w:eastAsia="zh-CN"/>
        </w:rPr>
        <w:t>九</w:t>
      </w:r>
      <w:r>
        <w:rPr>
          <w:rFonts w:hint="eastAsia" w:ascii="黑体" w:hAnsi="黑体" w:eastAsia="黑体" w:cs="黑体"/>
          <w:b w:val="0"/>
          <w:bCs w:val="0"/>
          <w:color w:val="auto"/>
          <w:sz w:val="32"/>
          <w:szCs w:val="32"/>
          <w:highlight w:val="none"/>
          <w:lang w:val="zh-CN"/>
        </w:rPr>
        <w:t>、违约责任</w:t>
      </w:r>
    </w:p>
    <w:p w14:paraId="29763137">
      <w:pPr>
        <w:keepNext w:val="0"/>
        <w:keepLines w:val="0"/>
        <w:pageBreakBefore w:val="0"/>
        <w:kinsoku/>
        <w:wordWrap/>
        <w:overflowPunct/>
        <w:topLinePunct w:val="0"/>
        <w:bidi w:val="0"/>
        <w:adjustRightInd w:val="0"/>
        <w:snapToGrid w:val="0"/>
        <w:spacing w:line="600" w:lineRule="exact"/>
        <w:ind w:firstLine="640" w:firstLineChars="200"/>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1、按《民法典》中的相关条款执行</w:t>
      </w:r>
      <w:r>
        <w:rPr>
          <w:rFonts w:hint="eastAsia" w:ascii="仿宋_GB2312" w:hAnsi="仿宋_GB2312" w:eastAsia="仿宋_GB2312" w:cs="仿宋_GB2312"/>
          <w:bCs/>
          <w:color w:val="auto"/>
          <w:sz w:val="32"/>
          <w:szCs w:val="32"/>
          <w:highlight w:val="none"/>
          <w:lang w:eastAsia="zh-CN"/>
        </w:rPr>
        <w:t>，本合同其他条款有约定的按照约定执行</w:t>
      </w:r>
      <w:r>
        <w:rPr>
          <w:rFonts w:hint="eastAsia" w:ascii="仿宋_GB2312" w:hAnsi="仿宋_GB2312" w:eastAsia="仿宋_GB2312" w:cs="仿宋_GB2312"/>
          <w:bCs/>
          <w:color w:val="auto"/>
          <w:sz w:val="32"/>
          <w:szCs w:val="32"/>
          <w:highlight w:val="none"/>
        </w:rPr>
        <w:t>。</w:t>
      </w:r>
    </w:p>
    <w:p w14:paraId="28904563">
      <w:pPr>
        <w:keepNext w:val="0"/>
        <w:keepLines w:val="0"/>
        <w:pageBreakBefore w:val="0"/>
        <w:kinsoku/>
        <w:wordWrap/>
        <w:overflowPunct/>
        <w:topLinePunct w:val="0"/>
        <w:bidi w:val="0"/>
        <w:adjustRightInd w:val="0"/>
        <w:snapToGrid w:val="0"/>
        <w:spacing w:line="600" w:lineRule="exact"/>
        <w:ind w:firstLine="640" w:firstLineChars="200"/>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2、双方应严格履行本合同，任何一方违反本合同均应承担违约责任。</w:t>
      </w:r>
    </w:p>
    <w:p w14:paraId="6565D9CF">
      <w:pPr>
        <w:keepNext w:val="0"/>
        <w:keepLines w:val="0"/>
        <w:pageBreakBefore w:val="0"/>
        <w:kinsoku/>
        <w:wordWrap/>
        <w:overflowPunct/>
        <w:topLinePunct w:val="0"/>
        <w:bidi w:val="0"/>
        <w:adjustRightInd w:val="0"/>
        <w:snapToGrid w:val="0"/>
        <w:spacing w:line="600" w:lineRule="exact"/>
        <w:ind w:firstLine="640" w:firstLineChars="200"/>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3、由于乙方服务质量低劣未达到合同中约定的标准、由于乙方责任导致服务期延误或乙方有其他违反本合同条款行为的，甲方随时享有单方解除本合同的权利，并享有就由于上述原因造成甲方的全部损失(包括但不限于甲方在此之前支付的所有费用)向乙方要求赔偿的权利。</w:t>
      </w:r>
    </w:p>
    <w:p w14:paraId="255B24EE">
      <w:pPr>
        <w:keepNext w:val="0"/>
        <w:keepLines w:val="0"/>
        <w:pageBreakBefore w:val="0"/>
        <w:kinsoku/>
        <w:wordWrap/>
        <w:overflowPunct/>
        <w:topLinePunct w:val="0"/>
        <w:bidi w:val="0"/>
        <w:adjustRightInd w:val="0"/>
        <w:snapToGrid w:val="0"/>
        <w:spacing w:line="600" w:lineRule="exact"/>
        <w:ind w:firstLine="640" w:firstLineChars="200"/>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4、在本合同履行过程中，由于乙方原因导致服务无法进行的，由乙方承担由此为甲方造成的全部损失。</w:t>
      </w:r>
    </w:p>
    <w:p w14:paraId="0B493C92">
      <w:pPr>
        <w:keepNext w:val="0"/>
        <w:keepLines w:val="0"/>
        <w:pageBreakBefore w:val="0"/>
        <w:kinsoku/>
        <w:wordWrap/>
        <w:overflowPunct/>
        <w:topLinePunct w:val="0"/>
        <w:bidi w:val="0"/>
        <w:adjustRightInd w:val="0"/>
        <w:snapToGrid w:val="0"/>
        <w:spacing w:line="600" w:lineRule="exact"/>
        <w:ind w:firstLine="640" w:firstLineChars="200"/>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5、乙方不履行合同义务的，甲方有权责令乙方立即改正，乙方拒不改正、未按甲方要求改正或已经造成不良社会影响的，每次乙方应承担合同总款项的5%的违约金。</w:t>
      </w:r>
    </w:p>
    <w:p w14:paraId="52745614">
      <w:pPr>
        <w:keepNext w:val="0"/>
        <w:keepLines w:val="0"/>
        <w:pageBreakBefore w:val="0"/>
        <w:kinsoku/>
        <w:wordWrap/>
        <w:overflowPunct/>
        <w:topLinePunct w:val="0"/>
        <w:bidi w:val="0"/>
        <w:adjustRightInd w:val="0"/>
        <w:snapToGrid w:val="0"/>
        <w:spacing w:line="600" w:lineRule="exact"/>
        <w:ind w:firstLine="640" w:firstLineChars="200"/>
        <w:rPr>
          <w:rFonts w:hint="eastAsia" w:ascii="仿宋_GB2312" w:hAnsi="仿宋_GB2312" w:eastAsia="仿宋_GB2312" w:cs="仿宋_GB2312"/>
          <w:bCs/>
          <w:color w:val="E46C0A" w:themeColor="accent6" w:themeShade="BF"/>
          <w:sz w:val="32"/>
          <w:szCs w:val="32"/>
          <w:highlight w:val="none"/>
          <w:lang w:val="en-US" w:eastAsia="zh-CN"/>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6、</w:t>
      </w:r>
      <w:r>
        <w:rPr>
          <w:rFonts w:hint="eastAsia" w:ascii="仿宋_GB2312" w:hAnsi="仿宋_GB2312" w:eastAsia="仿宋_GB2312" w:cs="仿宋_GB2312"/>
          <w:color w:val="000000" w:themeColor="text1"/>
          <w:sz w:val="32"/>
          <w:szCs w:val="32"/>
          <w:highlight w:val="none"/>
          <w:lang w:val="zh-CN"/>
          <w14:textFill>
            <w14:solidFill>
              <w14:schemeClr w14:val="tx1"/>
            </w14:solidFill>
          </w14:textFill>
        </w:rPr>
        <w:t>甲方和相关校车监管职能部门有权对乙方校车的规范服务及公司的运营状况等实施监督检查。对于监督过程中和检查过程中存在问题未及时整改或</w:t>
      </w:r>
      <w:r>
        <w:rPr>
          <w:rFonts w:hint="eastAsia" w:ascii="仿宋_GB2312" w:hAnsi="仿宋_GB2312" w:eastAsia="仿宋_GB2312" w:cs="仿宋_GB2312"/>
          <w:bCs/>
          <w:color w:val="000000" w:themeColor="text1"/>
          <w:sz w:val="32"/>
          <w:szCs w:val="32"/>
          <w:highlight w:val="none"/>
          <w14:textFill>
            <w14:solidFill>
              <w14:schemeClr w14:val="tx1"/>
            </w14:solidFill>
          </w14:textFill>
        </w:rPr>
        <w:t>乙方拒不改正、未按甲方要求改正</w:t>
      </w:r>
      <w:r>
        <w:rPr>
          <w:rFonts w:hint="eastAsia" w:ascii="仿宋_GB2312" w:hAnsi="仿宋_GB2312" w:eastAsia="仿宋_GB2312" w:cs="仿宋_GB2312"/>
          <w:bCs/>
          <w:color w:val="000000" w:themeColor="text1"/>
          <w:sz w:val="32"/>
          <w:szCs w:val="32"/>
          <w:highlight w:val="none"/>
          <w:lang w:val="en-US" w:eastAsia="zh-CN"/>
          <w14:textFill>
            <w14:solidFill>
              <w14:schemeClr w14:val="tx1"/>
            </w14:solidFill>
          </w14:textFill>
        </w:rPr>
        <w:t>的，</w:t>
      </w:r>
      <w:r>
        <w:rPr>
          <w:rFonts w:hint="eastAsia" w:ascii="仿宋_GB2312" w:hAnsi="仿宋_GB2312" w:eastAsia="仿宋_GB2312" w:cs="仿宋_GB2312"/>
          <w:bCs/>
          <w:color w:val="000000" w:themeColor="text1"/>
          <w:sz w:val="32"/>
          <w:szCs w:val="32"/>
          <w:highlight w:val="none"/>
          <w14:textFill>
            <w14:solidFill>
              <w14:schemeClr w14:val="tx1"/>
            </w14:solidFill>
          </w14:textFill>
        </w:rPr>
        <w:t>每次乙方应承担合同总款项的</w:t>
      </w:r>
      <w:r>
        <w:rPr>
          <w:rFonts w:hint="eastAsia" w:ascii="仿宋_GB2312" w:hAnsi="仿宋_GB2312" w:eastAsia="仿宋_GB2312" w:cs="仿宋_GB2312"/>
          <w:bCs/>
          <w:color w:val="000000" w:themeColor="text1"/>
          <w:sz w:val="32"/>
          <w:szCs w:val="32"/>
          <w:highlight w:val="none"/>
          <w:lang w:val="en-US" w:eastAsia="zh-CN"/>
          <w14:textFill>
            <w14:solidFill>
              <w14:schemeClr w14:val="tx1"/>
            </w14:solidFill>
          </w14:textFill>
        </w:rPr>
        <w:t>1%</w:t>
      </w:r>
      <w:r>
        <w:rPr>
          <w:rFonts w:hint="eastAsia" w:ascii="仿宋_GB2312" w:hAnsi="仿宋_GB2312" w:eastAsia="仿宋_GB2312" w:cs="仿宋_GB2312"/>
          <w:bCs/>
          <w:color w:val="000000" w:themeColor="text1"/>
          <w:sz w:val="32"/>
          <w:szCs w:val="32"/>
          <w:highlight w:val="none"/>
          <w14:textFill>
            <w14:solidFill>
              <w14:schemeClr w14:val="tx1"/>
            </w14:solidFill>
          </w14:textFill>
        </w:rPr>
        <w:t>的违约金。</w:t>
      </w:r>
    </w:p>
    <w:p w14:paraId="7D722145">
      <w:pPr>
        <w:keepNext w:val="0"/>
        <w:keepLines w:val="0"/>
        <w:pageBreakBefore w:val="0"/>
        <w:kinsoku/>
        <w:wordWrap/>
        <w:overflowPunct/>
        <w:topLinePunct w:val="0"/>
        <w:bidi w:val="0"/>
        <w:adjustRightInd w:val="0"/>
        <w:snapToGrid w:val="0"/>
        <w:spacing w:line="600" w:lineRule="exact"/>
        <w:ind w:firstLine="640" w:firstLineChars="200"/>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lang w:val="en-US" w:eastAsia="zh-CN"/>
        </w:rPr>
        <w:t>7</w:t>
      </w:r>
      <w:r>
        <w:rPr>
          <w:rFonts w:hint="eastAsia" w:ascii="仿宋_GB2312" w:hAnsi="仿宋_GB2312" w:eastAsia="仿宋_GB2312" w:cs="仿宋_GB2312"/>
          <w:bCs/>
          <w:color w:val="auto"/>
          <w:sz w:val="32"/>
          <w:szCs w:val="32"/>
          <w:highlight w:val="none"/>
        </w:rPr>
        <w:t>、乙方擅自将合同项目的全部或部分转让委托给第三方，甲方有权解除合同，乙方应立即返还所有甲方支付的费用，并支付违约金，违约金为合同总款项的20%。</w:t>
      </w:r>
    </w:p>
    <w:p w14:paraId="5732A88F">
      <w:pPr>
        <w:keepNext w:val="0"/>
        <w:keepLines w:val="0"/>
        <w:pageBreakBefore w:val="0"/>
        <w:kinsoku/>
        <w:wordWrap/>
        <w:overflowPunct/>
        <w:topLinePunct w:val="0"/>
        <w:bidi w:val="0"/>
        <w:adjustRightInd w:val="0"/>
        <w:snapToGrid w:val="0"/>
        <w:spacing w:line="6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8</w:t>
      </w:r>
      <w:r>
        <w:rPr>
          <w:rFonts w:hint="eastAsia" w:ascii="仿宋_GB2312" w:hAnsi="仿宋_GB2312" w:eastAsia="仿宋_GB2312" w:cs="仿宋_GB2312"/>
          <w:color w:val="auto"/>
          <w:sz w:val="32"/>
          <w:szCs w:val="32"/>
          <w:highlight w:val="none"/>
        </w:rPr>
        <w:t>、乙方承担的违约金不足以赔偿甲方实际损失的，甲方有权要求乙方将损失差额部分补齐。</w:t>
      </w:r>
    </w:p>
    <w:p w14:paraId="3D8034E4">
      <w:pPr>
        <w:keepNext w:val="0"/>
        <w:keepLines w:val="0"/>
        <w:pageBreakBefore w:val="0"/>
        <w:kinsoku/>
        <w:wordWrap/>
        <w:overflowPunct/>
        <w:topLinePunct w:val="0"/>
        <w:bidi w:val="0"/>
        <w:adjustRightInd w:val="0"/>
        <w:snapToGrid w:val="0"/>
        <w:spacing w:line="600" w:lineRule="exact"/>
        <w:ind w:firstLine="640" w:firstLineChars="200"/>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lang w:val="en-US" w:eastAsia="zh-CN"/>
        </w:rPr>
        <w:t>9</w:t>
      </w:r>
      <w:r>
        <w:rPr>
          <w:rFonts w:hint="eastAsia" w:ascii="仿宋_GB2312" w:hAnsi="仿宋_GB2312" w:eastAsia="仿宋_GB2312" w:cs="仿宋_GB2312"/>
          <w:bCs/>
          <w:color w:val="auto"/>
          <w:sz w:val="32"/>
          <w:szCs w:val="32"/>
          <w:highlight w:val="none"/>
        </w:rPr>
        <w:t>、违约方承担守约方维权支出的费用，包括律师代理费。</w:t>
      </w:r>
    </w:p>
    <w:p w14:paraId="4F05E1DE">
      <w:pPr>
        <w:keepNext w:val="0"/>
        <w:keepLines w:val="0"/>
        <w:pageBreakBefore w:val="0"/>
        <w:tabs>
          <w:tab w:val="left" w:pos="735"/>
        </w:tabs>
        <w:kinsoku/>
        <w:wordWrap/>
        <w:overflowPunct/>
        <w:topLinePunct w:val="0"/>
        <w:autoSpaceDE w:val="0"/>
        <w:autoSpaceDN w:val="0"/>
        <w:bidi w:val="0"/>
        <w:adjustRightInd w:val="0"/>
        <w:snapToGrid w:val="0"/>
        <w:spacing w:line="600" w:lineRule="exact"/>
        <w:ind w:firstLine="640" w:firstLineChars="200"/>
        <w:rPr>
          <w:rFonts w:hint="eastAsia" w:ascii="黑体" w:hAnsi="黑体" w:eastAsia="黑体" w:cs="黑体"/>
          <w:b w:val="0"/>
          <w:bCs w:val="0"/>
          <w:color w:val="auto"/>
          <w:sz w:val="32"/>
          <w:szCs w:val="32"/>
          <w:highlight w:val="none"/>
          <w:lang w:val="zh-CN"/>
        </w:rPr>
      </w:pPr>
      <w:r>
        <w:rPr>
          <w:rFonts w:hint="eastAsia" w:ascii="黑体" w:hAnsi="黑体" w:eastAsia="黑体" w:cs="黑体"/>
          <w:b w:val="0"/>
          <w:bCs w:val="0"/>
          <w:color w:val="auto"/>
          <w:sz w:val="32"/>
          <w:szCs w:val="32"/>
          <w:highlight w:val="none"/>
          <w:lang w:val="zh-CN"/>
        </w:rPr>
        <w:t>十、争议处理</w:t>
      </w:r>
    </w:p>
    <w:p w14:paraId="1FB5923E">
      <w:pPr>
        <w:keepNext w:val="0"/>
        <w:keepLines w:val="0"/>
        <w:pageBreakBefore w:val="0"/>
        <w:kinsoku/>
        <w:wordWrap/>
        <w:overflowPunct/>
        <w:topLinePunct w:val="0"/>
        <w:bidi w:val="0"/>
        <w:adjustRightInd w:val="0"/>
        <w:snapToGrid w:val="0"/>
        <w:spacing w:line="600" w:lineRule="exact"/>
        <w:ind w:firstLine="640" w:firstLineChars="200"/>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双方本着友好合作的态度，对合同履行过程中发生的违约行为进行及时的协商解决，如不能协商解决可通过</w:t>
      </w:r>
      <w:r>
        <w:rPr>
          <w:rFonts w:hint="eastAsia" w:ascii="仿宋_GB2312" w:hAnsi="仿宋_GB2312" w:eastAsia="仿宋_GB2312" w:cs="仿宋_GB2312"/>
          <w:bCs/>
          <w:color w:val="auto"/>
          <w:sz w:val="32"/>
          <w:szCs w:val="32"/>
          <w:highlight w:val="none"/>
          <w:lang w:val="en-US" w:eastAsia="zh-CN"/>
        </w:rPr>
        <w:t>甲方所在地法院诉讼</w:t>
      </w:r>
      <w:r>
        <w:rPr>
          <w:rFonts w:hint="eastAsia" w:ascii="仿宋_GB2312" w:hAnsi="仿宋_GB2312" w:eastAsia="仿宋_GB2312" w:cs="仿宋_GB2312"/>
          <w:bCs/>
          <w:color w:val="auto"/>
          <w:sz w:val="32"/>
          <w:szCs w:val="32"/>
          <w:highlight w:val="none"/>
        </w:rPr>
        <w:t>。</w:t>
      </w:r>
    </w:p>
    <w:p w14:paraId="1436D416">
      <w:pPr>
        <w:keepNext w:val="0"/>
        <w:keepLines w:val="0"/>
        <w:pageBreakBefore w:val="0"/>
        <w:tabs>
          <w:tab w:val="left" w:pos="735"/>
        </w:tabs>
        <w:kinsoku/>
        <w:wordWrap/>
        <w:overflowPunct/>
        <w:topLinePunct w:val="0"/>
        <w:autoSpaceDE w:val="0"/>
        <w:autoSpaceDN w:val="0"/>
        <w:bidi w:val="0"/>
        <w:adjustRightInd w:val="0"/>
        <w:snapToGrid w:val="0"/>
        <w:spacing w:line="600" w:lineRule="exact"/>
        <w:ind w:firstLine="640" w:firstLineChars="200"/>
        <w:rPr>
          <w:rFonts w:hint="eastAsia" w:ascii="黑体" w:hAnsi="黑体" w:eastAsia="黑体" w:cs="黑体"/>
          <w:b w:val="0"/>
          <w:bCs w:val="0"/>
          <w:color w:val="auto"/>
          <w:sz w:val="32"/>
          <w:szCs w:val="32"/>
          <w:highlight w:val="none"/>
          <w:lang w:val="zh-CN"/>
        </w:rPr>
      </w:pPr>
      <w:r>
        <w:rPr>
          <w:rFonts w:hint="eastAsia" w:ascii="黑体" w:hAnsi="黑体" w:eastAsia="黑体" w:cs="黑体"/>
          <w:b w:val="0"/>
          <w:bCs w:val="0"/>
          <w:color w:val="auto"/>
          <w:sz w:val="32"/>
          <w:szCs w:val="32"/>
          <w:highlight w:val="none"/>
          <w:lang w:val="zh-CN"/>
        </w:rPr>
        <w:t>十</w:t>
      </w:r>
      <w:r>
        <w:rPr>
          <w:rFonts w:hint="eastAsia" w:ascii="黑体" w:hAnsi="黑体" w:eastAsia="黑体" w:cs="黑体"/>
          <w:b w:val="0"/>
          <w:bCs w:val="0"/>
          <w:color w:val="auto"/>
          <w:sz w:val="32"/>
          <w:szCs w:val="32"/>
          <w:highlight w:val="none"/>
          <w:lang w:val="en-US" w:eastAsia="zh-CN"/>
        </w:rPr>
        <w:t>一</w:t>
      </w:r>
      <w:r>
        <w:rPr>
          <w:rFonts w:hint="eastAsia" w:ascii="黑体" w:hAnsi="黑体" w:eastAsia="黑体" w:cs="黑体"/>
          <w:b w:val="0"/>
          <w:bCs w:val="0"/>
          <w:color w:val="auto"/>
          <w:sz w:val="32"/>
          <w:szCs w:val="32"/>
          <w:highlight w:val="none"/>
          <w:lang w:val="zh-CN"/>
        </w:rPr>
        <w:t>、合同组成及附件</w:t>
      </w:r>
    </w:p>
    <w:p w14:paraId="58A67435">
      <w:pPr>
        <w:keepNext w:val="0"/>
        <w:keepLines w:val="0"/>
        <w:pageBreakBefore w:val="0"/>
        <w:kinsoku/>
        <w:wordWrap/>
        <w:overflowPunct/>
        <w:topLinePunct w:val="0"/>
        <w:bidi w:val="0"/>
        <w:adjustRightInd w:val="0"/>
        <w:snapToGrid w:val="0"/>
        <w:spacing w:line="6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w:t>
      </w:r>
      <w:r>
        <w:rPr>
          <w:rFonts w:hint="eastAsia" w:ascii="仿宋_GB2312" w:hAnsi="仿宋_GB2312" w:eastAsia="仿宋_GB2312" w:cs="仿宋_GB2312"/>
          <w:color w:val="auto"/>
          <w:sz w:val="32"/>
          <w:szCs w:val="32"/>
          <w:highlight w:val="none"/>
          <w:lang w:val="en-US" w:eastAsia="zh-CN"/>
        </w:rPr>
        <w:t>成交</w:t>
      </w:r>
      <w:r>
        <w:rPr>
          <w:rFonts w:hint="eastAsia" w:ascii="仿宋_GB2312" w:hAnsi="仿宋_GB2312" w:eastAsia="仿宋_GB2312" w:cs="仿宋_GB2312"/>
          <w:color w:val="auto"/>
          <w:sz w:val="32"/>
          <w:szCs w:val="32"/>
          <w:highlight w:val="none"/>
        </w:rPr>
        <w:t>通知书</w:t>
      </w:r>
    </w:p>
    <w:p w14:paraId="072593B5">
      <w:pPr>
        <w:keepNext w:val="0"/>
        <w:keepLines w:val="0"/>
        <w:pageBreakBefore w:val="0"/>
        <w:kinsoku/>
        <w:wordWrap/>
        <w:overflowPunct/>
        <w:topLinePunct w:val="0"/>
        <w:bidi w:val="0"/>
        <w:adjustRightInd w:val="0"/>
        <w:snapToGrid w:val="0"/>
        <w:spacing w:line="6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2、合同文件</w:t>
      </w:r>
    </w:p>
    <w:p w14:paraId="05F45863">
      <w:pPr>
        <w:keepNext w:val="0"/>
        <w:keepLines w:val="0"/>
        <w:pageBreakBefore w:val="0"/>
        <w:kinsoku/>
        <w:wordWrap/>
        <w:overflowPunct/>
        <w:topLinePunct w:val="0"/>
        <w:bidi w:val="0"/>
        <w:adjustRightInd w:val="0"/>
        <w:snapToGrid w:val="0"/>
        <w:spacing w:line="6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3、国家相关规范及标准</w:t>
      </w:r>
    </w:p>
    <w:p w14:paraId="451862CB">
      <w:pPr>
        <w:keepNext w:val="0"/>
        <w:keepLines w:val="0"/>
        <w:pageBreakBefore w:val="0"/>
        <w:kinsoku/>
        <w:wordWrap/>
        <w:overflowPunct/>
        <w:topLinePunct w:val="0"/>
        <w:bidi w:val="0"/>
        <w:adjustRightInd w:val="0"/>
        <w:snapToGrid w:val="0"/>
        <w:spacing w:line="6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4、</w:t>
      </w:r>
      <w:r>
        <w:rPr>
          <w:rFonts w:hint="eastAsia" w:ascii="仿宋_GB2312" w:hAnsi="仿宋_GB2312" w:eastAsia="仿宋_GB2312" w:cs="仿宋_GB2312"/>
          <w:color w:val="auto"/>
          <w:sz w:val="32"/>
          <w:szCs w:val="32"/>
          <w:highlight w:val="none"/>
          <w:lang w:val="en-US" w:eastAsia="zh-CN"/>
        </w:rPr>
        <w:t>竞争性磋商</w:t>
      </w:r>
      <w:r>
        <w:rPr>
          <w:rFonts w:hint="eastAsia" w:ascii="仿宋_GB2312" w:hAnsi="仿宋_GB2312" w:eastAsia="仿宋_GB2312" w:cs="仿宋_GB2312"/>
          <w:color w:val="auto"/>
          <w:sz w:val="32"/>
          <w:szCs w:val="32"/>
          <w:highlight w:val="none"/>
        </w:rPr>
        <w:t>文件</w:t>
      </w:r>
    </w:p>
    <w:p w14:paraId="71B879F6">
      <w:pPr>
        <w:keepNext w:val="0"/>
        <w:keepLines w:val="0"/>
        <w:pageBreakBefore w:val="0"/>
        <w:kinsoku/>
        <w:wordWrap/>
        <w:overflowPunct/>
        <w:topLinePunct w:val="0"/>
        <w:bidi w:val="0"/>
        <w:adjustRightInd w:val="0"/>
        <w:snapToGrid w:val="0"/>
        <w:spacing w:line="6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5、</w:t>
      </w:r>
      <w:r>
        <w:rPr>
          <w:rFonts w:hint="eastAsia" w:ascii="仿宋_GB2312" w:hAnsi="仿宋_GB2312" w:eastAsia="仿宋_GB2312" w:cs="仿宋_GB2312"/>
          <w:color w:val="auto"/>
          <w:sz w:val="32"/>
          <w:szCs w:val="32"/>
          <w:highlight w:val="none"/>
          <w:lang w:val="en-US" w:eastAsia="zh-CN"/>
        </w:rPr>
        <w:t>响应</w:t>
      </w:r>
      <w:r>
        <w:rPr>
          <w:rFonts w:hint="eastAsia" w:ascii="仿宋_GB2312" w:hAnsi="仿宋_GB2312" w:eastAsia="仿宋_GB2312" w:cs="仿宋_GB2312"/>
          <w:color w:val="auto"/>
          <w:sz w:val="32"/>
          <w:szCs w:val="32"/>
          <w:highlight w:val="none"/>
        </w:rPr>
        <w:t>文件</w:t>
      </w:r>
    </w:p>
    <w:p w14:paraId="2BD910DD">
      <w:pPr>
        <w:keepNext w:val="0"/>
        <w:keepLines w:val="0"/>
        <w:pageBreakBefore w:val="0"/>
        <w:kinsoku/>
        <w:wordWrap/>
        <w:overflowPunct/>
        <w:topLinePunct w:val="0"/>
        <w:bidi w:val="0"/>
        <w:adjustRightInd w:val="0"/>
        <w:snapToGrid w:val="0"/>
        <w:spacing w:line="6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6、</w:t>
      </w:r>
      <w:r>
        <w:rPr>
          <w:rFonts w:hint="eastAsia" w:ascii="仿宋_GB2312" w:hAnsi="仿宋_GB2312" w:eastAsia="仿宋_GB2312" w:cs="仿宋_GB2312"/>
          <w:color w:val="auto"/>
          <w:sz w:val="32"/>
          <w:szCs w:val="32"/>
          <w:highlight w:val="none"/>
          <w:lang w:val="en-US" w:eastAsia="zh-CN"/>
        </w:rPr>
        <w:t>考核</w:t>
      </w:r>
      <w:r>
        <w:rPr>
          <w:rFonts w:hint="eastAsia" w:ascii="仿宋_GB2312" w:hAnsi="仿宋_GB2312" w:eastAsia="仿宋_GB2312" w:cs="仿宋_GB2312"/>
          <w:color w:val="auto"/>
          <w:sz w:val="32"/>
          <w:szCs w:val="32"/>
          <w:highlight w:val="none"/>
        </w:rPr>
        <w:t>办法及附件</w:t>
      </w:r>
    </w:p>
    <w:p w14:paraId="3B386F0E">
      <w:pPr>
        <w:keepNext w:val="0"/>
        <w:keepLines w:val="0"/>
        <w:pageBreakBefore w:val="0"/>
        <w:tabs>
          <w:tab w:val="left" w:pos="735"/>
        </w:tabs>
        <w:kinsoku/>
        <w:wordWrap/>
        <w:overflowPunct/>
        <w:topLinePunct w:val="0"/>
        <w:autoSpaceDE w:val="0"/>
        <w:autoSpaceDN w:val="0"/>
        <w:bidi w:val="0"/>
        <w:adjustRightInd w:val="0"/>
        <w:snapToGrid w:val="0"/>
        <w:spacing w:line="600" w:lineRule="exact"/>
        <w:ind w:firstLine="640" w:firstLineChars="200"/>
        <w:rPr>
          <w:rFonts w:hint="eastAsia" w:ascii="黑体" w:hAnsi="黑体" w:eastAsia="黑体" w:cs="黑体"/>
          <w:b w:val="0"/>
          <w:bCs w:val="0"/>
          <w:color w:val="auto"/>
          <w:sz w:val="32"/>
          <w:szCs w:val="32"/>
          <w:highlight w:val="none"/>
          <w:lang w:val="zh-CN"/>
        </w:rPr>
      </w:pPr>
      <w:r>
        <w:rPr>
          <w:rFonts w:hint="eastAsia" w:ascii="黑体" w:hAnsi="黑体" w:eastAsia="黑体" w:cs="黑体"/>
          <w:b w:val="0"/>
          <w:bCs w:val="0"/>
          <w:color w:val="auto"/>
          <w:sz w:val="32"/>
          <w:szCs w:val="32"/>
          <w:highlight w:val="none"/>
          <w:lang w:val="zh-CN"/>
        </w:rPr>
        <w:t>十</w:t>
      </w:r>
      <w:r>
        <w:rPr>
          <w:rFonts w:hint="eastAsia" w:ascii="黑体" w:hAnsi="黑体" w:eastAsia="黑体" w:cs="黑体"/>
          <w:b w:val="0"/>
          <w:bCs w:val="0"/>
          <w:color w:val="auto"/>
          <w:sz w:val="32"/>
          <w:szCs w:val="32"/>
          <w:highlight w:val="none"/>
          <w:lang w:val="en-US" w:eastAsia="zh-CN"/>
        </w:rPr>
        <w:t>二</w:t>
      </w:r>
      <w:r>
        <w:rPr>
          <w:rFonts w:hint="eastAsia" w:ascii="黑体" w:hAnsi="黑体" w:eastAsia="黑体" w:cs="黑体"/>
          <w:b w:val="0"/>
          <w:bCs w:val="0"/>
          <w:color w:val="auto"/>
          <w:sz w:val="32"/>
          <w:szCs w:val="32"/>
          <w:highlight w:val="none"/>
          <w:lang w:val="zh-CN"/>
        </w:rPr>
        <w:t>、合同生效及其它</w:t>
      </w:r>
    </w:p>
    <w:p w14:paraId="768EBD09">
      <w:pPr>
        <w:keepNext w:val="0"/>
        <w:keepLines w:val="0"/>
        <w:pageBreakBefore w:val="0"/>
        <w:widowControl/>
        <w:kinsoku/>
        <w:wordWrap/>
        <w:overflowPunct/>
        <w:topLinePunct w:val="0"/>
        <w:autoSpaceDE w:val="0"/>
        <w:autoSpaceDN w:val="0"/>
        <w:bidi w:val="0"/>
        <w:snapToGrid w:val="0"/>
        <w:spacing w:line="600" w:lineRule="exact"/>
        <w:ind w:firstLine="640" w:firstLineChars="200"/>
        <w:textAlignment w:val="bottom"/>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1、合同未尽事宜、由甲、乙双方协商，作为合同补充，与原合同具有同等法律效力。</w:t>
      </w:r>
    </w:p>
    <w:p w14:paraId="753816EA">
      <w:pPr>
        <w:keepNext w:val="0"/>
        <w:keepLines w:val="0"/>
        <w:pageBreakBefore w:val="0"/>
        <w:widowControl/>
        <w:tabs>
          <w:tab w:val="left" w:pos="8391"/>
        </w:tabs>
        <w:kinsoku/>
        <w:wordWrap/>
        <w:overflowPunct/>
        <w:topLinePunct w:val="0"/>
        <w:autoSpaceDE w:val="0"/>
        <w:autoSpaceDN w:val="0"/>
        <w:bidi w:val="0"/>
        <w:snapToGrid w:val="0"/>
        <w:spacing w:line="600" w:lineRule="exact"/>
        <w:ind w:firstLine="640" w:firstLineChars="200"/>
        <w:textAlignment w:val="bottom"/>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2、本合同正本一式</w:t>
      </w:r>
      <w:r>
        <w:rPr>
          <w:rFonts w:hint="eastAsia" w:ascii="仿宋_GB2312" w:hAnsi="仿宋_GB2312" w:eastAsia="仿宋_GB2312" w:cs="仿宋_GB2312"/>
          <w:color w:val="auto"/>
          <w:kern w:val="0"/>
          <w:sz w:val="32"/>
          <w:szCs w:val="32"/>
          <w:highlight w:val="none"/>
          <w:u w:val="single"/>
          <w:lang w:val="en-US" w:eastAsia="zh-CN"/>
        </w:rPr>
        <w:t xml:space="preserve">   </w:t>
      </w:r>
      <w:r>
        <w:rPr>
          <w:rFonts w:hint="eastAsia" w:ascii="仿宋_GB2312" w:hAnsi="仿宋_GB2312" w:eastAsia="仿宋_GB2312" w:cs="仿宋_GB2312"/>
          <w:color w:val="auto"/>
          <w:kern w:val="0"/>
          <w:sz w:val="32"/>
          <w:szCs w:val="32"/>
          <w:highlight w:val="none"/>
          <w:u w:val="single"/>
        </w:rPr>
        <w:t xml:space="preserve"> </w:t>
      </w:r>
      <w:r>
        <w:rPr>
          <w:rFonts w:hint="eastAsia" w:ascii="仿宋_GB2312" w:hAnsi="仿宋_GB2312" w:eastAsia="仿宋_GB2312" w:cs="仿宋_GB2312"/>
          <w:color w:val="auto"/>
          <w:kern w:val="0"/>
          <w:sz w:val="32"/>
          <w:szCs w:val="32"/>
          <w:highlight w:val="none"/>
        </w:rPr>
        <w:t>份，甲方、乙方双方分别执</w:t>
      </w:r>
      <w:r>
        <w:rPr>
          <w:rFonts w:hint="eastAsia" w:ascii="仿宋_GB2312" w:hAnsi="仿宋_GB2312" w:eastAsia="仿宋_GB2312" w:cs="仿宋_GB2312"/>
          <w:color w:val="auto"/>
          <w:kern w:val="0"/>
          <w:sz w:val="32"/>
          <w:szCs w:val="32"/>
          <w:highlight w:val="none"/>
          <w:u w:val="single"/>
        </w:rPr>
        <w:t xml:space="preserve"> </w:t>
      </w:r>
      <w:r>
        <w:rPr>
          <w:rFonts w:hint="eastAsia" w:ascii="仿宋_GB2312" w:hAnsi="仿宋_GB2312" w:eastAsia="仿宋_GB2312" w:cs="仿宋_GB2312"/>
          <w:color w:val="auto"/>
          <w:kern w:val="0"/>
          <w:sz w:val="32"/>
          <w:szCs w:val="32"/>
          <w:highlight w:val="none"/>
          <w:u w:val="single"/>
          <w:lang w:val="en-US" w:eastAsia="zh-CN"/>
        </w:rPr>
        <w:t xml:space="preserve">  </w:t>
      </w:r>
      <w:r>
        <w:rPr>
          <w:rFonts w:hint="eastAsia" w:ascii="仿宋_GB2312" w:hAnsi="仿宋_GB2312" w:eastAsia="仿宋_GB2312" w:cs="仿宋_GB2312"/>
          <w:color w:val="auto"/>
          <w:kern w:val="0"/>
          <w:sz w:val="32"/>
          <w:szCs w:val="32"/>
          <w:highlight w:val="none"/>
          <w:u w:val="single"/>
        </w:rPr>
        <w:t xml:space="preserve"> </w:t>
      </w:r>
      <w:r>
        <w:rPr>
          <w:rFonts w:hint="eastAsia" w:ascii="仿宋_GB2312" w:hAnsi="仿宋_GB2312" w:eastAsia="仿宋_GB2312" w:cs="仿宋_GB2312"/>
          <w:color w:val="auto"/>
          <w:kern w:val="0"/>
          <w:sz w:val="32"/>
          <w:szCs w:val="32"/>
          <w:highlight w:val="none"/>
        </w:rPr>
        <w:t>份，副本一式</w:t>
      </w:r>
      <w:r>
        <w:rPr>
          <w:rFonts w:hint="eastAsia" w:ascii="仿宋_GB2312" w:hAnsi="仿宋_GB2312" w:eastAsia="仿宋_GB2312" w:cs="仿宋_GB2312"/>
          <w:color w:val="auto"/>
          <w:kern w:val="0"/>
          <w:sz w:val="32"/>
          <w:szCs w:val="32"/>
          <w:highlight w:val="none"/>
          <w:u w:val="single"/>
        </w:rPr>
        <w:t xml:space="preserve"> </w:t>
      </w:r>
      <w:r>
        <w:rPr>
          <w:rFonts w:hint="eastAsia" w:ascii="仿宋_GB2312" w:hAnsi="仿宋_GB2312" w:eastAsia="仿宋_GB2312" w:cs="仿宋_GB2312"/>
          <w:color w:val="auto"/>
          <w:kern w:val="0"/>
          <w:sz w:val="32"/>
          <w:szCs w:val="32"/>
          <w:highlight w:val="none"/>
          <w:u w:val="single"/>
          <w:lang w:val="en-US" w:eastAsia="zh-CN"/>
        </w:rPr>
        <w:t xml:space="preserve">  </w:t>
      </w:r>
      <w:r>
        <w:rPr>
          <w:rFonts w:hint="eastAsia" w:ascii="仿宋_GB2312" w:hAnsi="仿宋_GB2312" w:eastAsia="仿宋_GB2312" w:cs="仿宋_GB2312"/>
          <w:color w:val="auto"/>
          <w:kern w:val="0"/>
          <w:sz w:val="32"/>
          <w:szCs w:val="32"/>
          <w:highlight w:val="none"/>
          <w:u w:val="single"/>
        </w:rPr>
        <w:t xml:space="preserve"> </w:t>
      </w:r>
      <w:r>
        <w:rPr>
          <w:rFonts w:hint="eastAsia" w:ascii="仿宋_GB2312" w:hAnsi="仿宋_GB2312" w:eastAsia="仿宋_GB2312" w:cs="仿宋_GB2312"/>
          <w:color w:val="auto"/>
          <w:kern w:val="0"/>
          <w:sz w:val="32"/>
          <w:szCs w:val="32"/>
          <w:highlight w:val="none"/>
        </w:rPr>
        <w:t>份，甲方、乙方双方分别执</w:t>
      </w:r>
      <w:r>
        <w:rPr>
          <w:rFonts w:hint="eastAsia" w:ascii="仿宋_GB2312" w:hAnsi="仿宋_GB2312" w:eastAsia="仿宋_GB2312" w:cs="仿宋_GB2312"/>
          <w:color w:val="auto"/>
          <w:kern w:val="0"/>
          <w:sz w:val="32"/>
          <w:szCs w:val="32"/>
          <w:highlight w:val="none"/>
          <w:u w:val="single"/>
        </w:rPr>
        <w:t xml:space="preserve"> </w:t>
      </w:r>
      <w:r>
        <w:rPr>
          <w:rFonts w:hint="eastAsia" w:ascii="仿宋_GB2312" w:hAnsi="仿宋_GB2312" w:eastAsia="仿宋_GB2312" w:cs="仿宋_GB2312"/>
          <w:color w:val="auto"/>
          <w:kern w:val="0"/>
          <w:sz w:val="32"/>
          <w:szCs w:val="32"/>
          <w:highlight w:val="none"/>
          <w:u w:val="single"/>
          <w:lang w:val="en-US" w:eastAsia="zh-CN"/>
        </w:rPr>
        <w:t xml:space="preserve">  </w:t>
      </w:r>
      <w:r>
        <w:rPr>
          <w:rFonts w:hint="eastAsia" w:ascii="仿宋_GB2312" w:hAnsi="仿宋_GB2312" w:eastAsia="仿宋_GB2312" w:cs="仿宋_GB2312"/>
          <w:color w:val="auto"/>
          <w:kern w:val="0"/>
          <w:sz w:val="32"/>
          <w:szCs w:val="32"/>
          <w:highlight w:val="none"/>
          <w:u w:val="single"/>
        </w:rPr>
        <w:t xml:space="preserve"> </w:t>
      </w:r>
      <w:r>
        <w:rPr>
          <w:rFonts w:hint="eastAsia" w:ascii="仿宋_GB2312" w:hAnsi="仿宋_GB2312" w:eastAsia="仿宋_GB2312" w:cs="仿宋_GB2312"/>
          <w:color w:val="auto"/>
          <w:kern w:val="0"/>
          <w:sz w:val="32"/>
          <w:szCs w:val="32"/>
          <w:highlight w:val="none"/>
        </w:rPr>
        <w:t>份。</w:t>
      </w:r>
    </w:p>
    <w:p w14:paraId="78C2EAE9">
      <w:pPr>
        <w:keepNext w:val="0"/>
        <w:keepLines w:val="0"/>
        <w:pageBreakBefore w:val="0"/>
        <w:widowControl/>
        <w:tabs>
          <w:tab w:val="left" w:pos="8391"/>
        </w:tabs>
        <w:kinsoku/>
        <w:wordWrap/>
        <w:overflowPunct/>
        <w:topLinePunct w:val="0"/>
        <w:autoSpaceDE w:val="0"/>
        <w:autoSpaceDN w:val="0"/>
        <w:bidi w:val="0"/>
        <w:snapToGrid w:val="0"/>
        <w:spacing w:line="600" w:lineRule="exact"/>
        <w:ind w:firstLine="640" w:firstLineChars="200"/>
        <w:textAlignment w:val="bottom"/>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3、如果本协议的任何条款在任何时候被确定为不合法、无效或不可强制执行时，本协议的其它条款的效力和履行应不受影响。</w:t>
      </w:r>
    </w:p>
    <w:p w14:paraId="538EAFF8">
      <w:pPr>
        <w:keepNext w:val="0"/>
        <w:keepLines w:val="0"/>
        <w:pageBreakBefore w:val="0"/>
        <w:widowControl/>
        <w:tabs>
          <w:tab w:val="left" w:pos="8391"/>
        </w:tabs>
        <w:kinsoku/>
        <w:wordWrap/>
        <w:overflowPunct/>
        <w:topLinePunct w:val="0"/>
        <w:autoSpaceDE w:val="0"/>
        <w:autoSpaceDN w:val="0"/>
        <w:bidi w:val="0"/>
        <w:snapToGrid w:val="0"/>
        <w:spacing w:line="600" w:lineRule="exact"/>
        <w:ind w:firstLine="640" w:firstLineChars="200"/>
        <w:textAlignment w:val="bottom"/>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4、合同经甲乙双方盖章、签字后生效，合同签订地点为</w:t>
      </w:r>
      <w:r>
        <w:rPr>
          <w:rFonts w:hint="eastAsia" w:ascii="仿宋_GB2312" w:hAnsi="仿宋_GB2312" w:eastAsia="仿宋_GB2312" w:cs="仿宋_GB2312"/>
          <w:color w:val="auto"/>
          <w:kern w:val="0"/>
          <w:sz w:val="32"/>
          <w:szCs w:val="32"/>
          <w:highlight w:val="none"/>
          <w:u w:val="single"/>
        </w:rPr>
        <w:t xml:space="preserve">     </w:t>
      </w:r>
      <w:r>
        <w:rPr>
          <w:rFonts w:hint="eastAsia" w:ascii="仿宋_GB2312" w:hAnsi="仿宋_GB2312" w:eastAsia="仿宋_GB2312" w:cs="仿宋_GB2312"/>
          <w:color w:val="auto"/>
          <w:kern w:val="0"/>
          <w:sz w:val="32"/>
          <w:szCs w:val="32"/>
          <w:highlight w:val="none"/>
        </w:rPr>
        <w:t>。</w:t>
      </w:r>
    </w:p>
    <w:p w14:paraId="0E39D737">
      <w:pPr>
        <w:keepNext w:val="0"/>
        <w:keepLines w:val="0"/>
        <w:pageBreakBefore w:val="0"/>
        <w:widowControl/>
        <w:tabs>
          <w:tab w:val="left" w:pos="8391"/>
        </w:tabs>
        <w:kinsoku/>
        <w:wordWrap/>
        <w:overflowPunct/>
        <w:topLinePunct w:val="0"/>
        <w:autoSpaceDE w:val="0"/>
        <w:autoSpaceDN w:val="0"/>
        <w:bidi w:val="0"/>
        <w:snapToGrid w:val="0"/>
        <w:spacing w:line="600" w:lineRule="exact"/>
        <w:ind w:firstLine="640" w:firstLineChars="200"/>
        <w:textAlignment w:val="bottom"/>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color w:val="auto"/>
          <w:kern w:val="0"/>
          <w:sz w:val="32"/>
          <w:szCs w:val="32"/>
          <w:highlight w:val="none"/>
        </w:rPr>
        <w:t>5、生效时间：</w:t>
      </w:r>
      <w:r>
        <w:rPr>
          <w:rFonts w:hint="eastAsia" w:ascii="仿宋_GB2312" w:hAnsi="仿宋_GB2312" w:eastAsia="仿宋_GB2312" w:cs="仿宋_GB2312"/>
          <w:color w:val="auto"/>
          <w:kern w:val="0"/>
          <w:sz w:val="32"/>
          <w:szCs w:val="32"/>
          <w:highlight w:val="none"/>
          <w:u w:val="single"/>
        </w:rPr>
        <w:t xml:space="preserve">   </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u w:val="single"/>
        </w:rPr>
        <w:t xml:space="preserve">  </w:t>
      </w:r>
      <w:r>
        <w:rPr>
          <w:rFonts w:hint="eastAsia" w:ascii="仿宋_GB2312" w:hAnsi="仿宋_GB2312" w:eastAsia="仿宋_GB2312" w:cs="仿宋_GB2312"/>
          <w:color w:val="auto"/>
          <w:kern w:val="0"/>
          <w:sz w:val="32"/>
          <w:szCs w:val="32"/>
          <w:highlight w:val="none"/>
        </w:rPr>
        <w:t>月</w:t>
      </w:r>
      <w:r>
        <w:rPr>
          <w:rFonts w:hint="eastAsia" w:ascii="仿宋_GB2312" w:hAnsi="仿宋_GB2312" w:eastAsia="仿宋_GB2312" w:cs="仿宋_GB2312"/>
          <w:color w:val="auto"/>
          <w:kern w:val="0"/>
          <w:sz w:val="32"/>
          <w:szCs w:val="32"/>
          <w:highlight w:val="none"/>
          <w:u w:val="single"/>
        </w:rPr>
        <w:t xml:space="preserve">  </w:t>
      </w:r>
      <w:r>
        <w:rPr>
          <w:rFonts w:hint="eastAsia" w:ascii="仿宋_GB2312" w:hAnsi="仿宋_GB2312" w:eastAsia="仿宋_GB2312" w:cs="仿宋_GB2312"/>
          <w:color w:val="auto"/>
          <w:kern w:val="0"/>
          <w:sz w:val="32"/>
          <w:szCs w:val="32"/>
          <w:highlight w:val="none"/>
          <w:u w:val="none"/>
          <w:lang w:val="en-US" w:eastAsia="zh-CN"/>
        </w:rPr>
        <w:t>日</w:t>
      </w:r>
    </w:p>
    <w:tbl>
      <w:tblPr>
        <w:tblStyle w:val="15"/>
        <w:tblW w:w="0" w:type="auto"/>
        <w:jc w:val="center"/>
        <w:tblLayout w:type="fixed"/>
        <w:tblCellMar>
          <w:top w:w="0" w:type="dxa"/>
          <w:left w:w="108" w:type="dxa"/>
          <w:bottom w:w="0" w:type="dxa"/>
          <w:right w:w="108" w:type="dxa"/>
        </w:tblCellMar>
      </w:tblPr>
      <w:tblGrid>
        <w:gridCol w:w="4643"/>
        <w:gridCol w:w="4643"/>
      </w:tblGrid>
      <w:tr w14:paraId="157233F2">
        <w:tblPrEx>
          <w:tblCellMar>
            <w:top w:w="0" w:type="dxa"/>
            <w:left w:w="108" w:type="dxa"/>
            <w:bottom w:w="0" w:type="dxa"/>
            <w:right w:w="108" w:type="dxa"/>
          </w:tblCellMar>
        </w:tblPrEx>
        <w:trPr>
          <w:trHeight w:val="2550" w:hRule="atLeast"/>
          <w:jc w:val="center"/>
        </w:trPr>
        <w:tc>
          <w:tcPr>
            <w:tcW w:w="4643" w:type="dxa"/>
            <w:noWrap w:val="0"/>
            <w:vAlign w:val="top"/>
          </w:tcPr>
          <w:p w14:paraId="1044532C">
            <w:pPr>
              <w:keepNext w:val="0"/>
              <w:keepLines w:val="0"/>
              <w:pageBreakBefore w:val="0"/>
              <w:widowControl/>
              <w:kinsoku/>
              <w:wordWrap/>
              <w:overflowPunct/>
              <w:topLinePunct w:val="0"/>
              <w:autoSpaceDE w:val="0"/>
              <w:autoSpaceDN w:val="0"/>
              <w:bidi w:val="0"/>
              <w:snapToGrid w:val="0"/>
              <w:spacing w:line="600" w:lineRule="exact"/>
              <w:ind w:firstLine="640" w:firstLineChars="200"/>
              <w:textAlignment w:val="bottom"/>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甲方名称</w:t>
            </w:r>
            <w:r>
              <w:rPr>
                <w:rFonts w:hint="eastAsia" w:ascii="仿宋_GB2312" w:hAnsi="仿宋_GB2312" w:eastAsia="仿宋_GB2312" w:cs="仿宋_GB2312"/>
                <w:color w:val="auto"/>
                <w:spacing w:val="-20"/>
                <w:kern w:val="0"/>
                <w:sz w:val="32"/>
                <w:szCs w:val="32"/>
                <w:highlight w:val="none"/>
              </w:rPr>
              <w:t>（盖章）</w:t>
            </w:r>
            <w:r>
              <w:rPr>
                <w:rFonts w:hint="eastAsia" w:ascii="仿宋_GB2312" w:hAnsi="仿宋_GB2312" w:eastAsia="仿宋_GB2312" w:cs="仿宋_GB2312"/>
                <w:color w:val="auto"/>
                <w:kern w:val="0"/>
                <w:sz w:val="32"/>
                <w:szCs w:val="32"/>
                <w:highlight w:val="none"/>
              </w:rPr>
              <w:t>:</w:t>
            </w:r>
          </w:p>
          <w:p w14:paraId="4733A5AF">
            <w:pPr>
              <w:keepNext w:val="0"/>
              <w:keepLines w:val="0"/>
              <w:pageBreakBefore w:val="0"/>
              <w:widowControl/>
              <w:kinsoku/>
              <w:wordWrap/>
              <w:overflowPunct/>
              <w:topLinePunct w:val="0"/>
              <w:autoSpaceDE w:val="0"/>
              <w:autoSpaceDN w:val="0"/>
              <w:bidi w:val="0"/>
              <w:snapToGrid w:val="0"/>
              <w:spacing w:line="600" w:lineRule="exact"/>
              <w:ind w:firstLine="640" w:firstLineChars="200"/>
              <w:textAlignment w:val="bottom"/>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地址：</w:t>
            </w:r>
          </w:p>
          <w:p w14:paraId="32640168">
            <w:pPr>
              <w:keepNext w:val="0"/>
              <w:keepLines w:val="0"/>
              <w:pageBreakBefore w:val="0"/>
              <w:widowControl/>
              <w:kinsoku/>
              <w:wordWrap/>
              <w:overflowPunct/>
              <w:topLinePunct w:val="0"/>
              <w:autoSpaceDE w:val="0"/>
              <w:autoSpaceDN w:val="0"/>
              <w:bidi w:val="0"/>
              <w:snapToGrid w:val="0"/>
              <w:spacing w:line="600" w:lineRule="exact"/>
              <w:ind w:firstLine="640" w:firstLineChars="200"/>
              <w:textAlignment w:val="bottom"/>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法定代表人（签字）：</w:t>
            </w:r>
          </w:p>
          <w:p w14:paraId="7904E5D2">
            <w:pPr>
              <w:keepNext w:val="0"/>
              <w:keepLines w:val="0"/>
              <w:pageBreakBefore w:val="0"/>
              <w:widowControl/>
              <w:kinsoku/>
              <w:wordWrap/>
              <w:overflowPunct/>
              <w:topLinePunct w:val="0"/>
              <w:autoSpaceDE w:val="0"/>
              <w:autoSpaceDN w:val="0"/>
              <w:bidi w:val="0"/>
              <w:snapToGrid w:val="0"/>
              <w:spacing w:line="600" w:lineRule="exact"/>
              <w:ind w:firstLine="640" w:firstLineChars="200"/>
              <w:textAlignment w:val="bottom"/>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电话：</w:t>
            </w:r>
          </w:p>
        </w:tc>
        <w:tc>
          <w:tcPr>
            <w:tcW w:w="4643" w:type="dxa"/>
            <w:noWrap w:val="0"/>
            <w:vAlign w:val="top"/>
          </w:tcPr>
          <w:p w14:paraId="64168657">
            <w:pPr>
              <w:keepNext w:val="0"/>
              <w:keepLines w:val="0"/>
              <w:pageBreakBefore w:val="0"/>
              <w:widowControl/>
              <w:kinsoku/>
              <w:wordWrap/>
              <w:overflowPunct/>
              <w:topLinePunct w:val="0"/>
              <w:autoSpaceDE w:val="0"/>
              <w:autoSpaceDN w:val="0"/>
              <w:bidi w:val="0"/>
              <w:snapToGrid w:val="0"/>
              <w:spacing w:line="600" w:lineRule="exact"/>
              <w:ind w:firstLine="640" w:firstLineChars="200"/>
              <w:textAlignment w:val="bottom"/>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乙方名称</w:t>
            </w:r>
            <w:r>
              <w:rPr>
                <w:rFonts w:hint="eastAsia" w:ascii="仿宋_GB2312" w:hAnsi="仿宋_GB2312" w:eastAsia="仿宋_GB2312" w:cs="仿宋_GB2312"/>
                <w:color w:val="auto"/>
                <w:spacing w:val="-20"/>
                <w:kern w:val="0"/>
                <w:sz w:val="32"/>
                <w:szCs w:val="32"/>
                <w:highlight w:val="none"/>
              </w:rPr>
              <w:t>（盖章）</w:t>
            </w:r>
            <w:r>
              <w:rPr>
                <w:rFonts w:hint="eastAsia" w:ascii="仿宋_GB2312" w:hAnsi="仿宋_GB2312" w:eastAsia="仿宋_GB2312" w:cs="仿宋_GB2312"/>
                <w:color w:val="auto"/>
                <w:kern w:val="0"/>
                <w:sz w:val="32"/>
                <w:szCs w:val="32"/>
                <w:highlight w:val="none"/>
              </w:rPr>
              <w:t>:</w:t>
            </w:r>
          </w:p>
          <w:p w14:paraId="1EC74DC9">
            <w:pPr>
              <w:keepNext w:val="0"/>
              <w:keepLines w:val="0"/>
              <w:pageBreakBefore w:val="0"/>
              <w:widowControl/>
              <w:kinsoku/>
              <w:wordWrap/>
              <w:overflowPunct/>
              <w:topLinePunct w:val="0"/>
              <w:autoSpaceDE w:val="0"/>
              <w:autoSpaceDN w:val="0"/>
              <w:bidi w:val="0"/>
              <w:snapToGrid w:val="0"/>
              <w:spacing w:line="600" w:lineRule="exact"/>
              <w:ind w:firstLine="640" w:firstLineChars="200"/>
              <w:textAlignment w:val="bottom"/>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地址：</w:t>
            </w:r>
          </w:p>
          <w:p w14:paraId="5C965D4F">
            <w:pPr>
              <w:keepNext w:val="0"/>
              <w:keepLines w:val="0"/>
              <w:pageBreakBefore w:val="0"/>
              <w:widowControl/>
              <w:kinsoku/>
              <w:wordWrap/>
              <w:overflowPunct/>
              <w:topLinePunct w:val="0"/>
              <w:autoSpaceDE w:val="0"/>
              <w:autoSpaceDN w:val="0"/>
              <w:bidi w:val="0"/>
              <w:snapToGrid w:val="0"/>
              <w:spacing w:line="600" w:lineRule="exact"/>
              <w:ind w:firstLine="640" w:firstLineChars="200"/>
              <w:textAlignment w:val="bottom"/>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法定代表人（签字）：</w:t>
            </w:r>
          </w:p>
          <w:p w14:paraId="788045B4">
            <w:pPr>
              <w:keepNext w:val="0"/>
              <w:keepLines w:val="0"/>
              <w:pageBreakBefore w:val="0"/>
              <w:widowControl/>
              <w:kinsoku/>
              <w:wordWrap/>
              <w:overflowPunct/>
              <w:topLinePunct w:val="0"/>
              <w:autoSpaceDE w:val="0"/>
              <w:autoSpaceDN w:val="0"/>
              <w:bidi w:val="0"/>
              <w:snapToGrid w:val="0"/>
              <w:spacing w:line="600" w:lineRule="exact"/>
              <w:ind w:firstLine="640" w:firstLineChars="200"/>
              <w:textAlignment w:val="bottom"/>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电话：</w:t>
            </w:r>
          </w:p>
        </w:tc>
      </w:tr>
    </w:tbl>
    <w:p w14:paraId="4C98DCAA">
      <w:pPr>
        <w:keepNext w:val="0"/>
        <w:keepLines w:val="0"/>
        <w:pageBreakBefore w:val="0"/>
        <w:kinsoku/>
        <w:wordWrap/>
        <w:overflowPunct/>
        <w:topLinePunct w:val="0"/>
        <w:bidi w:val="0"/>
        <w:spacing w:line="600" w:lineRule="exact"/>
        <w:rPr>
          <w:rFonts w:hint="eastAsia" w:ascii="仿宋_GB2312" w:hAnsi="仿宋_GB2312" w:eastAsia="仿宋_GB2312" w:cs="仿宋_GB2312"/>
          <w:b/>
          <w:color w:val="auto"/>
          <w:sz w:val="32"/>
          <w:szCs w:val="32"/>
          <w:highlight w:val="none"/>
        </w:rPr>
      </w:pPr>
    </w:p>
    <w:p w14:paraId="267FCD75">
      <w:pPr>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b/>
          <w:color w:val="auto"/>
          <w:sz w:val="32"/>
          <w:szCs w:val="32"/>
          <w:highlight w:val="none"/>
        </w:rPr>
        <w:br w:type="page"/>
      </w:r>
    </w:p>
    <w:p w14:paraId="48AD3571">
      <w:pPr>
        <w:jc w:val="left"/>
        <w:rPr>
          <w:rFonts w:hint="eastAsia" w:ascii="仿宋_GB2312" w:hAnsi="仿宋_GB2312" w:eastAsia="仿宋_GB2312" w:cs="仿宋_GB2312"/>
          <w:b/>
          <w:bCs/>
          <w:color w:val="auto"/>
          <w:sz w:val="30"/>
          <w:szCs w:val="30"/>
          <w:highlight w:val="none"/>
        </w:rPr>
      </w:pPr>
      <w:r>
        <w:rPr>
          <w:rFonts w:hint="eastAsia" w:ascii="仿宋_GB2312" w:hAnsi="仿宋_GB2312" w:eastAsia="仿宋_GB2312" w:cs="仿宋_GB2312"/>
          <w:b/>
          <w:color w:val="auto"/>
          <w:sz w:val="32"/>
          <w:szCs w:val="32"/>
          <w:highlight w:val="none"/>
        </w:rPr>
        <w:t>协议编号：</w:t>
      </w:r>
    </w:p>
    <w:p w14:paraId="2037FC1C">
      <w:pPr>
        <w:pStyle w:val="23"/>
        <w:rPr>
          <w:rFonts w:hint="eastAsia" w:ascii="仿宋_GB2312" w:hAnsi="仿宋_GB2312" w:eastAsia="仿宋_GB2312" w:cs="仿宋_GB2312"/>
          <w:color w:val="auto"/>
          <w:highlight w:val="none"/>
        </w:rPr>
      </w:pPr>
    </w:p>
    <w:p w14:paraId="2D452C7F">
      <w:pPr>
        <w:jc w:val="center"/>
        <w:rPr>
          <w:rFonts w:hint="eastAsia" w:ascii="仿宋_GB2312" w:hAnsi="仿宋_GB2312" w:eastAsia="仿宋_GB2312" w:cs="仿宋_GB2312"/>
          <w:b/>
          <w:bCs/>
          <w:color w:val="auto"/>
          <w:sz w:val="40"/>
          <w:szCs w:val="40"/>
          <w:highlight w:val="none"/>
        </w:rPr>
      </w:pPr>
    </w:p>
    <w:p w14:paraId="2B8EF800">
      <w:pPr>
        <w:jc w:val="center"/>
        <w:rPr>
          <w:rFonts w:hint="eastAsia" w:ascii="仿宋_GB2312" w:hAnsi="仿宋_GB2312" w:eastAsia="仿宋_GB2312" w:cs="仿宋_GB2312"/>
          <w:b/>
          <w:bCs/>
          <w:color w:val="auto"/>
          <w:sz w:val="40"/>
          <w:szCs w:val="40"/>
          <w:highlight w:val="none"/>
        </w:rPr>
      </w:pPr>
    </w:p>
    <w:p w14:paraId="2CF03863">
      <w:pPr>
        <w:jc w:val="center"/>
        <w:rPr>
          <w:rFonts w:hint="eastAsia" w:ascii="仿宋_GB2312" w:hAnsi="仿宋_GB2312" w:eastAsia="仿宋_GB2312" w:cs="仿宋_GB2312"/>
          <w:b/>
          <w:bCs/>
          <w:color w:val="auto"/>
          <w:sz w:val="40"/>
          <w:szCs w:val="40"/>
          <w:highlight w:val="none"/>
        </w:rPr>
      </w:pPr>
    </w:p>
    <w:p w14:paraId="31D3908D">
      <w:pPr>
        <w:jc w:val="center"/>
        <w:rPr>
          <w:rFonts w:hint="eastAsia" w:ascii="仿宋_GB2312" w:hAnsi="仿宋_GB2312" w:eastAsia="仿宋_GB2312" w:cs="仿宋_GB2312"/>
          <w:b/>
          <w:bCs/>
          <w:color w:val="auto"/>
          <w:sz w:val="44"/>
          <w:szCs w:val="44"/>
          <w:highlight w:val="none"/>
          <w:lang w:val="en-US" w:eastAsia="zh-CN"/>
        </w:rPr>
      </w:pPr>
      <w:r>
        <w:rPr>
          <w:rFonts w:hint="eastAsia" w:ascii="仿宋_GB2312" w:hAnsi="仿宋_GB2312" w:eastAsia="仿宋_GB2312" w:cs="仿宋_GB2312"/>
          <w:b/>
          <w:bCs/>
          <w:color w:val="auto"/>
          <w:sz w:val="44"/>
          <w:szCs w:val="44"/>
          <w:highlight w:val="none"/>
          <w:u w:val="single"/>
        </w:rPr>
        <w:t xml:space="preserve">          </w:t>
      </w:r>
      <w:r>
        <w:rPr>
          <w:rFonts w:hint="eastAsia" w:ascii="仿宋_GB2312" w:hAnsi="仿宋_GB2312" w:eastAsia="仿宋_GB2312" w:cs="仿宋_GB2312"/>
          <w:b/>
          <w:bCs/>
          <w:color w:val="auto"/>
          <w:sz w:val="44"/>
          <w:szCs w:val="44"/>
          <w:highlight w:val="none"/>
        </w:rPr>
        <w:t>校车运营服务</w:t>
      </w:r>
      <w:r>
        <w:rPr>
          <w:rFonts w:hint="eastAsia" w:ascii="仿宋_GB2312" w:hAnsi="仿宋_GB2312" w:eastAsia="仿宋_GB2312" w:cs="仿宋_GB2312"/>
          <w:b/>
          <w:bCs/>
          <w:color w:val="auto"/>
          <w:sz w:val="44"/>
          <w:szCs w:val="44"/>
          <w:highlight w:val="none"/>
          <w:lang w:val="en-US" w:eastAsia="zh-CN"/>
        </w:rPr>
        <w:t>协议</w:t>
      </w:r>
    </w:p>
    <w:p w14:paraId="2875A9EA">
      <w:pPr>
        <w:rPr>
          <w:rFonts w:hint="eastAsia" w:ascii="仿宋_GB2312" w:hAnsi="仿宋_GB2312" w:eastAsia="仿宋_GB2312" w:cs="仿宋_GB2312"/>
          <w:color w:val="auto"/>
          <w:highlight w:val="none"/>
        </w:rPr>
      </w:pPr>
    </w:p>
    <w:p w14:paraId="26DB67C4">
      <w:pPr>
        <w:rPr>
          <w:rFonts w:hint="eastAsia" w:ascii="仿宋_GB2312" w:hAnsi="仿宋_GB2312" w:eastAsia="仿宋_GB2312" w:cs="仿宋_GB2312"/>
          <w:color w:val="auto"/>
          <w:highlight w:val="none"/>
        </w:rPr>
      </w:pPr>
    </w:p>
    <w:p w14:paraId="07980963">
      <w:pPr>
        <w:rPr>
          <w:rFonts w:hint="eastAsia" w:ascii="仿宋_GB2312" w:hAnsi="仿宋_GB2312" w:eastAsia="仿宋_GB2312" w:cs="仿宋_GB2312"/>
          <w:color w:val="auto"/>
          <w:highlight w:val="none"/>
        </w:rPr>
      </w:pPr>
    </w:p>
    <w:p w14:paraId="0CC2AF17">
      <w:pPr>
        <w:rPr>
          <w:rFonts w:hint="eastAsia" w:ascii="仿宋_GB2312" w:hAnsi="仿宋_GB2312" w:eastAsia="仿宋_GB2312" w:cs="仿宋_GB2312"/>
          <w:color w:val="auto"/>
          <w:highlight w:val="none"/>
        </w:rPr>
      </w:pPr>
    </w:p>
    <w:p w14:paraId="637DA55B">
      <w:pPr>
        <w:jc w:val="center"/>
        <w:rPr>
          <w:rFonts w:hint="eastAsia" w:ascii="仿宋_GB2312" w:hAnsi="仿宋_GB2312" w:eastAsia="仿宋_GB2312" w:cs="仿宋_GB2312"/>
          <w:b/>
          <w:color w:val="auto"/>
          <w:sz w:val="48"/>
          <w:szCs w:val="48"/>
          <w:highlight w:val="none"/>
        </w:rPr>
      </w:pPr>
    </w:p>
    <w:p w14:paraId="156F98CD">
      <w:pPr>
        <w:jc w:val="center"/>
        <w:rPr>
          <w:rFonts w:hint="eastAsia" w:ascii="仿宋_GB2312" w:hAnsi="仿宋_GB2312" w:eastAsia="仿宋_GB2312" w:cs="仿宋_GB2312"/>
          <w:b/>
          <w:color w:val="auto"/>
          <w:sz w:val="48"/>
          <w:szCs w:val="48"/>
          <w:highlight w:val="none"/>
        </w:rPr>
      </w:pPr>
    </w:p>
    <w:p w14:paraId="60C045AD">
      <w:pPr>
        <w:rPr>
          <w:rFonts w:hint="eastAsia" w:ascii="仿宋_GB2312" w:hAnsi="仿宋_GB2312" w:eastAsia="仿宋_GB2312" w:cs="仿宋_GB2312"/>
          <w:b/>
          <w:color w:val="auto"/>
          <w:highlight w:val="none"/>
        </w:rPr>
      </w:pPr>
    </w:p>
    <w:p w14:paraId="58618F42">
      <w:pPr>
        <w:rPr>
          <w:rFonts w:hint="eastAsia" w:ascii="仿宋_GB2312" w:hAnsi="仿宋_GB2312" w:eastAsia="仿宋_GB2312" w:cs="仿宋_GB2312"/>
          <w:b/>
          <w:color w:val="auto"/>
          <w:highlight w:val="none"/>
        </w:rPr>
      </w:pPr>
    </w:p>
    <w:p w14:paraId="1DEE1321">
      <w:pPr>
        <w:rPr>
          <w:rFonts w:hint="eastAsia" w:ascii="仿宋_GB2312" w:hAnsi="仿宋_GB2312" w:eastAsia="仿宋_GB2312" w:cs="仿宋_GB2312"/>
          <w:b/>
          <w:color w:val="auto"/>
          <w:highlight w:val="none"/>
        </w:rPr>
      </w:pPr>
    </w:p>
    <w:p w14:paraId="1CE315A3">
      <w:pPr>
        <w:rPr>
          <w:rFonts w:hint="eastAsia" w:ascii="仿宋_GB2312" w:hAnsi="仿宋_GB2312" w:eastAsia="仿宋_GB2312" w:cs="仿宋_GB2312"/>
          <w:b/>
          <w:color w:val="auto"/>
          <w:highlight w:val="none"/>
        </w:rPr>
      </w:pPr>
    </w:p>
    <w:p w14:paraId="7D388101">
      <w:pPr>
        <w:rPr>
          <w:rFonts w:hint="eastAsia" w:ascii="仿宋_GB2312" w:hAnsi="仿宋_GB2312" w:eastAsia="仿宋_GB2312" w:cs="仿宋_GB2312"/>
          <w:b/>
          <w:color w:val="auto"/>
          <w:sz w:val="48"/>
          <w:szCs w:val="48"/>
          <w:highlight w:val="none"/>
        </w:rPr>
      </w:pPr>
    </w:p>
    <w:p w14:paraId="780C813D">
      <w:pPr>
        <w:rPr>
          <w:rFonts w:hint="eastAsia" w:ascii="仿宋_GB2312" w:hAnsi="仿宋_GB2312" w:eastAsia="仿宋_GB2312" w:cs="仿宋_GB2312"/>
          <w:b/>
          <w:color w:val="auto"/>
          <w:sz w:val="48"/>
          <w:szCs w:val="48"/>
          <w:highlight w:val="none"/>
        </w:rPr>
      </w:pPr>
    </w:p>
    <w:p w14:paraId="2D4C0121">
      <w:pPr>
        <w:rPr>
          <w:rFonts w:hint="eastAsia" w:ascii="仿宋_GB2312" w:hAnsi="仿宋_GB2312" w:eastAsia="仿宋_GB2312" w:cs="仿宋_GB2312"/>
          <w:b/>
          <w:color w:val="auto"/>
          <w:sz w:val="48"/>
          <w:szCs w:val="48"/>
          <w:highlight w:val="none"/>
        </w:rPr>
      </w:pPr>
    </w:p>
    <w:p w14:paraId="28FB1EF5">
      <w:pPr>
        <w:spacing w:line="360" w:lineRule="auto"/>
        <w:ind w:firstLine="1836" w:firstLineChars="500"/>
        <w:jc w:val="left"/>
        <w:rPr>
          <w:rFonts w:hint="eastAsia" w:ascii="仿宋_GB2312" w:hAnsi="仿宋_GB2312" w:eastAsia="仿宋_GB2312" w:cs="仿宋_GB2312"/>
          <w:b/>
          <w:color w:val="auto"/>
          <w:spacing w:val="23"/>
          <w:sz w:val="32"/>
          <w:szCs w:val="32"/>
          <w:highlight w:val="none"/>
        </w:rPr>
      </w:pPr>
      <w:r>
        <w:rPr>
          <w:rFonts w:hint="eastAsia" w:ascii="仿宋_GB2312" w:hAnsi="仿宋_GB2312" w:eastAsia="仿宋_GB2312" w:cs="仿宋_GB2312"/>
          <w:b/>
          <w:color w:val="auto"/>
          <w:spacing w:val="23"/>
          <w:sz w:val="32"/>
          <w:szCs w:val="32"/>
          <w:highlight w:val="none"/>
        </w:rPr>
        <w:t>甲方(</w:t>
      </w:r>
      <w:r>
        <w:rPr>
          <w:rFonts w:hint="eastAsia" w:ascii="仿宋_GB2312" w:hAnsi="仿宋_GB2312" w:eastAsia="仿宋_GB2312" w:cs="仿宋_GB2312"/>
          <w:b/>
          <w:color w:val="auto"/>
          <w:spacing w:val="23"/>
          <w:sz w:val="32"/>
          <w:szCs w:val="32"/>
          <w:highlight w:val="none"/>
          <w:lang w:val="en-US" w:eastAsia="zh-CN"/>
        </w:rPr>
        <w:t>学校名称</w:t>
      </w:r>
      <w:r>
        <w:rPr>
          <w:rFonts w:hint="eastAsia" w:ascii="仿宋_GB2312" w:hAnsi="仿宋_GB2312" w:eastAsia="仿宋_GB2312" w:cs="仿宋_GB2312"/>
          <w:b/>
          <w:color w:val="auto"/>
          <w:spacing w:val="23"/>
          <w:sz w:val="32"/>
          <w:szCs w:val="32"/>
          <w:highlight w:val="none"/>
        </w:rPr>
        <w:t>)：</w:t>
      </w:r>
      <w:r>
        <w:rPr>
          <w:rFonts w:hint="eastAsia" w:ascii="仿宋_GB2312" w:hAnsi="仿宋_GB2312" w:eastAsia="仿宋_GB2312" w:cs="仿宋_GB2312"/>
          <w:color w:val="auto"/>
          <w:spacing w:val="23"/>
          <w:sz w:val="28"/>
          <w:szCs w:val="28"/>
          <w:highlight w:val="none"/>
          <w:u w:val="single"/>
        </w:rPr>
        <w:t xml:space="preserve">           </w:t>
      </w:r>
    </w:p>
    <w:p w14:paraId="41FF79F9">
      <w:pPr>
        <w:spacing w:line="360" w:lineRule="auto"/>
        <w:ind w:firstLine="1260" w:firstLineChars="600"/>
        <w:jc w:val="left"/>
        <w:rPr>
          <w:rFonts w:hint="eastAsia" w:ascii="仿宋_GB2312" w:hAnsi="仿宋_GB2312" w:eastAsia="仿宋_GB2312" w:cs="仿宋_GB2312"/>
          <w:color w:val="auto"/>
          <w:highlight w:val="none"/>
        </w:rPr>
      </w:pPr>
    </w:p>
    <w:p w14:paraId="0D526BA3">
      <w:pPr>
        <w:spacing w:line="360" w:lineRule="auto"/>
        <w:ind w:firstLine="1890" w:firstLineChars="900"/>
        <w:jc w:val="left"/>
        <w:rPr>
          <w:rFonts w:hint="eastAsia" w:ascii="仿宋_GB2312" w:hAnsi="仿宋_GB2312" w:eastAsia="仿宋_GB2312" w:cs="仿宋_GB2312"/>
          <w:color w:val="auto"/>
          <w:spacing w:val="23"/>
          <w:sz w:val="28"/>
          <w:szCs w:val="28"/>
          <w:highlight w:val="none"/>
          <w:u w:val="single"/>
          <w:lang w:val="en-US" w:eastAsia="zh-CN"/>
        </w:rPr>
      </w:pPr>
      <w:r>
        <w:rPr>
          <w:rFonts w:hint="eastAsia" w:ascii="仿宋_GB2312" w:hAnsi="仿宋_GB2312" w:eastAsia="仿宋_GB2312" w:cs="仿宋_GB2312"/>
          <w:color w:val="auto"/>
          <w:highlight w:val="none"/>
        </w:rPr>
        <w:fldChar w:fldCharType="begin"/>
      </w:r>
      <w:r>
        <w:rPr>
          <w:rFonts w:hint="eastAsia" w:ascii="仿宋_GB2312" w:hAnsi="仿宋_GB2312" w:eastAsia="仿宋_GB2312" w:cs="仿宋_GB2312"/>
          <w:color w:val="auto"/>
          <w:highlight w:val="none"/>
        </w:rPr>
        <w:instrText xml:space="preserve"> HYPERLINK "http://set2.mail.qq.com/cgi-bin/mail_spam?action=check_link&amp;spam=0&amp;url=http%3A%2F%2Fwww%2Ebaidu%2Ecom%2Fs%3Fwd%3D%25E4%25B9%2599%25E6%2596%25B9%26hl_tag%3Dtextlink%26tn%3DSE_hldp01350_v6v6zkg6" </w:instrText>
      </w:r>
      <w:r>
        <w:rPr>
          <w:rFonts w:hint="eastAsia" w:ascii="仿宋_GB2312" w:hAnsi="仿宋_GB2312" w:eastAsia="仿宋_GB2312" w:cs="仿宋_GB2312"/>
          <w:color w:val="auto"/>
          <w:highlight w:val="none"/>
        </w:rPr>
        <w:fldChar w:fldCharType="separate"/>
      </w:r>
      <w:r>
        <w:rPr>
          <w:rFonts w:hint="eastAsia" w:ascii="仿宋_GB2312" w:hAnsi="仿宋_GB2312" w:eastAsia="仿宋_GB2312" w:cs="仿宋_GB2312"/>
          <w:b/>
          <w:color w:val="auto"/>
          <w:spacing w:val="23"/>
          <w:sz w:val="32"/>
          <w:szCs w:val="32"/>
          <w:highlight w:val="none"/>
        </w:rPr>
        <w:t>乙方</w:t>
      </w:r>
      <w:r>
        <w:rPr>
          <w:rFonts w:hint="eastAsia" w:ascii="仿宋_GB2312" w:hAnsi="仿宋_GB2312" w:eastAsia="仿宋_GB2312" w:cs="仿宋_GB2312"/>
          <w:b/>
          <w:color w:val="auto"/>
          <w:spacing w:val="23"/>
          <w:sz w:val="32"/>
          <w:szCs w:val="32"/>
          <w:highlight w:val="none"/>
        </w:rPr>
        <w:fldChar w:fldCharType="end"/>
      </w:r>
      <w:r>
        <w:rPr>
          <w:rFonts w:hint="eastAsia" w:ascii="仿宋_GB2312" w:hAnsi="仿宋_GB2312" w:eastAsia="仿宋_GB2312" w:cs="仿宋_GB2312"/>
          <w:b/>
          <w:color w:val="auto"/>
          <w:spacing w:val="23"/>
          <w:sz w:val="32"/>
          <w:szCs w:val="32"/>
          <w:highlight w:val="none"/>
        </w:rPr>
        <w:t>(中标人)：</w:t>
      </w:r>
      <w:r>
        <w:rPr>
          <w:rFonts w:hint="eastAsia" w:ascii="仿宋_GB2312" w:hAnsi="仿宋_GB2312" w:eastAsia="仿宋_GB2312" w:cs="仿宋_GB2312"/>
          <w:color w:val="auto"/>
          <w:spacing w:val="23"/>
          <w:sz w:val="28"/>
          <w:szCs w:val="28"/>
          <w:highlight w:val="none"/>
          <w:u w:val="single"/>
        </w:rPr>
        <w:t xml:space="preserve">           </w:t>
      </w:r>
      <w:r>
        <w:rPr>
          <w:rFonts w:hint="eastAsia" w:ascii="仿宋_GB2312" w:hAnsi="仿宋_GB2312" w:eastAsia="仿宋_GB2312" w:cs="仿宋_GB2312"/>
          <w:color w:val="auto"/>
          <w:spacing w:val="23"/>
          <w:sz w:val="28"/>
          <w:szCs w:val="28"/>
          <w:highlight w:val="none"/>
          <w:u w:val="single"/>
          <w:lang w:val="en-US" w:eastAsia="zh-CN"/>
        </w:rPr>
        <w:t xml:space="preserve"> </w:t>
      </w:r>
    </w:p>
    <w:p w14:paraId="49915F3F">
      <w:pPr>
        <w:spacing w:line="360" w:lineRule="auto"/>
        <w:ind w:firstLine="2204" w:firstLineChars="600"/>
        <w:jc w:val="left"/>
        <w:rPr>
          <w:rFonts w:hint="eastAsia" w:ascii="仿宋_GB2312" w:hAnsi="仿宋_GB2312" w:eastAsia="仿宋_GB2312" w:cs="仿宋_GB2312"/>
          <w:b/>
          <w:color w:val="auto"/>
          <w:spacing w:val="23"/>
          <w:sz w:val="32"/>
          <w:szCs w:val="32"/>
          <w:highlight w:val="none"/>
        </w:rPr>
      </w:pPr>
    </w:p>
    <w:p w14:paraId="7BF8238B">
      <w:pPr>
        <w:ind w:firstLine="1836" w:firstLineChars="500"/>
        <w:jc w:val="left"/>
        <w:rPr>
          <w:rFonts w:hint="eastAsia" w:ascii="仿宋_GB2312" w:hAnsi="仿宋_GB2312" w:eastAsia="仿宋_GB2312" w:cs="仿宋_GB2312"/>
          <w:b/>
          <w:color w:val="auto"/>
          <w:sz w:val="36"/>
          <w:szCs w:val="36"/>
          <w:highlight w:val="none"/>
        </w:rPr>
      </w:pPr>
      <w:r>
        <w:rPr>
          <w:rFonts w:hint="eastAsia" w:ascii="仿宋_GB2312" w:hAnsi="仿宋_GB2312" w:eastAsia="仿宋_GB2312" w:cs="仿宋_GB2312"/>
          <w:b/>
          <w:color w:val="auto"/>
          <w:spacing w:val="23"/>
          <w:sz w:val="32"/>
          <w:szCs w:val="32"/>
          <w:highlight w:val="none"/>
        </w:rPr>
        <w:t>签订时间：</w:t>
      </w:r>
      <w:r>
        <w:rPr>
          <w:rFonts w:hint="eastAsia" w:ascii="仿宋_GB2312" w:hAnsi="仿宋_GB2312" w:eastAsia="仿宋_GB2312" w:cs="仿宋_GB2312"/>
          <w:b/>
          <w:color w:val="auto"/>
          <w:spacing w:val="23"/>
          <w:sz w:val="32"/>
          <w:szCs w:val="32"/>
          <w:highlight w:val="none"/>
          <w:u w:val="single"/>
        </w:rPr>
        <w:t xml:space="preserve">   </w:t>
      </w:r>
      <w:r>
        <w:rPr>
          <w:rFonts w:hint="eastAsia" w:ascii="仿宋_GB2312" w:hAnsi="仿宋_GB2312" w:eastAsia="仿宋_GB2312" w:cs="仿宋_GB2312"/>
          <w:b/>
          <w:color w:val="auto"/>
          <w:spacing w:val="23"/>
          <w:sz w:val="32"/>
          <w:szCs w:val="32"/>
          <w:highlight w:val="none"/>
        </w:rPr>
        <w:t>年</w:t>
      </w:r>
      <w:r>
        <w:rPr>
          <w:rFonts w:hint="eastAsia" w:ascii="仿宋_GB2312" w:hAnsi="仿宋_GB2312" w:eastAsia="仿宋_GB2312" w:cs="仿宋_GB2312"/>
          <w:b/>
          <w:color w:val="auto"/>
          <w:spacing w:val="23"/>
          <w:sz w:val="32"/>
          <w:szCs w:val="32"/>
          <w:highlight w:val="none"/>
          <w:u w:val="single"/>
        </w:rPr>
        <w:t xml:space="preserve">   </w:t>
      </w:r>
      <w:r>
        <w:rPr>
          <w:rFonts w:hint="eastAsia" w:ascii="仿宋_GB2312" w:hAnsi="仿宋_GB2312" w:eastAsia="仿宋_GB2312" w:cs="仿宋_GB2312"/>
          <w:b/>
          <w:color w:val="auto"/>
          <w:spacing w:val="23"/>
          <w:sz w:val="32"/>
          <w:szCs w:val="32"/>
          <w:highlight w:val="none"/>
        </w:rPr>
        <w:t>月</w:t>
      </w:r>
      <w:r>
        <w:rPr>
          <w:rFonts w:hint="eastAsia" w:ascii="仿宋_GB2312" w:hAnsi="仿宋_GB2312" w:eastAsia="仿宋_GB2312" w:cs="仿宋_GB2312"/>
          <w:b/>
          <w:color w:val="auto"/>
          <w:spacing w:val="23"/>
          <w:sz w:val="32"/>
          <w:szCs w:val="32"/>
          <w:highlight w:val="none"/>
          <w:u w:val="single"/>
        </w:rPr>
        <w:t xml:space="preserve">   </w:t>
      </w:r>
      <w:r>
        <w:rPr>
          <w:rFonts w:hint="eastAsia" w:ascii="仿宋_GB2312" w:hAnsi="仿宋_GB2312" w:eastAsia="仿宋_GB2312" w:cs="仿宋_GB2312"/>
          <w:b/>
          <w:color w:val="auto"/>
          <w:spacing w:val="23"/>
          <w:sz w:val="32"/>
          <w:szCs w:val="32"/>
          <w:highlight w:val="none"/>
        </w:rPr>
        <w:t>日</w:t>
      </w:r>
    </w:p>
    <w:p w14:paraId="74A5CBCC">
      <w:pPr>
        <w:keepNext w:val="0"/>
        <w:keepLines w:val="0"/>
        <w:pageBreakBefore w:val="0"/>
        <w:tabs>
          <w:tab w:val="left" w:pos="735"/>
        </w:tabs>
        <w:kinsoku/>
        <w:wordWrap/>
        <w:overflowPunct/>
        <w:topLinePunct w:val="0"/>
        <w:autoSpaceDE w:val="0"/>
        <w:autoSpaceDN w:val="0"/>
        <w:bidi w:val="0"/>
        <w:adjustRightInd w:val="0"/>
        <w:snapToGrid w:val="0"/>
        <w:spacing w:beforeAutospacing="0" w:afterAutospacing="0" w:line="600" w:lineRule="exact"/>
        <w:rPr>
          <w:rFonts w:hint="eastAsia" w:ascii="仿宋_GB2312" w:hAnsi="仿宋_GB2312" w:eastAsia="仿宋_GB2312" w:cs="仿宋_GB2312"/>
          <w:bCs/>
          <w:color w:val="auto"/>
          <w:sz w:val="32"/>
          <w:szCs w:val="32"/>
          <w:highlight w:val="none"/>
          <w:lang w:val="zh-CN"/>
        </w:rPr>
      </w:pPr>
      <w:r>
        <w:rPr>
          <w:rFonts w:hint="eastAsia" w:ascii="仿宋_GB2312" w:hAnsi="仿宋_GB2312" w:eastAsia="仿宋_GB2312" w:cs="仿宋_GB2312"/>
          <w:b/>
          <w:bCs/>
          <w:color w:val="auto"/>
          <w:sz w:val="24"/>
          <w:highlight w:val="none"/>
          <w:lang w:val="zh-CN"/>
        </w:rPr>
        <w:br w:type="page"/>
      </w:r>
      <w:r>
        <w:rPr>
          <w:rFonts w:hint="eastAsia" w:ascii="仿宋_GB2312" w:hAnsi="仿宋_GB2312" w:eastAsia="仿宋_GB2312" w:cs="仿宋_GB2312"/>
          <w:b/>
          <w:bCs/>
          <w:color w:val="auto"/>
          <w:sz w:val="32"/>
          <w:szCs w:val="32"/>
          <w:highlight w:val="none"/>
          <w:lang w:val="zh-CN"/>
        </w:rPr>
        <w:t>甲方：</w:t>
      </w:r>
      <w:r>
        <w:rPr>
          <w:rFonts w:hint="eastAsia" w:ascii="仿宋_GB2312" w:hAnsi="仿宋_GB2312" w:eastAsia="仿宋_GB2312" w:cs="仿宋_GB2312"/>
          <w:b/>
          <w:bCs/>
          <w:color w:val="auto"/>
          <w:sz w:val="32"/>
          <w:szCs w:val="32"/>
          <w:highlight w:val="none"/>
          <w:u w:val="single"/>
        </w:rPr>
        <w:t xml:space="preserve">                        </w:t>
      </w:r>
      <w:r>
        <w:rPr>
          <w:rFonts w:hint="eastAsia" w:ascii="仿宋_GB2312" w:hAnsi="仿宋_GB2312" w:eastAsia="仿宋_GB2312" w:cs="仿宋_GB2312"/>
          <w:bCs/>
          <w:color w:val="auto"/>
          <w:sz w:val="32"/>
          <w:szCs w:val="32"/>
          <w:highlight w:val="none"/>
          <w:lang w:val="zh-CN"/>
        </w:rPr>
        <w:t>（</w:t>
      </w:r>
      <w:r>
        <w:rPr>
          <w:rFonts w:hint="eastAsia" w:ascii="仿宋_GB2312" w:hAnsi="仿宋_GB2312" w:eastAsia="仿宋_GB2312" w:cs="仿宋_GB2312"/>
          <w:bCs/>
          <w:color w:val="auto"/>
          <w:sz w:val="32"/>
          <w:szCs w:val="32"/>
          <w:highlight w:val="none"/>
          <w:lang w:val="en-US" w:eastAsia="zh-CN"/>
        </w:rPr>
        <w:t>学校名称</w:t>
      </w:r>
      <w:r>
        <w:rPr>
          <w:rFonts w:hint="eastAsia" w:ascii="仿宋_GB2312" w:hAnsi="仿宋_GB2312" w:eastAsia="仿宋_GB2312" w:cs="仿宋_GB2312"/>
          <w:bCs/>
          <w:color w:val="auto"/>
          <w:sz w:val="32"/>
          <w:szCs w:val="32"/>
          <w:highlight w:val="none"/>
          <w:lang w:val="zh-CN"/>
        </w:rPr>
        <w:t xml:space="preserve">） </w:t>
      </w:r>
    </w:p>
    <w:p w14:paraId="78C0B197">
      <w:pPr>
        <w:keepNext w:val="0"/>
        <w:keepLines w:val="0"/>
        <w:pageBreakBefore w:val="0"/>
        <w:tabs>
          <w:tab w:val="left" w:pos="735"/>
        </w:tabs>
        <w:kinsoku/>
        <w:wordWrap/>
        <w:overflowPunct/>
        <w:topLinePunct w:val="0"/>
        <w:autoSpaceDE w:val="0"/>
        <w:autoSpaceDN w:val="0"/>
        <w:bidi w:val="0"/>
        <w:adjustRightInd w:val="0"/>
        <w:snapToGrid w:val="0"/>
        <w:spacing w:beforeAutospacing="0" w:afterAutospacing="0" w:line="600" w:lineRule="exact"/>
        <w:rPr>
          <w:rFonts w:hint="eastAsia" w:ascii="仿宋_GB2312" w:hAnsi="仿宋_GB2312" w:eastAsia="仿宋_GB2312" w:cs="仿宋_GB2312"/>
          <w:bCs/>
          <w:color w:val="auto"/>
          <w:sz w:val="32"/>
          <w:szCs w:val="32"/>
          <w:highlight w:val="none"/>
          <w:lang w:val="zh-CN"/>
        </w:rPr>
      </w:pPr>
      <w:r>
        <w:rPr>
          <w:rFonts w:hint="eastAsia" w:ascii="仿宋_GB2312" w:hAnsi="仿宋_GB2312" w:eastAsia="仿宋_GB2312" w:cs="仿宋_GB2312"/>
          <w:b/>
          <w:bCs/>
          <w:color w:val="auto"/>
          <w:sz w:val="32"/>
          <w:szCs w:val="32"/>
          <w:highlight w:val="none"/>
          <w:lang w:val="zh-CN"/>
        </w:rPr>
        <w:t>乙方：</w:t>
      </w:r>
      <w:r>
        <w:rPr>
          <w:rFonts w:hint="eastAsia" w:ascii="仿宋_GB2312" w:hAnsi="仿宋_GB2312" w:eastAsia="仿宋_GB2312" w:cs="仿宋_GB2312"/>
          <w:b/>
          <w:bCs/>
          <w:color w:val="auto"/>
          <w:sz w:val="32"/>
          <w:szCs w:val="32"/>
          <w:highlight w:val="none"/>
          <w:u w:val="single"/>
        </w:rPr>
        <w:t xml:space="preserve">                        </w:t>
      </w:r>
      <w:r>
        <w:rPr>
          <w:rFonts w:hint="eastAsia" w:ascii="仿宋_GB2312" w:hAnsi="仿宋_GB2312" w:eastAsia="仿宋_GB2312" w:cs="仿宋_GB2312"/>
          <w:bCs/>
          <w:color w:val="auto"/>
          <w:sz w:val="32"/>
          <w:szCs w:val="32"/>
          <w:highlight w:val="none"/>
          <w:lang w:val="zh-CN"/>
        </w:rPr>
        <w:t>（中标人）</w:t>
      </w:r>
    </w:p>
    <w:p w14:paraId="7E3FD3D7">
      <w:pPr>
        <w:keepNext w:val="0"/>
        <w:keepLines w:val="0"/>
        <w:pageBreakBefore w:val="0"/>
        <w:tabs>
          <w:tab w:val="left" w:pos="735"/>
        </w:tabs>
        <w:kinsoku/>
        <w:wordWrap/>
        <w:overflowPunct/>
        <w:topLinePunct w:val="0"/>
        <w:autoSpaceDE w:val="0"/>
        <w:autoSpaceDN w:val="0"/>
        <w:bidi w:val="0"/>
        <w:adjustRightInd w:val="0"/>
        <w:snapToGrid w:val="0"/>
        <w:spacing w:beforeAutospacing="0" w:afterAutospacing="0" w:line="600" w:lineRule="exact"/>
        <w:ind w:firstLine="640" w:firstLineChars="200"/>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为进一步加强淳化县公办幼儿园幼儿上下学交通安全管理，积极探索符合淳化县实际的校车运营管理模式，更好地为需要乘车上下学的幼儿提供优质服务,切实消除交通安全隐患,落实安全责任，根据《校车安全管理条例》《陕西省实施&lt;校车安全管理条例&gt;办法》《中华人民共和国政府采购法》《中华人民共和国民法典》</w:t>
      </w:r>
      <w:r>
        <w:rPr>
          <w:rFonts w:hint="eastAsia" w:ascii="仿宋_GB2312" w:hAnsi="仿宋_GB2312" w:eastAsia="仿宋_GB2312" w:cs="仿宋_GB2312"/>
          <w:color w:val="000000"/>
          <w:sz w:val="32"/>
          <w:szCs w:val="32"/>
          <w:highlight w:val="none"/>
        </w:rPr>
        <w:t>《关于建立淳化县校车安全管理联席会议制度的通知》（〔2013〕18号）</w:t>
      </w:r>
      <w:r>
        <w:rPr>
          <w:rFonts w:hint="eastAsia" w:ascii="仿宋_GB2312" w:hAnsi="仿宋_GB2312" w:eastAsia="仿宋_GB2312" w:cs="仿宋_GB2312"/>
          <w:color w:val="auto"/>
          <w:sz w:val="32"/>
          <w:szCs w:val="32"/>
          <w:highlight w:val="none"/>
          <w:lang w:val="zh-CN"/>
        </w:rPr>
        <w:t>等相关法律法规要求，经甲、乙双方协商一致，订立本服务协议。</w:t>
      </w:r>
    </w:p>
    <w:p w14:paraId="2E073A06">
      <w:pPr>
        <w:keepNext w:val="0"/>
        <w:keepLines w:val="0"/>
        <w:pageBreakBefore w:val="0"/>
        <w:tabs>
          <w:tab w:val="left" w:pos="735"/>
        </w:tabs>
        <w:kinsoku/>
        <w:wordWrap/>
        <w:overflowPunct/>
        <w:topLinePunct w:val="0"/>
        <w:autoSpaceDE w:val="0"/>
        <w:autoSpaceDN w:val="0"/>
        <w:bidi w:val="0"/>
        <w:adjustRightInd w:val="0"/>
        <w:snapToGrid w:val="0"/>
        <w:spacing w:beforeAutospacing="0" w:afterAutospacing="0" w:line="600" w:lineRule="exact"/>
        <w:ind w:firstLine="640" w:firstLineChars="200"/>
        <w:rPr>
          <w:rFonts w:hint="eastAsia" w:ascii="仿宋_GB2312" w:hAnsi="仿宋_GB2312" w:eastAsia="仿宋_GB2312" w:cs="仿宋_GB2312"/>
          <w:b/>
          <w:bCs/>
          <w:color w:val="auto"/>
          <w:sz w:val="32"/>
          <w:szCs w:val="32"/>
          <w:highlight w:val="none"/>
          <w:lang w:val="zh-CN"/>
        </w:rPr>
      </w:pPr>
      <w:r>
        <w:rPr>
          <w:rFonts w:hint="eastAsia" w:ascii="黑体" w:hAnsi="黑体" w:eastAsia="黑体" w:cs="黑体"/>
          <w:b w:val="0"/>
          <w:bCs/>
          <w:color w:val="auto"/>
          <w:kern w:val="0"/>
          <w:sz w:val="32"/>
          <w:szCs w:val="32"/>
          <w:highlight w:val="none"/>
          <w:lang w:val="zh-CN"/>
        </w:rPr>
        <w:t>一、</w:t>
      </w:r>
      <w:r>
        <w:rPr>
          <w:rFonts w:hint="eastAsia" w:ascii="黑体" w:hAnsi="黑体" w:eastAsia="黑体" w:cs="黑体"/>
          <w:b w:val="0"/>
          <w:bCs/>
          <w:color w:val="auto"/>
          <w:kern w:val="0"/>
          <w:sz w:val="32"/>
          <w:szCs w:val="32"/>
          <w:highlight w:val="none"/>
          <w:lang w:val="en-US" w:eastAsia="zh-CN"/>
        </w:rPr>
        <w:t>服务目标</w:t>
      </w:r>
      <w:r>
        <w:rPr>
          <w:rFonts w:hint="eastAsia" w:ascii="黑体" w:hAnsi="黑体" w:eastAsia="黑体" w:cs="黑体"/>
          <w:b w:val="0"/>
          <w:bCs/>
          <w:color w:val="auto"/>
          <w:kern w:val="0"/>
          <w:sz w:val="32"/>
          <w:szCs w:val="32"/>
          <w:highlight w:val="none"/>
          <w:lang w:val="zh-CN"/>
        </w:rPr>
        <w:t>:</w:t>
      </w:r>
      <w:r>
        <w:rPr>
          <w:rFonts w:hint="eastAsia" w:ascii="仿宋_GB2312" w:hAnsi="仿宋_GB2312" w:eastAsia="仿宋_GB2312" w:cs="仿宋_GB2312"/>
          <w:b w:val="0"/>
          <w:bCs w:val="0"/>
          <w:color w:val="auto"/>
          <w:sz w:val="32"/>
          <w:szCs w:val="32"/>
          <w:highlight w:val="none"/>
          <w:lang w:val="zh-CN"/>
        </w:rPr>
        <w:t xml:space="preserve">全面、准确落实校车安全管理相关法律法规和政策要求，切实提升我县学前段幼儿出行交通安全管理工作水平，达到安全管理规范及行业运营合格标准，有效减轻家长接送负担，彻底化解幼儿上下学交通安全风险，全面筑牢出行安全防线，保障幼儿平安出行。 </w:t>
      </w:r>
    </w:p>
    <w:p w14:paraId="249293A1">
      <w:pPr>
        <w:keepNext w:val="0"/>
        <w:keepLines w:val="0"/>
        <w:pageBreakBefore w:val="0"/>
        <w:widowControl/>
        <w:kinsoku/>
        <w:wordWrap/>
        <w:overflowPunct/>
        <w:topLinePunct w:val="0"/>
        <w:autoSpaceDE w:val="0"/>
        <w:autoSpaceDN w:val="0"/>
        <w:bidi w:val="0"/>
        <w:snapToGrid w:val="0"/>
        <w:spacing w:beforeAutospacing="0" w:afterAutospacing="0" w:line="600" w:lineRule="exact"/>
        <w:ind w:firstLine="640" w:firstLineChars="200"/>
        <w:textAlignment w:val="bottom"/>
        <w:rPr>
          <w:rFonts w:hint="eastAsia" w:ascii="黑体" w:hAnsi="黑体" w:eastAsia="黑体" w:cs="黑体"/>
          <w:b w:val="0"/>
          <w:bCs/>
          <w:color w:val="auto"/>
          <w:kern w:val="0"/>
          <w:sz w:val="32"/>
          <w:szCs w:val="32"/>
          <w:highlight w:val="none"/>
          <w:lang w:val="zh-CN"/>
        </w:rPr>
      </w:pPr>
      <w:r>
        <w:rPr>
          <w:rFonts w:hint="eastAsia" w:ascii="黑体" w:hAnsi="黑体" w:eastAsia="黑体" w:cs="黑体"/>
          <w:b w:val="0"/>
          <w:bCs/>
          <w:color w:val="auto"/>
          <w:kern w:val="0"/>
          <w:sz w:val="32"/>
          <w:szCs w:val="32"/>
          <w:highlight w:val="none"/>
          <w:lang w:val="zh-CN"/>
        </w:rPr>
        <w:t>二、</w:t>
      </w:r>
      <w:r>
        <w:rPr>
          <w:rFonts w:hint="eastAsia" w:ascii="黑体" w:hAnsi="黑体" w:eastAsia="黑体" w:cs="黑体"/>
          <w:b w:val="0"/>
          <w:bCs/>
          <w:color w:val="auto"/>
          <w:kern w:val="0"/>
          <w:sz w:val="32"/>
          <w:szCs w:val="32"/>
          <w:highlight w:val="none"/>
        </w:rPr>
        <w:t>服务期限</w:t>
      </w:r>
    </w:p>
    <w:p w14:paraId="74B875CA">
      <w:pPr>
        <w:keepNext w:val="0"/>
        <w:keepLines w:val="0"/>
        <w:pageBreakBefore w:val="0"/>
        <w:kinsoku/>
        <w:wordWrap/>
        <w:overflowPunct/>
        <w:topLinePunct w:val="0"/>
        <w:bidi w:val="0"/>
        <w:adjustRightInd w:val="0"/>
        <w:snapToGrid w:val="0"/>
        <w:spacing w:beforeAutospacing="0" w:afterAutospacing="0" w:line="600" w:lineRule="exact"/>
        <w:ind w:firstLine="640" w:firstLineChars="200"/>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rPr>
        <w:t>合同一年一签，按照上一年度的年终考核结果，决定下一年度合同是否续签。合同最多签三年。</w:t>
      </w:r>
    </w:p>
    <w:p w14:paraId="41D1A85E">
      <w:pPr>
        <w:keepNext w:val="0"/>
        <w:keepLines w:val="0"/>
        <w:pageBreakBefore w:val="0"/>
        <w:widowControl/>
        <w:kinsoku/>
        <w:wordWrap/>
        <w:overflowPunct/>
        <w:topLinePunct w:val="0"/>
        <w:autoSpaceDE w:val="0"/>
        <w:autoSpaceDN w:val="0"/>
        <w:bidi w:val="0"/>
        <w:snapToGrid w:val="0"/>
        <w:spacing w:beforeAutospacing="0" w:afterAutospacing="0" w:line="600" w:lineRule="exact"/>
        <w:ind w:firstLine="640" w:firstLineChars="200"/>
        <w:textAlignment w:val="bottom"/>
        <w:rPr>
          <w:rFonts w:hint="eastAsia" w:ascii="黑体" w:hAnsi="黑体" w:eastAsia="黑体" w:cs="黑体"/>
          <w:b w:val="0"/>
          <w:bCs/>
          <w:color w:val="auto"/>
          <w:kern w:val="0"/>
          <w:sz w:val="32"/>
          <w:szCs w:val="32"/>
          <w:highlight w:val="none"/>
        </w:rPr>
      </w:pPr>
      <w:r>
        <w:rPr>
          <w:rFonts w:hint="eastAsia" w:ascii="黑体" w:hAnsi="黑体" w:eastAsia="黑体" w:cs="黑体"/>
          <w:b w:val="0"/>
          <w:bCs/>
          <w:color w:val="auto"/>
          <w:kern w:val="0"/>
          <w:sz w:val="32"/>
          <w:szCs w:val="32"/>
          <w:highlight w:val="none"/>
          <w:lang w:val="en-US" w:eastAsia="zh-CN"/>
        </w:rPr>
        <w:t>三、</w:t>
      </w:r>
      <w:r>
        <w:rPr>
          <w:rFonts w:hint="eastAsia" w:ascii="黑体" w:hAnsi="黑体" w:eastAsia="黑体" w:cs="黑体"/>
          <w:b w:val="0"/>
          <w:bCs/>
          <w:color w:val="auto"/>
          <w:kern w:val="0"/>
          <w:sz w:val="32"/>
          <w:szCs w:val="32"/>
          <w:highlight w:val="none"/>
        </w:rPr>
        <w:t>服务费用</w:t>
      </w:r>
    </w:p>
    <w:p w14:paraId="59534CEA">
      <w:pPr>
        <w:keepNext w:val="0"/>
        <w:keepLines w:val="0"/>
        <w:pageBreakBefore w:val="0"/>
        <w:kinsoku/>
        <w:wordWrap/>
        <w:overflowPunct/>
        <w:topLinePunct w:val="0"/>
        <w:autoSpaceDE w:val="0"/>
        <w:autoSpaceDN w:val="0"/>
        <w:bidi w:val="0"/>
        <w:adjustRightInd w:val="0"/>
        <w:snapToGrid w:val="0"/>
        <w:spacing w:beforeAutospacing="0" w:afterAutospacing="0" w:line="600"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1、协议结算总费用按照</w:t>
      </w:r>
      <w:r>
        <w:rPr>
          <w:rFonts w:hint="eastAsia" w:ascii="仿宋_GB2312" w:hAnsi="仿宋_GB2312" w:eastAsia="仿宋_GB2312" w:cs="仿宋_GB2312"/>
          <w:color w:val="auto"/>
          <w:sz w:val="32"/>
          <w:szCs w:val="32"/>
          <w:highlight w:val="none"/>
          <w:u w:val="single"/>
          <w:lang w:val="en-US" w:eastAsia="zh-CN"/>
        </w:rPr>
        <w:t xml:space="preserve"> </w:t>
      </w:r>
      <w:r>
        <w:rPr>
          <w:rFonts w:hint="eastAsia" w:ascii="仿宋_GB2312" w:hAnsi="仿宋_GB2312" w:eastAsia="仿宋_GB2312" w:cs="仿宋_GB2312"/>
          <w:color w:val="auto"/>
          <w:sz w:val="32"/>
          <w:szCs w:val="32"/>
          <w:highlight w:val="none"/>
          <w:u w:val="single"/>
        </w:rPr>
        <w:t>淳化县教育局</w:t>
      </w:r>
      <w:r>
        <w:rPr>
          <w:rFonts w:hint="eastAsia" w:ascii="仿宋_GB2312" w:hAnsi="仿宋_GB2312" w:eastAsia="仿宋_GB2312" w:cs="仿宋_GB2312"/>
          <w:color w:val="auto"/>
          <w:sz w:val="32"/>
          <w:szCs w:val="32"/>
          <w:highlight w:val="none"/>
          <w:u w:val="single"/>
          <w:lang w:val="en-US" w:eastAsia="zh-CN"/>
        </w:rPr>
        <w:t xml:space="preserve"> </w:t>
      </w:r>
      <w:r>
        <w:rPr>
          <w:rFonts w:hint="eastAsia" w:ascii="仿宋_GB2312" w:hAnsi="仿宋_GB2312" w:eastAsia="仿宋_GB2312" w:cs="仿宋_GB2312"/>
          <w:color w:val="auto"/>
          <w:sz w:val="32"/>
          <w:szCs w:val="32"/>
          <w:highlight w:val="none"/>
          <w:lang w:val="en-US" w:eastAsia="zh-CN"/>
        </w:rPr>
        <w:t>与</w:t>
      </w:r>
      <w:r>
        <w:rPr>
          <w:rFonts w:hint="eastAsia" w:ascii="仿宋_GB2312" w:hAnsi="仿宋_GB2312" w:eastAsia="仿宋_GB2312" w:cs="仿宋_GB2312"/>
          <w:color w:val="auto"/>
          <w:sz w:val="32"/>
          <w:szCs w:val="32"/>
          <w:highlight w:val="none"/>
          <w:u w:val="single"/>
          <w:lang w:val="en-US" w:eastAsia="zh-CN"/>
        </w:rPr>
        <w:t xml:space="preserve">  (乙方)  </w:t>
      </w:r>
      <w:r>
        <w:rPr>
          <w:rFonts w:hint="eastAsia" w:ascii="仿宋_GB2312" w:hAnsi="仿宋_GB2312" w:eastAsia="仿宋_GB2312" w:cs="仿宋_GB2312"/>
          <w:color w:val="auto"/>
          <w:sz w:val="32"/>
          <w:szCs w:val="32"/>
          <w:highlight w:val="none"/>
          <w:lang w:val="en-US" w:eastAsia="zh-CN"/>
        </w:rPr>
        <w:t>签订的</w:t>
      </w:r>
      <w:r>
        <w:rPr>
          <w:rFonts w:hint="eastAsia" w:ascii="仿宋_GB2312" w:hAnsi="仿宋_GB2312" w:eastAsia="仿宋_GB2312" w:cs="仿宋_GB2312"/>
          <w:color w:val="auto"/>
          <w:sz w:val="32"/>
          <w:szCs w:val="32"/>
          <w:highlight w:val="none"/>
          <w:u w:val="single"/>
          <w:lang w:val="en-US" w:eastAsia="zh-CN"/>
        </w:rPr>
        <w:t>淳化县公办幼儿园购买校车运营服务项目政府采购合同</w:t>
      </w:r>
      <w:r>
        <w:rPr>
          <w:rFonts w:hint="eastAsia" w:ascii="仿宋_GB2312" w:hAnsi="仿宋_GB2312" w:eastAsia="仿宋_GB2312" w:cs="仿宋_GB2312"/>
          <w:color w:val="auto"/>
          <w:sz w:val="32"/>
          <w:szCs w:val="32"/>
          <w:highlight w:val="none"/>
        </w:rPr>
        <w:t>执行</w:t>
      </w:r>
      <w:r>
        <w:rPr>
          <w:rFonts w:hint="eastAsia" w:ascii="仿宋_GB2312" w:hAnsi="仿宋_GB2312" w:eastAsia="仿宋_GB2312" w:cs="仿宋_GB2312"/>
          <w:color w:val="auto"/>
          <w:sz w:val="32"/>
          <w:szCs w:val="32"/>
          <w:highlight w:val="none"/>
          <w:lang w:eastAsia="zh-CN"/>
        </w:rPr>
        <w:t>。</w:t>
      </w:r>
    </w:p>
    <w:p w14:paraId="7CC71AC0">
      <w:pPr>
        <w:keepNext w:val="0"/>
        <w:keepLines w:val="0"/>
        <w:pageBreakBefore w:val="0"/>
        <w:kinsoku/>
        <w:wordWrap/>
        <w:overflowPunct/>
        <w:topLinePunct w:val="0"/>
        <w:autoSpaceDE w:val="0"/>
        <w:autoSpaceDN w:val="0"/>
        <w:bidi w:val="0"/>
        <w:adjustRightInd w:val="0"/>
        <w:snapToGrid w:val="0"/>
        <w:spacing w:line="6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乙方指定收款账户信息如下：</w:t>
      </w:r>
    </w:p>
    <w:p w14:paraId="241EBE0F">
      <w:pPr>
        <w:keepNext w:val="0"/>
        <w:keepLines w:val="0"/>
        <w:pageBreakBefore w:val="0"/>
        <w:kinsoku/>
        <w:wordWrap/>
        <w:overflowPunct/>
        <w:topLinePunct w:val="0"/>
        <w:autoSpaceDE w:val="0"/>
        <w:autoSpaceDN w:val="0"/>
        <w:bidi w:val="0"/>
        <w:adjustRightInd w:val="0"/>
        <w:snapToGrid w:val="0"/>
        <w:spacing w:line="600" w:lineRule="exact"/>
        <w:ind w:firstLine="640" w:firstLineChars="200"/>
        <w:rPr>
          <w:rFonts w:hint="eastAsia" w:ascii="仿宋_GB2312" w:hAnsi="仿宋_GB2312" w:eastAsia="仿宋_GB2312" w:cs="仿宋_GB2312"/>
          <w:color w:val="auto"/>
          <w:sz w:val="32"/>
          <w:szCs w:val="32"/>
          <w:highlight w:val="none"/>
          <w:u w:val="single"/>
        </w:rPr>
      </w:pPr>
      <w:r>
        <w:rPr>
          <w:rFonts w:hint="eastAsia" w:ascii="仿宋_GB2312" w:hAnsi="仿宋_GB2312" w:eastAsia="仿宋_GB2312" w:cs="仿宋_GB2312"/>
          <w:color w:val="auto"/>
          <w:sz w:val="32"/>
          <w:szCs w:val="32"/>
          <w:highlight w:val="none"/>
        </w:rPr>
        <w:t>户名：</w:t>
      </w:r>
      <w:r>
        <w:rPr>
          <w:rFonts w:hint="eastAsia" w:ascii="仿宋_GB2312" w:hAnsi="仿宋_GB2312" w:eastAsia="仿宋_GB2312" w:cs="仿宋_GB2312"/>
          <w:color w:val="auto"/>
          <w:sz w:val="32"/>
          <w:szCs w:val="32"/>
          <w:highlight w:val="none"/>
          <w:u w:val="single"/>
        </w:rPr>
        <w:t xml:space="preserve">                            </w:t>
      </w:r>
    </w:p>
    <w:p w14:paraId="7E5290E1">
      <w:pPr>
        <w:keepNext w:val="0"/>
        <w:keepLines w:val="0"/>
        <w:pageBreakBefore w:val="0"/>
        <w:kinsoku/>
        <w:wordWrap/>
        <w:overflowPunct/>
        <w:topLinePunct w:val="0"/>
        <w:autoSpaceDE w:val="0"/>
        <w:autoSpaceDN w:val="0"/>
        <w:bidi w:val="0"/>
        <w:adjustRightInd w:val="0"/>
        <w:snapToGrid w:val="0"/>
        <w:spacing w:line="6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税号：</w:t>
      </w:r>
      <w:r>
        <w:rPr>
          <w:rFonts w:hint="eastAsia" w:ascii="仿宋_GB2312" w:hAnsi="仿宋_GB2312" w:eastAsia="仿宋_GB2312" w:cs="仿宋_GB2312"/>
          <w:color w:val="auto"/>
          <w:sz w:val="32"/>
          <w:szCs w:val="32"/>
          <w:highlight w:val="none"/>
          <w:u w:val="single"/>
        </w:rPr>
        <w:t xml:space="preserve">                            </w:t>
      </w:r>
    </w:p>
    <w:p w14:paraId="01265B4D">
      <w:pPr>
        <w:keepNext w:val="0"/>
        <w:keepLines w:val="0"/>
        <w:pageBreakBefore w:val="0"/>
        <w:kinsoku/>
        <w:wordWrap/>
        <w:overflowPunct/>
        <w:topLinePunct w:val="0"/>
        <w:autoSpaceDE w:val="0"/>
        <w:autoSpaceDN w:val="0"/>
        <w:bidi w:val="0"/>
        <w:adjustRightInd w:val="0"/>
        <w:snapToGrid w:val="0"/>
        <w:spacing w:line="6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银行账号：</w:t>
      </w:r>
      <w:r>
        <w:rPr>
          <w:rFonts w:hint="eastAsia" w:ascii="仿宋_GB2312" w:hAnsi="仿宋_GB2312" w:eastAsia="仿宋_GB2312" w:cs="仿宋_GB2312"/>
          <w:color w:val="auto"/>
          <w:sz w:val="32"/>
          <w:szCs w:val="32"/>
          <w:highlight w:val="none"/>
          <w:u w:val="single"/>
        </w:rPr>
        <w:t xml:space="preserve">                        </w:t>
      </w:r>
    </w:p>
    <w:p w14:paraId="6289CE43">
      <w:pPr>
        <w:keepNext w:val="0"/>
        <w:keepLines w:val="0"/>
        <w:pageBreakBefore w:val="0"/>
        <w:kinsoku/>
        <w:wordWrap/>
        <w:overflowPunct/>
        <w:topLinePunct w:val="0"/>
        <w:autoSpaceDE w:val="0"/>
        <w:autoSpaceDN w:val="0"/>
        <w:bidi w:val="0"/>
        <w:adjustRightInd w:val="0"/>
        <w:snapToGrid w:val="0"/>
        <w:spacing w:line="6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开户行：</w:t>
      </w:r>
      <w:r>
        <w:rPr>
          <w:rFonts w:hint="eastAsia" w:ascii="仿宋_GB2312" w:hAnsi="仿宋_GB2312" w:eastAsia="仿宋_GB2312" w:cs="仿宋_GB2312"/>
          <w:color w:val="auto"/>
          <w:sz w:val="32"/>
          <w:szCs w:val="32"/>
          <w:highlight w:val="none"/>
          <w:u w:val="single"/>
        </w:rPr>
        <w:t xml:space="preserve">                          </w:t>
      </w:r>
    </w:p>
    <w:p w14:paraId="2079E964">
      <w:pPr>
        <w:keepNext w:val="0"/>
        <w:keepLines w:val="0"/>
        <w:pageBreakBefore w:val="0"/>
        <w:kinsoku/>
        <w:wordWrap/>
        <w:overflowPunct/>
        <w:topLinePunct w:val="0"/>
        <w:autoSpaceDE w:val="0"/>
        <w:autoSpaceDN w:val="0"/>
        <w:bidi w:val="0"/>
        <w:adjustRightInd w:val="0"/>
        <w:snapToGrid w:val="0"/>
        <w:spacing w:line="600" w:lineRule="exact"/>
        <w:ind w:firstLine="640" w:firstLineChars="200"/>
        <w:rPr>
          <w:rFonts w:hint="eastAsia" w:ascii="仿宋_GB2312" w:hAnsi="仿宋_GB2312" w:eastAsia="仿宋_GB2312" w:cs="仿宋_GB2312"/>
          <w:color w:val="auto"/>
          <w:sz w:val="32"/>
          <w:szCs w:val="32"/>
          <w:highlight w:val="none"/>
          <w:u w:val="single"/>
        </w:rPr>
      </w:pPr>
      <w:r>
        <w:rPr>
          <w:rFonts w:hint="eastAsia" w:ascii="仿宋_GB2312" w:hAnsi="仿宋_GB2312" w:eastAsia="仿宋_GB2312" w:cs="仿宋_GB2312"/>
          <w:color w:val="auto"/>
          <w:sz w:val="32"/>
          <w:szCs w:val="32"/>
          <w:highlight w:val="none"/>
        </w:rPr>
        <w:t>联系人及电话：</w:t>
      </w:r>
      <w:r>
        <w:rPr>
          <w:rFonts w:hint="eastAsia" w:ascii="仿宋_GB2312" w:hAnsi="仿宋_GB2312" w:eastAsia="仿宋_GB2312" w:cs="仿宋_GB2312"/>
          <w:color w:val="auto"/>
          <w:sz w:val="32"/>
          <w:szCs w:val="32"/>
          <w:highlight w:val="none"/>
          <w:u w:val="single"/>
        </w:rPr>
        <w:t xml:space="preserve">                    </w:t>
      </w:r>
    </w:p>
    <w:p w14:paraId="06145C96">
      <w:pPr>
        <w:keepNext w:val="0"/>
        <w:keepLines w:val="0"/>
        <w:pageBreakBefore w:val="0"/>
        <w:widowControl/>
        <w:kinsoku/>
        <w:wordWrap/>
        <w:overflowPunct/>
        <w:topLinePunct w:val="0"/>
        <w:autoSpaceDE w:val="0"/>
        <w:bidi w:val="0"/>
        <w:adjustRightInd w:val="0"/>
        <w:spacing w:beforeAutospacing="0" w:afterAutospacing="0" w:line="600" w:lineRule="exact"/>
        <w:ind w:firstLine="640" w:firstLineChars="200"/>
        <w:jc w:val="left"/>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kern w:val="0"/>
          <w:sz w:val="32"/>
          <w:szCs w:val="32"/>
          <w:highlight w:val="none"/>
        </w:rPr>
        <w:t>乙方不得分包、转包服务项目，不得委托第三方进行</w:t>
      </w:r>
      <w:r>
        <w:rPr>
          <w:rFonts w:hint="eastAsia" w:ascii="仿宋_GB2312" w:hAnsi="仿宋_GB2312" w:eastAsia="仿宋_GB2312" w:cs="仿宋_GB2312"/>
          <w:color w:val="auto"/>
          <w:kern w:val="0"/>
          <w:sz w:val="32"/>
          <w:szCs w:val="32"/>
          <w:highlight w:val="none"/>
          <w:lang w:val="en-US" w:eastAsia="zh-CN"/>
        </w:rPr>
        <w:t>经营</w:t>
      </w:r>
      <w:r>
        <w:rPr>
          <w:rFonts w:hint="eastAsia" w:ascii="仿宋_GB2312" w:hAnsi="仿宋_GB2312" w:eastAsia="仿宋_GB2312" w:cs="仿宋_GB2312"/>
          <w:color w:val="auto"/>
          <w:kern w:val="0"/>
          <w:sz w:val="32"/>
          <w:szCs w:val="32"/>
          <w:highlight w:val="none"/>
        </w:rPr>
        <w:t>。</w:t>
      </w:r>
    </w:p>
    <w:p w14:paraId="145124E7">
      <w:pPr>
        <w:keepNext w:val="0"/>
        <w:keepLines w:val="0"/>
        <w:pageBreakBefore w:val="0"/>
        <w:widowControl/>
        <w:kinsoku/>
        <w:wordWrap/>
        <w:overflowPunct/>
        <w:topLinePunct w:val="0"/>
        <w:autoSpaceDE w:val="0"/>
        <w:autoSpaceDN w:val="0"/>
        <w:bidi w:val="0"/>
        <w:snapToGrid w:val="0"/>
        <w:spacing w:beforeAutospacing="0" w:afterAutospacing="0" w:line="600" w:lineRule="exact"/>
        <w:ind w:firstLine="640" w:firstLineChars="200"/>
        <w:textAlignment w:val="bottom"/>
        <w:rPr>
          <w:rFonts w:hint="eastAsia" w:ascii="黑体" w:hAnsi="黑体" w:eastAsia="黑体" w:cs="黑体"/>
          <w:b w:val="0"/>
          <w:bCs/>
          <w:color w:val="auto"/>
          <w:kern w:val="0"/>
          <w:sz w:val="32"/>
          <w:szCs w:val="32"/>
          <w:highlight w:val="none"/>
        </w:rPr>
      </w:pPr>
      <w:r>
        <w:rPr>
          <w:rFonts w:hint="eastAsia" w:ascii="黑体" w:hAnsi="黑体" w:eastAsia="黑体" w:cs="黑体"/>
          <w:b w:val="0"/>
          <w:bCs/>
          <w:color w:val="auto"/>
          <w:kern w:val="0"/>
          <w:sz w:val="32"/>
          <w:szCs w:val="32"/>
          <w:highlight w:val="none"/>
        </w:rPr>
        <w:t>四、服务方式</w:t>
      </w:r>
    </w:p>
    <w:p w14:paraId="4857523F">
      <w:pPr>
        <w:keepNext w:val="0"/>
        <w:keepLines w:val="0"/>
        <w:pageBreakBefore w:val="0"/>
        <w:kinsoku/>
        <w:wordWrap/>
        <w:overflowPunct/>
        <w:topLinePunct w:val="0"/>
        <w:autoSpaceDE w:val="0"/>
        <w:autoSpaceDN w:val="0"/>
        <w:bidi w:val="0"/>
        <w:adjustRightInd w:val="0"/>
        <w:snapToGrid w:val="0"/>
        <w:spacing w:beforeAutospacing="0" w:afterAutospacing="0" w:line="600" w:lineRule="exact"/>
        <w:ind w:firstLine="640" w:firstLineChars="200"/>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1、乙方为</w:t>
      </w:r>
      <w:r>
        <w:rPr>
          <w:rFonts w:hint="eastAsia" w:ascii="仿宋_GB2312" w:hAnsi="仿宋_GB2312" w:eastAsia="仿宋_GB2312" w:cs="仿宋_GB2312"/>
          <w:color w:val="auto"/>
          <w:sz w:val="32"/>
          <w:szCs w:val="32"/>
          <w:highlight w:val="none"/>
          <w:u w:val="single"/>
          <w:lang w:val="en-US" w:eastAsia="zh-CN"/>
        </w:rPr>
        <w:t xml:space="preserve">           </w:t>
      </w:r>
      <w:r>
        <w:rPr>
          <w:rFonts w:hint="eastAsia" w:ascii="仿宋_GB2312" w:hAnsi="仿宋_GB2312" w:eastAsia="仿宋_GB2312" w:cs="仿宋_GB2312"/>
          <w:color w:val="auto"/>
          <w:sz w:val="32"/>
          <w:szCs w:val="32"/>
          <w:highlight w:val="none"/>
          <w:lang w:val="zh-CN" w:eastAsia="zh-CN"/>
        </w:rPr>
        <w:t>幼儿园配备校车</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val="zh-CN" w:eastAsia="zh-CN"/>
        </w:rPr>
        <w:t>辆（须提供符合国家安全标准的19座制式专用校车），承担为</w:t>
      </w:r>
      <w:r>
        <w:rPr>
          <w:rFonts w:hint="eastAsia" w:ascii="仿宋_GB2312" w:hAnsi="仿宋_GB2312" w:eastAsia="仿宋_GB2312" w:cs="仿宋_GB2312"/>
          <w:color w:val="auto"/>
          <w:sz w:val="32"/>
          <w:szCs w:val="32"/>
          <w:highlight w:val="none"/>
          <w:u w:val="single"/>
          <w:lang w:val="en-US" w:eastAsia="zh-CN"/>
        </w:rPr>
        <w:t xml:space="preserve">           </w:t>
      </w:r>
      <w:r>
        <w:rPr>
          <w:rFonts w:hint="eastAsia" w:ascii="仿宋_GB2312" w:hAnsi="仿宋_GB2312" w:eastAsia="仿宋_GB2312" w:cs="仿宋_GB2312"/>
          <w:color w:val="auto"/>
          <w:sz w:val="32"/>
          <w:szCs w:val="32"/>
          <w:highlight w:val="none"/>
          <w:lang w:val="zh-CN" w:eastAsia="zh-CN"/>
        </w:rPr>
        <w:t>幼儿园的幼儿提供上下学接送服务。</w:t>
      </w:r>
    </w:p>
    <w:p w14:paraId="532132F7">
      <w:pPr>
        <w:keepNext w:val="0"/>
        <w:keepLines w:val="0"/>
        <w:pageBreakBefore w:val="0"/>
        <w:kinsoku/>
        <w:wordWrap/>
        <w:overflowPunct/>
        <w:topLinePunct w:val="0"/>
        <w:bidi w:val="0"/>
        <w:adjustRightInd w:val="0"/>
        <w:snapToGrid w:val="0"/>
        <w:spacing w:beforeAutospacing="0" w:afterAutospacing="0" w:line="600" w:lineRule="exact"/>
        <w:ind w:firstLine="640" w:firstLineChars="200"/>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2、服务地点：采购人指定地点。</w:t>
      </w:r>
    </w:p>
    <w:p w14:paraId="31FFCA0F">
      <w:pPr>
        <w:keepNext w:val="0"/>
        <w:keepLines w:val="0"/>
        <w:pageBreakBefore w:val="0"/>
        <w:kinsoku/>
        <w:wordWrap/>
        <w:overflowPunct/>
        <w:topLinePunct w:val="0"/>
        <w:bidi w:val="0"/>
        <w:adjustRightInd w:val="0"/>
        <w:snapToGrid w:val="0"/>
        <w:spacing w:beforeAutospacing="0" w:afterAutospacing="0" w:line="600" w:lineRule="exact"/>
        <w:ind w:firstLine="640" w:firstLineChars="200"/>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3.乙方任命的现场负责人负责对乙方工作人员进行管理，甲方与乙方工作人员不存在雇佣关系。乙方工作人员的管理费用（含人员基本工资、奖金、法定节假日加班工资、社会保险、福利等）由乙方承担。乙方及其工作人员在履行本协议过程中产生的人身以及财产安全风险以及事件由乙方承担责任。同时乙方及其工作人员应该遵守法律规定，不得从事任何违法或者犯罪行为。因乙方及其工作人员的行为导致甲方受到损害的，应该由乙方予以赔偿。</w:t>
      </w:r>
    </w:p>
    <w:p w14:paraId="021A3C81">
      <w:pPr>
        <w:keepNext w:val="0"/>
        <w:keepLines w:val="0"/>
        <w:pageBreakBefore w:val="0"/>
        <w:kinsoku/>
        <w:wordWrap/>
        <w:overflowPunct/>
        <w:topLinePunct w:val="0"/>
        <w:bidi w:val="0"/>
        <w:adjustRightInd w:val="0"/>
        <w:snapToGrid w:val="0"/>
        <w:spacing w:beforeAutospacing="0" w:afterAutospacing="0" w:line="600" w:lineRule="exact"/>
        <w:ind w:firstLine="640" w:firstLineChars="200"/>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val="zh-CN"/>
        </w:rPr>
        <w:t>、乙方必须严格履行合同要求，不得转包或分包给他人经营。</w:t>
      </w:r>
    </w:p>
    <w:p w14:paraId="2DA05419">
      <w:pPr>
        <w:keepNext w:val="0"/>
        <w:keepLines w:val="0"/>
        <w:pageBreakBefore w:val="0"/>
        <w:kinsoku/>
        <w:wordWrap/>
        <w:overflowPunct/>
        <w:topLinePunct w:val="0"/>
        <w:bidi w:val="0"/>
        <w:adjustRightInd w:val="0"/>
        <w:snapToGrid w:val="0"/>
        <w:spacing w:line="60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5、乙方拟派服务人员的工资不得低于当地月最低工资标准，并依法为拟派服务人员足额缴纳“五险一金”。</w:t>
      </w:r>
      <w:bookmarkStart w:id="0" w:name="_GoBack"/>
      <w:bookmarkEnd w:id="0"/>
    </w:p>
    <w:p w14:paraId="50C09B7E">
      <w:pPr>
        <w:keepNext w:val="0"/>
        <w:keepLines w:val="0"/>
        <w:pageBreakBefore w:val="0"/>
        <w:widowControl/>
        <w:kinsoku/>
        <w:wordWrap/>
        <w:overflowPunct/>
        <w:topLinePunct w:val="0"/>
        <w:autoSpaceDE w:val="0"/>
        <w:autoSpaceDN w:val="0"/>
        <w:bidi w:val="0"/>
        <w:snapToGrid w:val="0"/>
        <w:spacing w:beforeAutospacing="0" w:afterAutospacing="0" w:line="600" w:lineRule="exact"/>
        <w:ind w:firstLine="640" w:firstLineChars="200"/>
        <w:textAlignment w:val="bottom"/>
        <w:rPr>
          <w:rFonts w:hint="eastAsia" w:ascii="黑体" w:hAnsi="黑体" w:eastAsia="黑体" w:cs="黑体"/>
          <w:b w:val="0"/>
          <w:bCs/>
          <w:color w:val="auto"/>
          <w:kern w:val="0"/>
          <w:sz w:val="32"/>
          <w:szCs w:val="32"/>
          <w:highlight w:val="none"/>
        </w:rPr>
      </w:pPr>
      <w:r>
        <w:rPr>
          <w:rFonts w:hint="eastAsia" w:ascii="黑体" w:hAnsi="黑体" w:eastAsia="黑体" w:cs="黑体"/>
          <w:b w:val="0"/>
          <w:bCs/>
          <w:color w:val="auto"/>
          <w:kern w:val="0"/>
          <w:sz w:val="32"/>
          <w:szCs w:val="32"/>
          <w:highlight w:val="none"/>
        </w:rPr>
        <w:t>五、</w:t>
      </w:r>
      <w:r>
        <w:rPr>
          <w:rFonts w:hint="eastAsia" w:ascii="黑体" w:hAnsi="黑体" w:eastAsia="黑体" w:cs="黑体"/>
          <w:b w:val="0"/>
          <w:bCs/>
          <w:color w:val="auto"/>
          <w:kern w:val="0"/>
          <w:sz w:val="32"/>
          <w:szCs w:val="32"/>
          <w:highlight w:val="none"/>
          <w:lang w:val="en-US" w:eastAsia="zh-CN"/>
        </w:rPr>
        <w:t>服务要求</w:t>
      </w:r>
    </w:p>
    <w:p w14:paraId="766ECB48">
      <w:pPr>
        <w:keepNext w:val="0"/>
        <w:keepLines w:val="0"/>
        <w:pageBreakBefore w:val="0"/>
        <w:kinsoku/>
        <w:wordWrap/>
        <w:overflowPunct/>
        <w:topLinePunct w:val="0"/>
        <w:bidi w:val="0"/>
        <w:adjustRightInd w:val="0"/>
        <w:snapToGrid w:val="0"/>
        <w:spacing w:beforeAutospacing="0" w:afterAutospacing="0" w:line="60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rPr>
        <w:t>1、</w:t>
      </w:r>
      <w:r>
        <w:rPr>
          <w:rFonts w:hint="eastAsia" w:ascii="仿宋_GB2312" w:hAnsi="仿宋_GB2312" w:eastAsia="仿宋_GB2312" w:cs="仿宋_GB2312"/>
          <w:color w:val="auto"/>
          <w:sz w:val="32"/>
          <w:szCs w:val="32"/>
          <w:highlight w:val="none"/>
          <w:lang w:val="en-US" w:eastAsia="zh-CN"/>
        </w:rPr>
        <w:t>车辆要求：</w:t>
      </w:r>
    </w:p>
    <w:p w14:paraId="459DA2ED">
      <w:pPr>
        <w:keepNext w:val="0"/>
        <w:keepLines w:val="0"/>
        <w:pageBreakBefore w:val="0"/>
        <w:kinsoku/>
        <w:wordWrap/>
        <w:overflowPunct/>
        <w:topLinePunct w:val="0"/>
        <w:bidi w:val="0"/>
        <w:adjustRightInd w:val="0"/>
        <w:snapToGrid w:val="0"/>
        <w:spacing w:beforeAutospacing="0" w:afterAutospacing="0" w:line="600" w:lineRule="exact"/>
        <w:ind w:firstLine="640" w:firstLineChars="200"/>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en-US" w:eastAsia="zh-CN"/>
        </w:rPr>
        <w:t>乙方为甲方提供的1辆19座制式专用校车必须是符合国标的在用校车，符合国务院《校车安全管理条例》、《专用校车安全技术条件》、《专用校车学生座椅系统及其车辆固定件的强度》等规定，所提供相关资质、公司运营资质、校车安全运行实时可视监控系统及驾驶员、照管员符合有关规定</w:t>
      </w:r>
      <w:r>
        <w:rPr>
          <w:rFonts w:hint="eastAsia" w:ascii="仿宋_GB2312" w:hAnsi="仿宋_GB2312" w:eastAsia="仿宋_GB2312" w:cs="仿宋_GB2312"/>
          <w:color w:val="auto"/>
          <w:sz w:val="32"/>
          <w:szCs w:val="32"/>
          <w:highlight w:val="none"/>
          <w:lang w:val="zh-CN"/>
        </w:rPr>
        <w:t>。</w:t>
      </w:r>
    </w:p>
    <w:p w14:paraId="65C691AC">
      <w:pPr>
        <w:keepNext w:val="0"/>
        <w:keepLines w:val="0"/>
        <w:pageBreakBefore w:val="0"/>
        <w:kinsoku/>
        <w:wordWrap/>
        <w:overflowPunct/>
        <w:topLinePunct w:val="0"/>
        <w:bidi w:val="0"/>
        <w:adjustRightInd w:val="0"/>
        <w:snapToGrid w:val="0"/>
        <w:spacing w:beforeAutospacing="0" w:afterAutospacing="0" w:line="600" w:lineRule="exact"/>
        <w:ind w:firstLine="640" w:firstLineChars="200"/>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val="zh-CN"/>
        </w:rPr>
        <w:t>）乙方应配备标准制式校车，车辆的安全性能要保证完好，要定期进行维护、保养、检测，每日出车前要进行安全例检。车内的安全锤、急救箱、安全带、灭火器等相关安全设施要配套齐全。</w:t>
      </w:r>
    </w:p>
    <w:p w14:paraId="447A71A0">
      <w:pPr>
        <w:keepNext w:val="0"/>
        <w:keepLines w:val="0"/>
        <w:pageBreakBefore w:val="0"/>
        <w:kinsoku/>
        <w:wordWrap/>
        <w:overflowPunct/>
        <w:topLinePunct w:val="0"/>
        <w:bidi w:val="0"/>
        <w:adjustRightInd w:val="0"/>
        <w:snapToGrid w:val="0"/>
        <w:spacing w:beforeAutospacing="0" w:afterAutospacing="0" w:line="600" w:lineRule="exact"/>
        <w:ind w:firstLine="640" w:firstLineChars="200"/>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2、</w:t>
      </w:r>
      <w:r>
        <w:rPr>
          <w:rFonts w:hint="eastAsia" w:ascii="仿宋_GB2312" w:hAnsi="仿宋_GB2312" w:eastAsia="仿宋_GB2312" w:cs="仿宋_GB2312"/>
          <w:color w:val="auto"/>
          <w:sz w:val="32"/>
          <w:szCs w:val="32"/>
          <w:highlight w:val="none"/>
          <w:lang w:val="en-US" w:eastAsia="zh-CN"/>
        </w:rPr>
        <w:t>校车</w:t>
      </w:r>
      <w:r>
        <w:rPr>
          <w:rFonts w:hint="eastAsia" w:ascii="仿宋_GB2312" w:hAnsi="仿宋_GB2312" w:eastAsia="仿宋_GB2312" w:cs="仿宋_GB2312"/>
          <w:color w:val="auto"/>
          <w:sz w:val="32"/>
          <w:szCs w:val="32"/>
          <w:highlight w:val="none"/>
          <w:lang w:val="zh-CN"/>
        </w:rPr>
        <w:t>驾驶员要求：</w:t>
      </w:r>
    </w:p>
    <w:p w14:paraId="0367A7FD">
      <w:pPr>
        <w:keepNext w:val="0"/>
        <w:keepLines w:val="0"/>
        <w:pageBreakBefore w:val="0"/>
        <w:kinsoku/>
        <w:wordWrap/>
        <w:overflowPunct/>
        <w:topLinePunct w:val="0"/>
        <w:bidi w:val="0"/>
        <w:adjustRightInd w:val="0"/>
        <w:snapToGrid w:val="0"/>
        <w:spacing w:beforeAutospacing="0" w:afterAutospacing="0" w:line="600" w:lineRule="exact"/>
        <w:ind w:firstLine="640" w:firstLineChars="200"/>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校车公司的校车驾驶人员要符合国务院《校车安全管理条例》第四章第二十三条的规定：</w:t>
      </w:r>
    </w:p>
    <w:p w14:paraId="3A1C93C9">
      <w:pPr>
        <w:keepNext w:val="0"/>
        <w:keepLines w:val="0"/>
        <w:pageBreakBefore w:val="0"/>
        <w:kinsoku/>
        <w:wordWrap/>
        <w:overflowPunct/>
        <w:topLinePunct w:val="0"/>
        <w:bidi w:val="0"/>
        <w:adjustRightInd w:val="0"/>
        <w:snapToGrid w:val="0"/>
        <w:spacing w:beforeAutospacing="0" w:afterAutospacing="0" w:line="600" w:lineRule="exact"/>
        <w:ind w:firstLine="640" w:firstLineChars="200"/>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val="zh-CN"/>
        </w:rPr>
        <w:t>）取得相应准驾车型驾驶证并具有3年以上驾驶经历，年龄在25周岁以上，不超过60周岁。</w:t>
      </w:r>
    </w:p>
    <w:p w14:paraId="5F9B2F05">
      <w:pPr>
        <w:keepNext w:val="0"/>
        <w:keepLines w:val="0"/>
        <w:pageBreakBefore w:val="0"/>
        <w:kinsoku/>
        <w:wordWrap/>
        <w:overflowPunct/>
        <w:topLinePunct w:val="0"/>
        <w:bidi w:val="0"/>
        <w:adjustRightInd w:val="0"/>
        <w:snapToGrid w:val="0"/>
        <w:spacing w:beforeAutospacing="0" w:afterAutospacing="0" w:line="600" w:lineRule="exact"/>
        <w:ind w:firstLine="640" w:firstLineChars="200"/>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val="zh-CN"/>
        </w:rPr>
        <w:t>）最近连续3个记分周期内没有被记满分记录。</w:t>
      </w:r>
    </w:p>
    <w:p w14:paraId="3EB7A8E5">
      <w:pPr>
        <w:keepNext w:val="0"/>
        <w:keepLines w:val="0"/>
        <w:pageBreakBefore w:val="0"/>
        <w:kinsoku/>
        <w:wordWrap/>
        <w:overflowPunct/>
        <w:topLinePunct w:val="0"/>
        <w:bidi w:val="0"/>
        <w:adjustRightInd w:val="0"/>
        <w:snapToGrid w:val="0"/>
        <w:spacing w:beforeAutospacing="0" w:afterAutospacing="0" w:line="600" w:lineRule="exact"/>
        <w:ind w:firstLine="640" w:firstLineChars="200"/>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val="zh-CN"/>
        </w:rPr>
        <w:t>）无致人死亡或者重伤的交通事故责任记录。</w:t>
      </w:r>
    </w:p>
    <w:p w14:paraId="6BA59060">
      <w:pPr>
        <w:keepNext w:val="0"/>
        <w:keepLines w:val="0"/>
        <w:pageBreakBefore w:val="0"/>
        <w:kinsoku/>
        <w:wordWrap/>
        <w:overflowPunct/>
        <w:topLinePunct w:val="0"/>
        <w:bidi w:val="0"/>
        <w:adjustRightInd w:val="0"/>
        <w:snapToGrid w:val="0"/>
        <w:spacing w:beforeAutospacing="0" w:afterAutospacing="0" w:line="600" w:lineRule="exact"/>
        <w:ind w:firstLine="640" w:firstLineChars="200"/>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val="zh-CN"/>
        </w:rPr>
        <w:t>）无饮酒后驾驶或者醉酒驾驶机动车记录，最近1年内无驾驶客运车辆超员、超速等严重交通违法行为记录。</w:t>
      </w:r>
    </w:p>
    <w:p w14:paraId="08828BE6">
      <w:pPr>
        <w:keepNext w:val="0"/>
        <w:keepLines w:val="0"/>
        <w:pageBreakBefore w:val="0"/>
        <w:kinsoku/>
        <w:wordWrap/>
        <w:overflowPunct/>
        <w:topLinePunct w:val="0"/>
        <w:bidi w:val="0"/>
        <w:adjustRightInd w:val="0"/>
        <w:snapToGrid w:val="0"/>
        <w:spacing w:beforeAutospacing="0" w:afterAutospacing="0" w:line="600" w:lineRule="exact"/>
        <w:ind w:firstLine="640" w:firstLineChars="200"/>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lang w:val="zh-CN"/>
        </w:rPr>
        <w:t>）无犯罪记录。</w:t>
      </w:r>
    </w:p>
    <w:p w14:paraId="53A68B8A">
      <w:pPr>
        <w:keepNext w:val="0"/>
        <w:keepLines w:val="0"/>
        <w:pageBreakBefore w:val="0"/>
        <w:kinsoku/>
        <w:wordWrap/>
        <w:overflowPunct/>
        <w:topLinePunct w:val="0"/>
        <w:bidi w:val="0"/>
        <w:adjustRightInd w:val="0"/>
        <w:snapToGrid w:val="0"/>
        <w:spacing w:beforeAutospacing="0" w:afterAutospacing="0" w:line="600" w:lineRule="exact"/>
        <w:ind w:firstLine="640" w:firstLineChars="200"/>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en-US" w:eastAsia="zh-CN"/>
        </w:rPr>
        <w:t>6</w:t>
      </w:r>
      <w:r>
        <w:rPr>
          <w:rFonts w:hint="eastAsia" w:ascii="仿宋_GB2312" w:hAnsi="仿宋_GB2312" w:eastAsia="仿宋_GB2312" w:cs="仿宋_GB2312"/>
          <w:color w:val="auto"/>
          <w:sz w:val="32"/>
          <w:szCs w:val="32"/>
          <w:highlight w:val="none"/>
          <w:lang w:val="zh-CN"/>
        </w:rPr>
        <w:t>）身心健康，无传染性疾病，无癫痫、精神病等可能危及行车安全的疾病病史，无酗酒、吸毒行为记录。</w:t>
      </w:r>
    </w:p>
    <w:p w14:paraId="491C0F3D">
      <w:pPr>
        <w:keepNext w:val="0"/>
        <w:keepLines w:val="0"/>
        <w:pageBreakBefore w:val="0"/>
        <w:kinsoku/>
        <w:wordWrap/>
        <w:overflowPunct/>
        <w:topLinePunct w:val="0"/>
        <w:bidi w:val="0"/>
        <w:adjustRightInd w:val="0"/>
        <w:snapToGrid w:val="0"/>
        <w:spacing w:beforeAutospacing="0" w:afterAutospacing="0" w:line="600" w:lineRule="exact"/>
        <w:ind w:firstLine="640" w:firstLineChars="200"/>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en-US" w:eastAsia="zh-CN"/>
        </w:rPr>
        <w:t>7</w:t>
      </w:r>
      <w:r>
        <w:rPr>
          <w:rFonts w:hint="eastAsia" w:ascii="仿宋_GB2312" w:hAnsi="仿宋_GB2312" w:eastAsia="仿宋_GB2312" w:cs="仿宋_GB2312"/>
          <w:color w:val="auto"/>
          <w:sz w:val="32"/>
          <w:szCs w:val="32"/>
          <w:highlight w:val="none"/>
          <w:lang w:val="zh-CN"/>
        </w:rPr>
        <w:t>）驾驶19座</w:t>
      </w:r>
      <w:r>
        <w:rPr>
          <w:rFonts w:hint="eastAsia" w:ascii="仿宋_GB2312" w:hAnsi="仿宋_GB2312" w:eastAsia="仿宋_GB2312" w:cs="仿宋_GB2312"/>
          <w:color w:val="auto"/>
          <w:sz w:val="32"/>
          <w:szCs w:val="32"/>
          <w:highlight w:val="none"/>
          <w:lang w:val="en-US" w:eastAsia="zh-CN"/>
        </w:rPr>
        <w:t>及</w:t>
      </w:r>
      <w:r>
        <w:rPr>
          <w:rFonts w:hint="eastAsia" w:ascii="仿宋_GB2312" w:hAnsi="仿宋_GB2312" w:eastAsia="仿宋_GB2312" w:cs="仿宋_GB2312"/>
          <w:color w:val="auto"/>
          <w:sz w:val="32"/>
          <w:szCs w:val="32"/>
          <w:highlight w:val="none"/>
          <w:lang w:val="zh-CN"/>
        </w:rPr>
        <w:t>以上的校车驾驶员持</w:t>
      </w:r>
      <w:r>
        <w:rPr>
          <w:rFonts w:hint="eastAsia" w:ascii="仿宋_GB2312" w:hAnsi="仿宋_GB2312" w:eastAsia="仿宋_GB2312" w:cs="仿宋_GB2312"/>
          <w:b/>
          <w:color w:val="000000"/>
          <w:sz w:val="32"/>
          <w:szCs w:val="32"/>
          <w:highlight w:val="none"/>
          <w:lang w:val="en-US" w:eastAsia="zh-CN"/>
        </w:rPr>
        <w:t>B1及以上</w:t>
      </w:r>
      <w:r>
        <w:rPr>
          <w:rFonts w:hint="eastAsia" w:ascii="仿宋_GB2312" w:hAnsi="仿宋_GB2312" w:eastAsia="仿宋_GB2312" w:cs="仿宋_GB2312"/>
          <w:b/>
          <w:bCs/>
          <w:color w:val="000000"/>
          <w:sz w:val="32"/>
          <w:szCs w:val="32"/>
          <w:highlight w:val="none"/>
        </w:rPr>
        <w:t>驾驶证照</w:t>
      </w:r>
      <w:r>
        <w:rPr>
          <w:rFonts w:hint="eastAsia" w:ascii="仿宋_GB2312" w:hAnsi="仿宋_GB2312" w:eastAsia="仿宋_GB2312" w:cs="仿宋_GB2312"/>
          <w:color w:val="auto"/>
          <w:sz w:val="32"/>
          <w:szCs w:val="32"/>
          <w:highlight w:val="none"/>
          <w:lang w:val="zh-CN"/>
        </w:rPr>
        <w:t>。</w:t>
      </w:r>
    </w:p>
    <w:p w14:paraId="4C25B9BF">
      <w:pPr>
        <w:keepNext w:val="0"/>
        <w:keepLines w:val="0"/>
        <w:pageBreakBefore w:val="0"/>
        <w:kinsoku/>
        <w:wordWrap/>
        <w:overflowPunct/>
        <w:topLinePunct w:val="0"/>
        <w:bidi w:val="0"/>
        <w:adjustRightInd w:val="0"/>
        <w:snapToGrid w:val="0"/>
        <w:spacing w:beforeAutospacing="0" w:afterAutospacing="0" w:line="600" w:lineRule="exact"/>
        <w:ind w:firstLine="640" w:firstLineChars="200"/>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en-US" w:eastAsia="zh-CN"/>
        </w:rPr>
        <w:t>8</w:t>
      </w:r>
      <w:r>
        <w:rPr>
          <w:rFonts w:hint="eastAsia" w:ascii="仿宋_GB2312" w:hAnsi="仿宋_GB2312" w:eastAsia="仿宋_GB2312" w:cs="仿宋_GB2312"/>
          <w:color w:val="auto"/>
          <w:sz w:val="32"/>
          <w:szCs w:val="32"/>
          <w:highlight w:val="none"/>
          <w:lang w:val="zh-CN"/>
        </w:rPr>
        <w:t>）机动车驾驶人未取得校车驾驶资格，不得驾驶校车。禁止聘用未取得校车驾驶资格的机动车驾驶人驾驶校车。</w:t>
      </w:r>
    </w:p>
    <w:p w14:paraId="451D2565">
      <w:pPr>
        <w:keepNext w:val="0"/>
        <w:keepLines w:val="0"/>
        <w:pageBreakBefore w:val="0"/>
        <w:kinsoku/>
        <w:wordWrap/>
        <w:overflowPunct/>
        <w:topLinePunct w:val="0"/>
        <w:bidi w:val="0"/>
        <w:adjustRightInd w:val="0"/>
        <w:snapToGrid w:val="0"/>
        <w:spacing w:beforeAutospacing="0" w:afterAutospacing="0" w:line="600" w:lineRule="exact"/>
        <w:ind w:firstLine="640" w:firstLineChars="200"/>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en-US" w:eastAsia="zh-CN"/>
        </w:rPr>
        <w:t>9</w:t>
      </w:r>
      <w:r>
        <w:rPr>
          <w:rFonts w:hint="eastAsia" w:ascii="仿宋_GB2312" w:hAnsi="仿宋_GB2312" w:eastAsia="仿宋_GB2312" w:cs="仿宋_GB2312"/>
          <w:color w:val="auto"/>
          <w:sz w:val="32"/>
          <w:szCs w:val="32"/>
          <w:highlight w:val="none"/>
          <w:lang w:val="zh-CN"/>
        </w:rPr>
        <w:t>）校车驾驶人应当遵守道路交通安全法律法规，严格按照机动车道路 通行规则和驾驶操作规范安全驾驶、文明驾驶。</w:t>
      </w:r>
    </w:p>
    <w:p w14:paraId="60E0FA60">
      <w:pPr>
        <w:keepNext w:val="0"/>
        <w:keepLines w:val="0"/>
        <w:pageBreakBefore w:val="0"/>
        <w:kinsoku/>
        <w:wordWrap/>
        <w:overflowPunct/>
        <w:topLinePunct w:val="0"/>
        <w:bidi w:val="0"/>
        <w:adjustRightInd w:val="0"/>
        <w:snapToGrid w:val="0"/>
        <w:spacing w:beforeAutospacing="0" w:afterAutospacing="0" w:line="60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rPr>
        <w:t>3、</w:t>
      </w:r>
      <w:r>
        <w:rPr>
          <w:rFonts w:hint="eastAsia" w:ascii="仿宋_GB2312" w:hAnsi="仿宋_GB2312" w:eastAsia="仿宋_GB2312" w:cs="仿宋_GB2312"/>
          <w:color w:val="auto"/>
          <w:sz w:val="32"/>
          <w:szCs w:val="32"/>
          <w:highlight w:val="none"/>
          <w:lang w:val="en-US" w:eastAsia="zh-CN"/>
        </w:rPr>
        <w:t>运营要求:</w:t>
      </w:r>
    </w:p>
    <w:p w14:paraId="6225FE78">
      <w:pPr>
        <w:keepNext w:val="0"/>
        <w:keepLines w:val="0"/>
        <w:pageBreakBefore w:val="0"/>
        <w:kinsoku/>
        <w:wordWrap/>
        <w:overflowPunct/>
        <w:topLinePunct w:val="0"/>
        <w:bidi w:val="0"/>
        <w:adjustRightInd w:val="0"/>
        <w:snapToGrid w:val="0"/>
        <w:spacing w:beforeAutospacing="0" w:afterAutospacing="0" w:line="600" w:lineRule="exact"/>
        <w:ind w:firstLine="640" w:firstLineChars="200"/>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（1）乙方根据采购人要求制定项目执行过程中的详细实施计划和车辆、人员的安排计划。</w:t>
      </w:r>
    </w:p>
    <w:p w14:paraId="4C2E9E5C">
      <w:pPr>
        <w:keepNext w:val="0"/>
        <w:keepLines w:val="0"/>
        <w:pageBreakBefore w:val="0"/>
        <w:kinsoku/>
        <w:wordWrap/>
        <w:overflowPunct/>
        <w:topLinePunct w:val="0"/>
        <w:bidi w:val="0"/>
        <w:adjustRightInd w:val="0"/>
        <w:snapToGrid w:val="0"/>
        <w:spacing w:beforeAutospacing="0" w:afterAutospacing="0" w:line="600" w:lineRule="exact"/>
        <w:ind w:firstLine="640" w:firstLineChars="200"/>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（2）乙方应制定在车辆出现紧急故障或者人员特殊状况时的应急预案。</w:t>
      </w:r>
    </w:p>
    <w:p w14:paraId="0D7CEAEF">
      <w:pPr>
        <w:keepNext w:val="0"/>
        <w:keepLines w:val="0"/>
        <w:pageBreakBefore w:val="0"/>
        <w:kinsoku/>
        <w:wordWrap/>
        <w:overflowPunct/>
        <w:topLinePunct w:val="0"/>
        <w:bidi w:val="0"/>
        <w:adjustRightInd w:val="0"/>
        <w:snapToGrid w:val="0"/>
        <w:spacing w:beforeAutospacing="0" w:afterAutospacing="0" w:line="600" w:lineRule="exact"/>
        <w:ind w:firstLine="640" w:firstLineChars="200"/>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（3）乙方在项目执行过程中车辆和人员需第一时间优先保证，以确保项目的正常运行。</w:t>
      </w:r>
    </w:p>
    <w:p w14:paraId="64955726">
      <w:pPr>
        <w:keepNext w:val="0"/>
        <w:keepLines w:val="0"/>
        <w:pageBreakBefore w:val="0"/>
        <w:kinsoku/>
        <w:wordWrap/>
        <w:overflowPunct/>
        <w:topLinePunct w:val="0"/>
        <w:bidi w:val="0"/>
        <w:adjustRightInd w:val="0"/>
        <w:snapToGrid w:val="0"/>
        <w:spacing w:beforeAutospacing="0" w:afterAutospacing="0" w:line="600" w:lineRule="exact"/>
        <w:ind w:firstLine="640" w:firstLineChars="200"/>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（4）乙方应定期对车辆进行检查、维修、保养，其费用包括在合同总价款中。</w:t>
      </w:r>
    </w:p>
    <w:p w14:paraId="7EF46821">
      <w:pPr>
        <w:keepNext w:val="0"/>
        <w:keepLines w:val="0"/>
        <w:pageBreakBefore w:val="0"/>
        <w:kinsoku/>
        <w:wordWrap/>
        <w:overflowPunct/>
        <w:topLinePunct w:val="0"/>
        <w:bidi w:val="0"/>
        <w:adjustRightInd w:val="0"/>
        <w:snapToGrid w:val="0"/>
        <w:spacing w:beforeAutospacing="0" w:afterAutospacing="0" w:line="600" w:lineRule="exact"/>
        <w:ind w:firstLine="640" w:firstLineChars="200"/>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en-US" w:eastAsia="zh-CN"/>
        </w:rPr>
        <w:t>乙方</w:t>
      </w:r>
      <w:r>
        <w:rPr>
          <w:rFonts w:hint="eastAsia" w:ascii="仿宋_GB2312" w:hAnsi="仿宋_GB2312" w:eastAsia="仿宋_GB2312" w:cs="仿宋_GB2312"/>
          <w:color w:val="auto"/>
          <w:sz w:val="32"/>
          <w:szCs w:val="32"/>
          <w:highlight w:val="none"/>
          <w:lang w:val="zh-CN"/>
        </w:rPr>
        <w:t>必须按相关规定为校车及人员购买各类保险。</w:t>
      </w:r>
    </w:p>
    <w:p w14:paraId="27D56AAB">
      <w:pPr>
        <w:keepNext w:val="0"/>
        <w:keepLines w:val="0"/>
        <w:pageBreakBefore w:val="0"/>
        <w:kinsoku/>
        <w:wordWrap/>
        <w:overflowPunct/>
        <w:topLinePunct w:val="0"/>
        <w:bidi w:val="0"/>
        <w:adjustRightInd w:val="0"/>
        <w:snapToGrid w:val="0"/>
        <w:spacing w:beforeAutospacing="0" w:afterAutospacing="0" w:line="600" w:lineRule="exact"/>
        <w:ind w:firstLine="640" w:firstLineChars="200"/>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4、安全要求：</w:t>
      </w:r>
    </w:p>
    <w:p w14:paraId="5B161D64">
      <w:pPr>
        <w:keepNext w:val="0"/>
        <w:keepLines w:val="0"/>
        <w:pageBreakBefore w:val="0"/>
        <w:kinsoku/>
        <w:wordWrap/>
        <w:overflowPunct/>
        <w:topLinePunct w:val="0"/>
        <w:bidi w:val="0"/>
        <w:adjustRightInd w:val="0"/>
        <w:snapToGrid w:val="0"/>
        <w:spacing w:beforeAutospacing="0" w:afterAutospacing="0" w:line="60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（1）校车行驶线路应当尽量避开急弯、陡坡、临崖、临水的危险路段；确实无法避开的，协调道路或者交通设施的管理、养护单位应当按照标准对上述危险路段设置安全防护设施、限速标志、警告标牌。</w:t>
      </w:r>
    </w:p>
    <w:p w14:paraId="30CA211A">
      <w:pPr>
        <w:keepNext w:val="0"/>
        <w:keepLines w:val="0"/>
        <w:pageBreakBefore w:val="0"/>
        <w:kinsoku/>
        <w:wordWrap/>
        <w:overflowPunct/>
        <w:topLinePunct w:val="0"/>
        <w:bidi w:val="0"/>
        <w:adjustRightInd w:val="0"/>
        <w:snapToGrid w:val="0"/>
        <w:spacing w:beforeAutospacing="0" w:afterAutospacing="0" w:line="60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校车运载学生，应当按照国务院公安部门规定的位置放置校车标牌，开启校车标志灯。校车运载学生，应当按照经审核确定的线路行驶，遇有交通管制、道路施工以及自然灾害、恶劣气象条件或者重大交通事故等影响道路通行情形的除外。</w:t>
      </w:r>
    </w:p>
    <w:p w14:paraId="60F885B3">
      <w:pPr>
        <w:keepNext w:val="0"/>
        <w:keepLines w:val="0"/>
        <w:pageBreakBefore w:val="0"/>
        <w:kinsoku/>
        <w:wordWrap/>
        <w:overflowPunct/>
        <w:topLinePunct w:val="0"/>
        <w:bidi w:val="0"/>
        <w:adjustRightInd w:val="0"/>
        <w:snapToGrid w:val="0"/>
        <w:spacing w:beforeAutospacing="0" w:afterAutospacing="0" w:line="60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（3）校车上下学生，应当在校车停靠站点停靠。</w:t>
      </w:r>
    </w:p>
    <w:p w14:paraId="058452BD">
      <w:pPr>
        <w:keepNext w:val="0"/>
        <w:keepLines w:val="0"/>
        <w:pageBreakBefore w:val="0"/>
        <w:kinsoku/>
        <w:wordWrap/>
        <w:overflowPunct/>
        <w:topLinePunct w:val="0"/>
        <w:bidi w:val="0"/>
        <w:adjustRightInd w:val="0"/>
        <w:snapToGrid w:val="0"/>
        <w:spacing w:beforeAutospacing="0" w:afterAutospacing="0" w:line="60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（4）校车在道路上停车上下学生，应当靠道路右侧停靠，开启危险报警闪光灯，打开停车指示标志。</w:t>
      </w:r>
    </w:p>
    <w:p w14:paraId="70595F28">
      <w:pPr>
        <w:keepNext w:val="0"/>
        <w:keepLines w:val="0"/>
        <w:pageBreakBefore w:val="0"/>
        <w:kinsoku/>
        <w:wordWrap/>
        <w:overflowPunct/>
        <w:topLinePunct w:val="0"/>
        <w:bidi w:val="0"/>
        <w:adjustRightInd w:val="0"/>
        <w:snapToGrid w:val="0"/>
        <w:spacing w:beforeAutospacing="0" w:afterAutospacing="0" w:line="60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（5）校车载人不得超过核定的人数，不得以任何理由超员。学校和校车服务提供者不得要求校车驾驶人超员、超速驾驶校车。</w:t>
      </w:r>
    </w:p>
    <w:p w14:paraId="11F145B4">
      <w:pPr>
        <w:keepNext w:val="0"/>
        <w:keepLines w:val="0"/>
        <w:pageBreakBefore w:val="0"/>
        <w:kinsoku/>
        <w:wordWrap/>
        <w:overflowPunct/>
        <w:topLinePunct w:val="0"/>
        <w:bidi w:val="0"/>
        <w:adjustRightInd w:val="0"/>
        <w:snapToGrid w:val="0"/>
        <w:spacing w:beforeAutospacing="0" w:afterAutospacing="0" w:line="60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6）载有学生的校车在高速公路上行驶的最高时速不得超过80公里，在其他道路上行驶的最高时速不得超过60公里。道路交通安全法律法规规定或者道路上限速标志、标线标明的最高时速低于前款规定的，从其规定。载有学生的校车在急弯、陡坡、窄路、窄桥以及冰雪、泥泞的道路上行驶，或者遇有雾、雨、雪、沙尘、冰雹等低能见度气象条件时，最高时速不得超过20公里。</w:t>
      </w:r>
    </w:p>
    <w:p w14:paraId="4B251B0A">
      <w:pPr>
        <w:keepNext w:val="0"/>
        <w:keepLines w:val="0"/>
        <w:pageBreakBefore w:val="0"/>
        <w:kinsoku/>
        <w:wordWrap/>
        <w:overflowPunct/>
        <w:topLinePunct w:val="0"/>
        <w:bidi w:val="0"/>
        <w:adjustRightInd w:val="0"/>
        <w:snapToGrid w:val="0"/>
        <w:spacing w:beforeAutospacing="0" w:afterAutospacing="0" w:line="60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（7）乙方需提供针对本项目制定定期安全培训计划，安全培训以驾驶人员熟练掌握安全驾驶要求为原则，并进行相应的安全培训考核；对安全管理人员进行相关培训，确保一切安全。</w:t>
      </w:r>
    </w:p>
    <w:p w14:paraId="3407657A">
      <w:pPr>
        <w:keepNext w:val="0"/>
        <w:keepLines w:val="0"/>
        <w:pageBreakBefore w:val="0"/>
        <w:widowControl/>
        <w:kinsoku/>
        <w:wordWrap/>
        <w:overflowPunct/>
        <w:topLinePunct w:val="0"/>
        <w:autoSpaceDE w:val="0"/>
        <w:autoSpaceDN w:val="0"/>
        <w:bidi w:val="0"/>
        <w:snapToGrid w:val="0"/>
        <w:spacing w:beforeAutospacing="0" w:afterAutospacing="0" w:line="600" w:lineRule="exact"/>
        <w:ind w:firstLine="640" w:firstLineChars="200"/>
        <w:textAlignment w:val="bottom"/>
        <w:rPr>
          <w:rFonts w:hint="eastAsia" w:ascii="黑体" w:hAnsi="黑体" w:eastAsia="黑体" w:cs="黑体"/>
          <w:b w:val="0"/>
          <w:bCs/>
          <w:color w:val="auto"/>
          <w:kern w:val="0"/>
          <w:sz w:val="32"/>
          <w:szCs w:val="32"/>
          <w:highlight w:val="none"/>
          <w:lang w:val="zh-CN"/>
        </w:rPr>
      </w:pPr>
      <w:r>
        <w:rPr>
          <w:rFonts w:hint="eastAsia" w:ascii="黑体" w:hAnsi="黑体" w:eastAsia="黑体" w:cs="黑体"/>
          <w:b w:val="0"/>
          <w:bCs/>
          <w:color w:val="auto"/>
          <w:kern w:val="0"/>
          <w:sz w:val="32"/>
          <w:szCs w:val="32"/>
          <w:highlight w:val="none"/>
          <w:lang w:val="en-US" w:eastAsia="zh-CN"/>
        </w:rPr>
        <w:t>六</w:t>
      </w:r>
      <w:r>
        <w:rPr>
          <w:rFonts w:hint="eastAsia" w:ascii="黑体" w:hAnsi="黑体" w:eastAsia="黑体" w:cs="黑体"/>
          <w:b w:val="0"/>
          <w:bCs/>
          <w:color w:val="auto"/>
          <w:kern w:val="0"/>
          <w:sz w:val="32"/>
          <w:szCs w:val="32"/>
          <w:highlight w:val="none"/>
          <w:lang w:val="zh-CN"/>
        </w:rPr>
        <w:t>、双方的权利和义务</w:t>
      </w:r>
    </w:p>
    <w:p w14:paraId="10D06C22">
      <w:pPr>
        <w:keepNext w:val="0"/>
        <w:keepLines w:val="0"/>
        <w:pageBreakBefore w:val="0"/>
        <w:kinsoku/>
        <w:wordWrap/>
        <w:overflowPunct/>
        <w:topLinePunct w:val="0"/>
        <w:bidi w:val="0"/>
        <w:adjustRightInd w:val="0"/>
        <w:snapToGrid w:val="0"/>
        <w:spacing w:beforeAutospacing="0" w:afterAutospacing="0" w:line="600" w:lineRule="exact"/>
        <w:ind w:firstLine="640" w:firstLineChars="200"/>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1、甲方的权利和义务：</w:t>
      </w:r>
    </w:p>
    <w:p w14:paraId="64352013">
      <w:pPr>
        <w:keepNext w:val="0"/>
        <w:keepLines w:val="0"/>
        <w:pageBreakBefore w:val="0"/>
        <w:kinsoku/>
        <w:wordWrap/>
        <w:overflowPunct/>
        <w:topLinePunct w:val="0"/>
        <w:bidi w:val="0"/>
        <w:adjustRightInd w:val="0"/>
        <w:snapToGrid w:val="0"/>
        <w:spacing w:beforeAutospacing="0" w:afterAutospacing="0" w:line="600" w:lineRule="exact"/>
        <w:ind w:firstLine="640" w:firstLineChars="200"/>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（1）甲方负责为校车提供</w:t>
      </w:r>
      <w:r>
        <w:rPr>
          <w:rFonts w:hint="eastAsia" w:ascii="仿宋_GB2312" w:hAnsi="仿宋_GB2312" w:eastAsia="仿宋_GB2312" w:cs="仿宋_GB2312"/>
          <w:color w:val="auto"/>
          <w:sz w:val="32"/>
          <w:szCs w:val="32"/>
          <w:highlight w:val="none"/>
          <w:lang w:val="en-US" w:eastAsia="zh-CN"/>
        </w:rPr>
        <w:t>校车停靠在学校时的</w:t>
      </w:r>
      <w:r>
        <w:rPr>
          <w:rFonts w:hint="eastAsia" w:ascii="仿宋_GB2312" w:hAnsi="仿宋_GB2312" w:eastAsia="仿宋_GB2312" w:cs="仿宋_GB2312"/>
          <w:color w:val="auto"/>
          <w:sz w:val="32"/>
          <w:szCs w:val="32"/>
          <w:highlight w:val="none"/>
          <w:lang w:val="zh-CN"/>
        </w:rPr>
        <w:t>固定停车点。</w:t>
      </w:r>
    </w:p>
    <w:p w14:paraId="71151014">
      <w:pPr>
        <w:keepNext w:val="0"/>
        <w:keepLines w:val="0"/>
        <w:pageBreakBefore w:val="0"/>
        <w:kinsoku/>
        <w:wordWrap/>
        <w:overflowPunct/>
        <w:topLinePunct w:val="0"/>
        <w:bidi w:val="0"/>
        <w:adjustRightInd w:val="0"/>
        <w:snapToGrid w:val="0"/>
        <w:spacing w:beforeAutospacing="0" w:afterAutospacing="0" w:line="600" w:lineRule="exact"/>
        <w:ind w:firstLine="640" w:firstLineChars="200"/>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val="zh-CN"/>
        </w:rPr>
        <w:t>）甲方和相关校车监管职能部门有权对乙方校车的规范服务及公司的运营状况等实施监督检查。</w:t>
      </w:r>
    </w:p>
    <w:p w14:paraId="077CCDF3">
      <w:pPr>
        <w:keepNext w:val="0"/>
        <w:keepLines w:val="0"/>
        <w:pageBreakBefore w:val="0"/>
        <w:kinsoku/>
        <w:wordWrap/>
        <w:overflowPunct/>
        <w:topLinePunct w:val="0"/>
        <w:bidi w:val="0"/>
        <w:adjustRightInd w:val="0"/>
        <w:snapToGrid w:val="0"/>
        <w:spacing w:beforeAutospacing="0" w:afterAutospacing="0" w:line="600" w:lineRule="exact"/>
        <w:ind w:firstLine="640" w:firstLineChars="200"/>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val="zh-CN"/>
        </w:rPr>
        <w:t>）甲方协调相关部门</w:t>
      </w:r>
      <w:r>
        <w:rPr>
          <w:rFonts w:hint="eastAsia" w:ascii="仿宋_GB2312" w:hAnsi="仿宋_GB2312" w:eastAsia="仿宋_GB2312" w:cs="仿宋_GB2312"/>
          <w:color w:val="auto"/>
          <w:sz w:val="32"/>
          <w:szCs w:val="32"/>
          <w:highlight w:val="none"/>
          <w:lang w:val="en-US" w:eastAsia="zh-CN"/>
        </w:rPr>
        <w:t>和乙方的运营路线，</w:t>
      </w:r>
      <w:r>
        <w:rPr>
          <w:rFonts w:hint="eastAsia" w:ascii="仿宋_GB2312" w:hAnsi="仿宋_GB2312" w:eastAsia="仿宋_GB2312" w:cs="仿宋_GB2312"/>
          <w:color w:val="auto"/>
          <w:sz w:val="32"/>
          <w:szCs w:val="32"/>
          <w:highlight w:val="none"/>
          <w:lang w:val="zh-CN"/>
        </w:rPr>
        <w:t>制定校车接送学生时间表及运行路线图，交由乙方遵照执行（车辆使用期间双方均不得改变车辆运行线路及用途(特殊原因由双方进 一步沟通确定)）。</w:t>
      </w:r>
    </w:p>
    <w:p w14:paraId="0318D387">
      <w:pPr>
        <w:keepNext w:val="0"/>
        <w:keepLines w:val="0"/>
        <w:pageBreakBefore w:val="0"/>
        <w:kinsoku/>
        <w:wordWrap/>
        <w:overflowPunct/>
        <w:topLinePunct w:val="0"/>
        <w:bidi w:val="0"/>
        <w:adjustRightInd w:val="0"/>
        <w:snapToGrid w:val="0"/>
        <w:spacing w:beforeAutospacing="0" w:afterAutospacing="0" w:line="600" w:lineRule="exact"/>
        <w:ind w:firstLine="640" w:firstLineChars="200"/>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val="zh-CN"/>
        </w:rPr>
        <w:t>）甲方提前向乙方提供车辆运行起终站点及中途站点位置，确保车辆安全运行停靠。</w:t>
      </w:r>
    </w:p>
    <w:p w14:paraId="0A68C191">
      <w:pPr>
        <w:keepNext w:val="0"/>
        <w:keepLines w:val="0"/>
        <w:pageBreakBefore w:val="0"/>
        <w:kinsoku/>
        <w:wordWrap/>
        <w:overflowPunct/>
        <w:topLinePunct w:val="0"/>
        <w:bidi w:val="0"/>
        <w:adjustRightInd w:val="0"/>
        <w:snapToGrid w:val="0"/>
        <w:spacing w:beforeAutospacing="0" w:afterAutospacing="0" w:line="600" w:lineRule="exact"/>
        <w:ind w:firstLine="640" w:firstLineChars="200"/>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lang w:val="zh-CN"/>
        </w:rPr>
        <w:t>）甲方的学校应配合乙方提前告知学生及家长保管好自身财务，严禁携带“易燃、易爆、危险品”乘车，配合照管员告知并按照要求系好安全带(乘车 中严禁将头、手、物品伸出窗外)。</w:t>
      </w:r>
    </w:p>
    <w:p w14:paraId="16B74BE5">
      <w:pPr>
        <w:keepNext w:val="0"/>
        <w:keepLines w:val="0"/>
        <w:pageBreakBefore w:val="0"/>
        <w:kinsoku/>
        <w:wordWrap/>
        <w:overflowPunct/>
        <w:topLinePunct w:val="0"/>
        <w:bidi w:val="0"/>
        <w:adjustRightInd w:val="0"/>
        <w:snapToGrid w:val="0"/>
        <w:spacing w:beforeAutospacing="0" w:afterAutospacing="0" w:line="600" w:lineRule="exact"/>
        <w:ind w:firstLine="640" w:firstLineChars="200"/>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2、乙方的权利和义务：</w:t>
      </w:r>
    </w:p>
    <w:p w14:paraId="3F8DABAD">
      <w:pPr>
        <w:keepNext w:val="0"/>
        <w:keepLines w:val="0"/>
        <w:pageBreakBefore w:val="0"/>
        <w:kinsoku/>
        <w:wordWrap/>
        <w:overflowPunct/>
        <w:topLinePunct w:val="0"/>
        <w:bidi w:val="0"/>
        <w:adjustRightInd w:val="0"/>
        <w:snapToGrid w:val="0"/>
        <w:spacing w:beforeAutospacing="0" w:afterAutospacing="0" w:line="600" w:lineRule="exact"/>
        <w:ind w:firstLine="640" w:firstLineChars="200"/>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zh-CN"/>
        </w:rPr>
        <w:t>（1）</w:t>
      </w:r>
      <w:r>
        <w:rPr>
          <w:rFonts w:hint="eastAsia" w:ascii="仿宋_GB2312" w:hAnsi="仿宋_GB2312" w:eastAsia="仿宋_GB2312" w:cs="仿宋_GB2312"/>
          <w:b w:val="0"/>
          <w:bCs w:val="0"/>
          <w:color w:val="auto"/>
          <w:sz w:val="32"/>
          <w:szCs w:val="32"/>
          <w:highlight w:val="none"/>
          <w:lang w:val="en-US" w:eastAsia="zh-CN"/>
        </w:rPr>
        <w:t>乙方提供的车辆必须保证质量可靠，手续齐全，应全面满足招标文件的要求，所供车辆质量应严格按照《校车安全管理条例》(国务院令第617号)规范标准执行，鼓励清洁能源车参与运营，如发生质量问题由乙方承担全部责任。</w:t>
      </w:r>
    </w:p>
    <w:p w14:paraId="53C8C941">
      <w:pPr>
        <w:keepNext w:val="0"/>
        <w:keepLines w:val="0"/>
        <w:pageBreakBefore w:val="0"/>
        <w:kinsoku/>
        <w:wordWrap/>
        <w:overflowPunct/>
        <w:topLinePunct w:val="0"/>
        <w:bidi w:val="0"/>
        <w:adjustRightInd w:val="0"/>
        <w:snapToGrid w:val="0"/>
        <w:spacing w:beforeAutospacing="0" w:afterAutospacing="0" w:line="600" w:lineRule="exact"/>
        <w:ind w:firstLine="640" w:firstLineChars="200"/>
        <w:rPr>
          <w:rFonts w:hint="eastAsia" w:ascii="仿宋_GB2312" w:hAnsi="仿宋_GB2312" w:eastAsia="仿宋_GB2312" w:cs="仿宋_GB2312"/>
          <w:b/>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b w:val="0"/>
          <w:bCs/>
          <w:color w:val="auto"/>
          <w:sz w:val="32"/>
          <w:szCs w:val="32"/>
          <w:highlight w:val="none"/>
          <w:lang w:val="en-US" w:eastAsia="zh-CN"/>
        </w:rPr>
        <w:t>乙方要建立健全校车安全管理制度，配备安全管理人员，加强校车的安全维护，定期对校车驾驶人进行安全教育，组织校车驾驶人学习道路交通安全 法律法规及安全防范、应急处置和应急救援知识，保障学生乘车安全</w:t>
      </w:r>
      <w:r>
        <w:rPr>
          <w:rFonts w:hint="eastAsia" w:ascii="仿宋_GB2312" w:hAnsi="仿宋_GB2312" w:eastAsia="仿宋_GB2312" w:cs="仿宋_GB2312"/>
          <w:b/>
          <w:color w:val="auto"/>
          <w:sz w:val="32"/>
          <w:szCs w:val="32"/>
          <w:highlight w:val="none"/>
          <w:lang w:val="en-US" w:eastAsia="zh-CN"/>
        </w:rPr>
        <w:t>。</w:t>
      </w:r>
    </w:p>
    <w:p w14:paraId="50661207">
      <w:pPr>
        <w:keepNext w:val="0"/>
        <w:keepLines w:val="0"/>
        <w:pageBreakBefore w:val="0"/>
        <w:kinsoku/>
        <w:wordWrap/>
        <w:overflowPunct/>
        <w:topLinePunct w:val="0"/>
        <w:bidi w:val="0"/>
        <w:adjustRightInd w:val="0"/>
        <w:snapToGrid w:val="0"/>
        <w:spacing w:beforeAutospacing="0" w:afterAutospacing="0" w:line="600" w:lineRule="exact"/>
        <w:ind w:firstLine="640" w:firstLineChars="200"/>
        <w:rPr>
          <w:rFonts w:hint="eastAsia" w:ascii="仿宋_GB2312" w:hAnsi="仿宋_GB2312" w:eastAsia="仿宋_GB2312" w:cs="仿宋_GB2312"/>
          <w:b/>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b w:val="0"/>
          <w:bCs/>
          <w:color w:val="auto"/>
          <w:sz w:val="32"/>
          <w:szCs w:val="32"/>
          <w:highlight w:val="none"/>
          <w:lang w:val="en-US" w:eastAsia="zh-CN"/>
        </w:rPr>
        <w:t>乙方要配备的校车驾驶人员应当依照《校车安全管理条例》(国务院令第617号)第四章第二十三条规定取得校车驾驶资格，且要经公安机关交通管理部门同意后方能使用，定期对驾驶人员进行交通安全知识培训和身体健康检查，确保驾驶人员身心健康情况下驾驶校车</w:t>
      </w:r>
      <w:r>
        <w:rPr>
          <w:rFonts w:hint="eastAsia" w:ascii="仿宋_GB2312" w:hAnsi="仿宋_GB2312" w:eastAsia="仿宋_GB2312" w:cs="仿宋_GB2312"/>
          <w:b/>
          <w:color w:val="auto"/>
          <w:sz w:val="32"/>
          <w:szCs w:val="32"/>
          <w:highlight w:val="none"/>
          <w:lang w:val="en-US" w:eastAsia="zh-CN"/>
        </w:rPr>
        <w:t>。</w:t>
      </w:r>
    </w:p>
    <w:p w14:paraId="59EFC62C">
      <w:pPr>
        <w:keepNext w:val="0"/>
        <w:keepLines w:val="0"/>
        <w:pageBreakBefore w:val="0"/>
        <w:kinsoku/>
        <w:wordWrap/>
        <w:overflowPunct/>
        <w:topLinePunct w:val="0"/>
        <w:bidi w:val="0"/>
        <w:adjustRightInd w:val="0"/>
        <w:snapToGrid w:val="0"/>
        <w:spacing w:beforeAutospacing="0" w:afterAutospacing="0" w:line="600" w:lineRule="exact"/>
        <w:ind w:firstLine="640" w:firstLineChars="200"/>
        <w:rPr>
          <w:rFonts w:hint="eastAsia" w:ascii="仿宋_GB2312" w:hAnsi="仿宋_GB2312" w:eastAsia="仿宋_GB2312" w:cs="仿宋_GB2312"/>
          <w:b/>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b w:val="0"/>
          <w:bCs/>
          <w:color w:val="auto"/>
          <w:sz w:val="32"/>
          <w:szCs w:val="32"/>
          <w:highlight w:val="none"/>
          <w:lang w:val="en-US" w:eastAsia="zh-CN"/>
        </w:rPr>
        <w:t>乙方在运营之时要负责校车驾驶人员、跟车老师和幼儿的安全， 严禁超员、超速接送学生；在运营过程中不得搭乘除跟车人员和学生外的任何人；驾驶人员在工作期间发生疾病或死亡，甲方不承担任何责任，善后事务处理由乙方协调解决</w:t>
      </w:r>
      <w:r>
        <w:rPr>
          <w:rFonts w:hint="eastAsia" w:ascii="仿宋_GB2312" w:hAnsi="仿宋_GB2312" w:eastAsia="仿宋_GB2312" w:cs="仿宋_GB2312"/>
          <w:b/>
          <w:color w:val="auto"/>
          <w:sz w:val="32"/>
          <w:szCs w:val="32"/>
          <w:highlight w:val="none"/>
          <w:lang w:val="en-US" w:eastAsia="zh-CN"/>
        </w:rPr>
        <w:t>。</w:t>
      </w:r>
    </w:p>
    <w:p w14:paraId="752B3145">
      <w:pPr>
        <w:keepNext w:val="0"/>
        <w:keepLines w:val="0"/>
        <w:pageBreakBefore w:val="0"/>
        <w:kinsoku/>
        <w:wordWrap/>
        <w:overflowPunct/>
        <w:topLinePunct w:val="0"/>
        <w:bidi w:val="0"/>
        <w:adjustRightInd w:val="0"/>
        <w:snapToGrid w:val="0"/>
        <w:spacing w:beforeAutospacing="0" w:afterAutospacing="0" w:line="600" w:lineRule="exact"/>
        <w:ind w:firstLine="640" w:firstLineChars="200"/>
        <w:rPr>
          <w:rFonts w:hint="eastAsia" w:ascii="仿宋_GB2312" w:hAnsi="仿宋_GB2312" w:eastAsia="仿宋_GB2312" w:cs="仿宋_GB2312"/>
          <w:b w:val="0"/>
          <w:bCs/>
          <w:i w:val="0"/>
          <w:iCs w:val="0"/>
          <w:color w:val="auto"/>
          <w:sz w:val="32"/>
          <w:szCs w:val="32"/>
          <w:highlight w:val="none"/>
          <w:lang w:val="en-US" w:eastAsia="zh-CN"/>
        </w:rPr>
      </w:pPr>
      <w:r>
        <w:rPr>
          <w:rFonts w:hint="eastAsia" w:ascii="仿宋_GB2312" w:hAnsi="仿宋_GB2312" w:eastAsia="仿宋_GB2312" w:cs="仿宋_GB2312"/>
          <w:b w:val="0"/>
          <w:bCs/>
          <w:i w:val="0"/>
          <w:iCs w:val="0"/>
          <w:color w:val="auto"/>
          <w:sz w:val="32"/>
          <w:szCs w:val="32"/>
          <w:highlight w:val="none"/>
          <w:lang w:val="en-US" w:eastAsia="zh-CN"/>
        </w:rPr>
        <w:t>（5）乙方在接送学生途中因违法操作，或因车辆存在安全隐患等造成的一 切安全事故由乙方承担全部经济损失和法律责任，甲方不承担任何连带责任。</w:t>
      </w:r>
    </w:p>
    <w:p w14:paraId="1491C056">
      <w:pPr>
        <w:keepNext w:val="0"/>
        <w:keepLines w:val="0"/>
        <w:pageBreakBefore w:val="0"/>
        <w:kinsoku/>
        <w:wordWrap/>
        <w:overflowPunct/>
        <w:topLinePunct w:val="0"/>
        <w:bidi w:val="0"/>
        <w:adjustRightInd w:val="0"/>
        <w:snapToGrid w:val="0"/>
        <w:spacing w:beforeAutospacing="0" w:afterAutospacing="0" w:line="600" w:lineRule="exact"/>
        <w:ind w:firstLine="640" w:firstLineChars="200"/>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（6）乙方配备接送学生车辆要依据甲方学校接送线路，接送车辆要守时， 不得随意更改线路。若要更改校车行驶线路必须同所服务的学校协商同意后方 可实施。</w:t>
      </w:r>
    </w:p>
    <w:p w14:paraId="5DAEFDB5">
      <w:pPr>
        <w:keepNext w:val="0"/>
        <w:keepLines w:val="0"/>
        <w:pageBreakBefore w:val="0"/>
        <w:kinsoku/>
        <w:wordWrap/>
        <w:overflowPunct/>
        <w:topLinePunct w:val="0"/>
        <w:bidi w:val="0"/>
        <w:adjustRightInd w:val="0"/>
        <w:snapToGrid w:val="0"/>
        <w:spacing w:beforeAutospacing="0" w:afterAutospacing="0" w:line="600" w:lineRule="exact"/>
        <w:ind w:firstLine="640" w:firstLineChars="200"/>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（7）乙方拟派的校车照管人员依据国务院《校车安全管理条例》（国务院令第617号）第六章第三十八条、第三十九条的规定配备。</w:t>
      </w:r>
    </w:p>
    <w:p w14:paraId="0242B30C">
      <w:pPr>
        <w:keepNext w:val="0"/>
        <w:keepLines w:val="0"/>
        <w:pageBreakBefore w:val="0"/>
        <w:kinsoku/>
        <w:wordWrap/>
        <w:overflowPunct/>
        <w:topLinePunct w:val="0"/>
        <w:bidi w:val="0"/>
        <w:adjustRightInd w:val="0"/>
        <w:snapToGrid w:val="0"/>
        <w:spacing w:beforeAutospacing="0" w:afterAutospacing="0" w:line="600" w:lineRule="exact"/>
        <w:ind w:firstLine="640" w:firstLineChars="200"/>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8）乙方按照甲方的要求，落实校车“七定”管理模式，即定人（定驾驶员、随车照管人员）、定车（固定班次）、定座位（固定学生座位）、定检（定时对校车进行检测维护）、定线路（固定接送线路）、定时间（固定接送时间）、定检测（每次接学生入校前的体温检测），做到规范服务，不得擅自变更运行时间和路线（遇有交通管制、道路施工以及自然灾害、恶劣气象条件或者重大交通事故等影响通行情形的除外）。</w:t>
      </w:r>
    </w:p>
    <w:p w14:paraId="383DD2F1">
      <w:pPr>
        <w:keepNext w:val="0"/>
        <w:keepLines w:val="0"/>
        <w:pageBreakBefore w:val="0"/>
        <w:kinsoku/>
        <w:wordWrap/>
        <w:overflowPunct/>
        <w:topLinePunct w:val="0"/>
        <w:bidi w:val="0"/>
        <w:adjustRightInd w:val="0"/>
        <w:snapToGrid w:val="0"/>
        <w:spacing w:beforeAutospacing="0" w:afterAutospacing="0" w:line="600" w:lineRule="exact"/>
        <w:ind w:firstLine="640" w:firstLineChars="200"/>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9）乙方应保障服务辖区学生“应坐尽坐”，要全面满足学生乘车需求，要做到“专车专用”，禁止除驾驶人、随车照管人员以外的人员乘坐校车。校车除从事学生上下学的接送服务外，不得从事社会营运和农村短途营运。</w:t>
      </w:r>
    </w:p>
    <w:p w14:paraId="64AA73A6">
      <w:pPr>
        <w:keepNext w:val="0"/>
        <w:keepLines w:val="0"/>
        <w:pageBreakBefore w:val="0"/>
        <w:kinsoku/>
        <w:wordWrap/>
        <w:overflowPunct/>
        <w:topLinePunct w:val="0"/>
        <w:bidi w:val="0"/>
        <w:adjustRightInd w:val="0"/>
        <w:snapToGrid w:val="0"/>
        <w:spacing w:beforeAutospacing="0" w:afterAutospacing="0" w:line="600" w:lineRule="exact"/>
        <w:ind w:firstLine="640" w:firstLineChars="200"/>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（10）乙方应按照校车管理要求给校车安装5G视频定位系统，并进入全县校车视频监管服务平台，与甲方签订校车安全服务协议，与学生家长签订校车乘坐安全协议</w:t>
      </w:r>
    </w:p>
    <w:p w14:paraId="5634B81E">
      <w:pPr>
        <w:keepNext w:val="0"/>
        <w:keepLines w:val="0"/>
        <w:pageBreakBefore w:val="0"/>
        <w:widowControl/>
        <w:kinsoku/>
        <w:wordWrap/>
        <w:overflowPunct/>
        <w:topLinePunct w:val="0"/>
        <w:autoSpaceDE w:val="0"/>
        <w:autoSpaceDN w:val="0"/>
        <w:bidi w:val="0"/>
        <w:snapToGrid w:val="0"/>
        <w:spacing w:beforeAutospacing="0" w:afterAutospacing="0" w:line="600" w:lineRule="exact"/>
        <w:ind w:firstLine="640" w:firstLineChars="200"/>
        <w:textAlignment w:val="bottom"/>
        <w:rPr>
          <w:rFonts w:hint="eastAsia" w:ascii="黑体" w:hAnsi="黑体" w:eastAsia="黑体" w:cs="黑体"/>
          <w:b w:val="0"/>
          <w:bCs/>
          <w:color w:val="auto"/>
          <w:kern w:val="0"/>
          <w:sz w:val="32"/>
          <w:szCs w:val="32"/>
          <w:highlight w:val="none"/>
        </w:rPr>
      </w:pPr>
      <w:r>
        <w:rPr>
          <w:rFonts w:hint="eastAsia" w:ascii="黑体" w:hAnsi="黑体" w:eastAsia="黑体" w:cs="黑体"/>
          <w:b w:val="0"/>
          <w:bCs/>
          <w:color w:val="auto"/>
          <w:kern w:val="0"/>
          <w:sz w:val="32"/>
          <w:szCs w:val="32"/>
          <w:highlight w:val="none"/>
          <w:lang w:val="en-US" w:eastAsia="zh-CN"/>
        </w:rPr>
        <w:t>七</w:t>
      </w:r>
      <w:r>
        <w:rPr>
          <w:rFonts w:hint="eastAsia" w:ascii="黑体" w:hAnsi="黑体" w:eastAsia="黑体" w:cs="黑体"/>
          <w:b w:val="0"/>
          <w:bCs/>
          <w:color w:val="auto"/>
          <w:kern w:val="0"/>
          <w:sz w:val="32"/>
          <w:szCs w:val="32"/>
          <w:highlight w:val="none"/>
          <w:lang w:val="zh-CN"/>
        </w:rPr>
        <w:t>、</w:t>
      </w:r>
      <w:r>
        <w:rPr>
          <w:rFonts w:hint="eastAsia" w:ascii="黑体" w:hAnsi="黑体" w:eastAsia="黑体" w:cs="黑体"/>
          <w:b w:val="0"/>
          <w:bCs/>
          <w:color w:val="auto"/>
          <w:kern w:val="0"/>
          <w:sz w:val="32"/>
          <w:szCs w:val="32"/>
          <w:highlight w:val="none"/>
        </w:rPr>
        <w:t>合同的解除与变更</w:t>
      </w:r>
    </w:p>
    <w:p w14:paraId="476BA274">
      <w:pPr>
        <w:keepNext w:val="0"/>
        <w:keepLines w:val="0"/>
        <w:pageBreakBefore w:val="0"/>
        <w:kinsoku/>
        <w:wordWrap/>
        <w:overflowPunct/>
        <w:topLinePunct w:val="0"/>
        <w:bidi w:val="0"/>
        <w:adjustRightInd w:val="0"/>
        <w:snapToGrid w:val="0"/>
        <w:spacing w:beforeAutospacing="0" w:afterAutospacing="0" w:line="600" w:lineRule="exact"/>
        <w:ind w:firstLine="640" w:firstLineChars="200"/>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1、在协议履行期间，乙方明确表示或者以自己的行为表明不履行、延迟履行主要义务的，甲方有权单方面解除协。乙方违反本协议约定，造成校车安全事故或者导致严重损害后果，则甲方有权解除本协议。</w:t>
      </w:r>
    </w:p>
    <w:p w14:paraId="2B12C2F6">
      <w:pPr>
        <w:keepNext w:val="0"/>
        <w:keepLines w:val="0"/>
        <w:pageBreakBefore w:val="0"/>
        <w:kinsoku/>
        <w:wordWrap/>
        <w:overflowPunct/>
        <w:topLinePunct w:val="0"/>
        <w:bidi w:val="0"/>
        <w:adjustRightInd w:val="0"/>
        <w:snapToGrid w:val="0"/>
        <w:spacing w:beforeAutospacing="0" w:afterAutospacing="0" w:line="600" w:lineRule="exact"/>
        <w:ind w:firstLine="640" w:firstLineChars="200"/>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2、一方违约，另一方要求解除协议的，应当催告对方在合理期限内履行义务，催告履行期限届满后对方仍未履行的，要求解除协议的一方应当通知对方，协议自通知到达对方时解除。</w:t>
      </w:r>
    </w:p>
    <w:p w14:paraId="4AE92127">
      <w:pPr>
        <w:keepNext w:val="0"/>
        <w:keepLines w:val="0"/>
        <w:pageBreakBefore w:val="0"/>
        <w:kinsoku/>
        <w:wordWrap/>
        <w:overflowPunct/>
        <w:topLinePunct w:val="0"/>
        <w:bidi w:val="0"/>
        <w:adjustRightInd w:val="0"/>
        <w:snapToGrid w:val="0"/>
        <w:spacing w:beforeAutospacing="0" w:afterAutospacing="0" w:line="600" w:lineRule="exact"/>
        <w:ind w:firstLine="640" w:firstLineChars="200"/>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3、非甲乙双方的原因致使协议基础丧失的，任何一方均可以提出解除协议。</w:t>
      </w:r>
    </w:p>
    <w:p w14:paraId="425F8F7B">
      <w:pPr>
        <w:keepNext w:val="0"/>
        <w:keepLines w:val="0"/>
        <w:pageBreakBefore w:val="0"/>
        <w:kinsoku/>
        <w:wordWrap/>
        <w:overflowPunct/>
        <w:topLinePunct w:val="0"/>
        <w:bidi w:val="0"/>
        <w:adjustRightInd w:val="0"/>
        <w:snapToGrid w:val="0"/>
        <w:spacing w:beforeAutospacing="0" w:afterAutospacing="0" w:line="600" w:lineRule="exact"/>
        <w:ind w:firstLine="640" w:firstLineChars="200"/>
        <w:rPr>
          <w:rFonts w:hint="eastAsia" w:ascii="仿宋_GB2312" w:hAnsi="仿宋_GB2312" w:eastAsia="仿宋_GB2312" w:cs="仿宋_GB2312"/>
          <w:bCs/>
          <w:color w:val="auto"/>
          <w:sz w:val="32"/>
          <w:szCs w:val="32"/>
          <w:highlight w:val="none"/>
          <w:lang w:val="en-US" w:eastAsia="zh-CN"/>
        </w:rPr>
      </w:pPr>
      <w:r>
        <w:rPr>
          <w:rFonts w:hint="eastAsia" w:ascii="仿宋_GB2312" w:hAnsi="仿宋_GB2312" w:eastAsia="仿宋_GB2312" w:cs="仿宋_GB2312"/>
          <w:bCs/>
          <w:color w:val="auto"/>
          <w:sz w:val="32"/>
          <w:szCs w:val="32"/>
          <w:highlight w:val="none"/>
          <w:lang w:val="en-US" w:eastAsia="zh-CN"/>
        </w:rPr>
        <w:t>4、因出现甲方生源减少或者学校撤并等客观情况，导致无乘坐校车学生或乘车学生人数大幅下降至5 人以下的，双方应在该情况发生之日起15个工作日内就车辆规模缩减及服务费用变更等事宜进行协商，并签订书面补充协议。协商不成的，双方均有权解除本协议。</w:t>
      </w:r>
    </w:p>
    <w:p w14:paraId="3594BA16">
      <w:pPr>
        <w:keepNext w:val="0"/>
        <w:keepLines w:val="0"/>
        <w:pageBreakBefore w:val="0"/>
        <w:widowControl/>
        <w:kinsoku/>
        <w:wordWrap/>
        <w:overflowPunct/>
        <w:topLinePunct w:val="0"/>
        <w:autoSpaceDE w:val="0"/>
        <w:autoSpaceDN w:val="0"/>
        <w:bidi w:val="0"/>
        <w:snapToGrid w:val="0"/>
        <w:spacing w:beforeAutospacing="0" w:afterAutospacing="0" w:line="600" w:lineRule="exact"/>
        <w:ind w:firstLine="640" w:firstLineChars="200"/>
        <w:textAlignment w:val="bottom"/>
        <w:rPr>
          <w:rFonts w:hint="eastAsia" w:ascii="黑体" w:hAnsi="黑体" w:eastAsia="黑体" w:cs="黑体"/>
          <w:b w:val="0"/>
          <w:bCs/>
          <w:color w:val="auto"/>
          <w:kern w:val="0"/>
          <w:sz w:val="32"/>
          <w:szCs w:val="32"/>
          <w:highlight w:val="none"/>
        </w:rPr>
      </w:pPr>
      <w:r>
        <w:rPr>
          <w:rFonts w:hint="eastAsia" w:ascii="黑体" w:hAnsi="黑体" w:eastAsia="黑体" w:cs="黑体"/>
          <w:b w:val="0"/>
          <w:bCs/>
          <w:color w:val="auto"/>
          <w:kern w:val="0"/>
          <w:sz w:val="32"/>
          <w:szCs w:val="32"/>
          <w:highlight w:val="none"/>
          <w:lang w:val="en-US" w:eastAsia="zh-CN"/>
        </w:rPr>
        <w:t>八</w:t>
      </w:r>
      <w:r>
        <w:rPr>
          <w:rFonts w:hint="eastAsia" w:ascii="黑体" w:hAnsi="黑体" w:eastAsia="黑体" w:cs="黑体"/>
          <w:b w:val="0"/>
          <w:bCs/>
          <w:color w:val="auto"/>
          <w:kern w:val="0"/>
          <w:sz w:val="32"/>
          <w:szCs w:val="32"/>
          <w:highlight w:val="none"/>
        </w:rPr>
        <w:t>、违约责任</w:t>
      </w:r>
    </w:p>
    <w:p w14:paraId="5F32B0F9">
      <w:pPr>
        <w:keepNext w:val="0"/>
        <w:keepLines w:val="0"/>
        <w:pageBreakBefore w:val="0"/>
        <w:kinsoku/>
        <w:wordWrap/>
        <w:overflowPunct/>
        <w:topLinePunct w:val="0"/>
        <w:bidi w:val="0"/>
        <w:adjustRightInd w:val="0"/>
        <w:snapToGrid w:val="0"/>
        <w:spacing w:beforeAutospacing="0" w:afterAutospacing="0" w:line="600" w:lineRule="exact"/>
        <w:ind w:firstLine="640" w:firstLineChars="200"/>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1、按《民法典》中的相关条款执行</w:t>
      </w:r>
      <w:r>
        <w:rPr>
          <w:rFonts w:hint="eastAsia" w:ascii="仿宋_GB2312" w:hAnsi="仿宋_GB2312" w:eastAsia="仿宋_GB2312" w:cs="仿宋_GB2312"/>
          <w:bCs/>
          <w:color w:val="auto"/>
          <w:sz w:val="32"/>
          <w:szCs w:val="32"/>
          <w:highlight w:val="none"/>
          <w:lang w:eastAsia="zh-CN"/>
        </w:rPr>
        <w:t>，本合同其他条款有约定的按照约定执行</w:t>
      </w:r>
      <w:r>
        <w:rPr>
          <w:rFonts w:hint="eastAsia" w:ascii="仿宋_GB2312" w:hAnsi="仿宋_GB2312" w:eastAsia="仿宋_GB2312" w:cs="仿宋_GB2312"/>
          <w:bCs/>
          <w:color w:val="auto"/>
          <w:sz w:val="32"/>
          <w:szCs w:val="32"/>
          <w:highlight w:val="none"/>
        </w:rPr>
        <w:t>。</w:t>
      </w:r>
    </w:p>
    <w:p w14:paraId="675CBBB8">
      <w:pPr>
        <w:keepNext w:val="0"/>
        <w:keepLines w:val="0"/>
        <w:pageBreakBefore w:val="0"/>
        <w:kinsoku/>
        <w:wordWrap/>
        <w:overflowPunct/>
        <w:topLinePunct w:val="0"/>
        <w:bidi w:val="0"/>
        <w:adjustRightInd w:val="0"/>
        <w:snapToGrid w:val="0"/>
        <w:spacing w:beforeAutospacing="0" w:afterAutospacing="0" w:line="600" w:lineRule="exact"/>
        <w:ind w:firstLine="640" w:firstLineChars="200"/>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2、双方应严格履行本合同，任何一方违反本合同均应承担违约责任。</w:t>
      </w:r>
    </w:p>
    <w:p w14:paraId="62B2D62F">
      <w:pPr>
        <w:keepNext w:val="0"/>
        <w:keepLines w:val="0"/>
        <w:pageBreakBefore w:val="0"/>
        <w:kinsoku/>
        <w:wordWrap/>
        <w:overflowPunct/>
        <w:topLinePunct w:val="0"/>
        <w:bidi w:val="0"/>
        <w:adjustRightInd w:val="0"/>
        <w:snapToGrid w:val="0"/>
        <w:spacing w:beforeAutospacing="0" w:afterAutospacing="0" w:line="600" w:lineRule="exact"/>
        <w:ind w:firstLine="640" w:firstLineChars="200"/>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3、由于乙方服务质量低劣未达到合同中约定的标准、由于乙方责任导致服务期延误或乙方有其他违反本合同条款行为的，甲方随时享有单方解除本合同的权利，并享有就由于上述原因造成甲方的全部损失(包括但不限于甲方在此之前支付的所有费用)向乙方要求赔偿的权利。</w:t>
      </w:r>
    </w:p>
    <w:p w14:paraId="32085D15">
      <w:pPr>
        <w:keepNext w:val="0"/>
        <w:keepLines w:val="0"/>
        <w:pageBreakBefore w:val="0"/>
        <w:kinsoku/>
        <w:wordWrap/>
        <w:overflowPunct/>
        <w:topLinePunct w:val="0"/>
        <w:bidi w:val="0"/>
        <w:adjustRightInd w:val="0"/>
        <w:snapToGrid w:val="0"/>
        <w:spacing w:beforeAutospacing="0" w:afterAutospacing="0" w:line="600" w:lineRule="exact"/>
        <w:ind w:firstLine="640" w:firstLineChars="200"/>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4、在本合同履行过程中，由于乙方原因导致服务无法进行的，由乙方承担由此为甲方造成的全部损失。</w:t>
      </w:r>
    </w:p>
    <w:p w14:paraId="22D6B399">
      <w:pPr>
        <w:keepNext w:val="0"/>
        <w:keepLines w:val="0"/>
        <w:pageBreakBefore w:val="0"/>
        <w:kinsoku/>
        <w:wordWrap/>
        <w:overflowPunct/>
        <w:topLinePunct w:val="0"/>
        <w:bidi w:val="0"/>
        <w:adjustRightInd w:val="0"/>
        <w:snapToGrid w:val="0"/>
        <w:spacing w:beforeAutospacing="0" w:afterAutospacing="0" w:line="600" w:lineRule="exact"/>
        <w:ind w:firstLine="640" w:firstLineChars="200"/>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5、乙方不履行合同义务的，甲方有权责令乙方立即改正，乙方拒不改正、未按甲方要求改正或已经造成不良社会影响的，每次乙方应承担合同总款项的 5 %的违约金。</w:t>
      </w:r>
    </w:p>
    <w:p w14:paraId="07561489">
      <w:pPr>
        <w:keepNext w:val="0"/>
        <w:keepLines w:val="0"/>
        <w:pageBreakBefore w:val="0"/>
        <w:kinsoku/>
        <w:wordWrap/>
        <w:overflowPunct/>
        <w:topLinePunct w:val="0"/>
        <w:bidi w:val="0"/>
        <w:adjustRightInd w:val="0"/>
        <w:snapToGrid w:val="0"/>
        <w:spacing w:beforeAutospacing="0" w:afterAutospacing="0" w:line="600" w:lineRule="exact"/>
        <w:ind w:firstLine="640" w:firstLineChars="200"/>
        <w:rPr>
          <w:rFonts w:hint="eastAsia" w:ascii="仿宋_GB2312" w:hAnsi="仿宋_GB2312" w:eastAsia="仿宋_GB2312" w:cs="仿宋_GB2312"/>
          <w:bCs/>
          <w:color w:val="E46C0A" w:themeColor="accent6" w:themeShade="BF"/>
          <w:sz w:val="32"/>
          <w:szCs w:val="32"/>
          <w:highlight w:val="none"/>
        </w:rPr>
      </w:pPr>
      <w:r>
        <w:rPr>
          <w:rFonts w:hint="eastAsia" w:ascii="仿宋_GB2312" w:hAnsi="仿宋_GB2312" w:eastAsia="仿宋_GB2312" w:cs="仿宋_GB2312"/>
          <w:bCs/>
          <w:color w:val="auto"/>
          <w:sz w:val="32"/>
          <w:szCs w:val="32"/>
          <w:highlight w:val="none"/>
          <w:lang w:val="en-US" w:eastAsia="zh-CN"/>
        </w:rPr>
        <w:t>6、</w:t>
      </w:r>
      <w:r>
        <w:rPr>
          <w:rFonts w:hint="eastAsia" w:ascii="仿宋_GB2312" w:hAnsi="仿宋_GB2312" w:eastAsia="仿宋_GB2312" w:cs="仿宋_GB2312"/>
          <w:bCs/>
          <w:color w:val="auto"/>
          <w:sz w:val="32"/>
          <w:szCs w:val="32"/>
          <w:highlight w:val="none"/>
          <w:lang w:val="zh-CN"/>
        </w:rPr>
        <w:t>甲方和相关校车监管职能部门有权对乙方校车的规范服务及公司的运营状况等实施监督检查。对于监督过程中和检查过程中存在问题未及时整改或</w:t>
      </w:r>
      <w:r>
        <w:rPr>
          <w:rFonts w:hint="eastAsia" w:ascii="仿宋_GB2312" w:hAnsi="仿宋_GB2312" w:eastAsia="仿宋_GB2312" w:cs="仿宋_GB2312"/>
          <w:bCs/>
          <w:color w:val="auto"/>
          <w:sz w:val="32"/>
          <w:szCs w:val="32"/>
          <w:highlight w:val="none"/>
        </w:rPr>
        <w:t>乙方拒不改正、未按甲方要求改正</w:t>
      </w:r>
      <w:r>
        <w:rPr>
          <w:rFonts w:hint="eastAsia" w:ascii="仿宋_GB2312" w:hAnsi="仿宋_GB2312" w:eastAsia="仿宋_GB2312" w:cs="仿宋_GB2312"/>
          <w:bCs/>
          <w:color w:val="auto"/>
          <w:sz w:val="32"/>
          <w:szCs w:val="32"/>
          <w:highlight w:val="none"/>
          <w:lang w:val="en-US" w:eastAsia="zh-CN"/>
        </w:rPr>
        <w:t>的，</w:t>
      </w:r>
      <w:r>
        <w:rPr>
          <w:rFonts w:hint="eastAsia" w:ascii="仿宋_GB2312" w:hAnsi="仿宋_GB2312" w:eastAsia="仿宋_GB2312" w:cs="仿宋_GB2312"/>
          <w:bCs/>
          <w:color w:val="auto"/>
          <w:sz w:val="32"/>
          <w:szCs w:val="32"/>
          <w:highlight w:val="none"/>
        </w:rPr>
        <w:t>每次乙方应承担</w:t>
      </w:r>
      <w:r>
        <w:rPr>
          <w:rFonts w:hint="eastAsia" w:ascii="仿宋_GB2312" w:hAnsi="仿宋_GB2312" w:eastAsia="仿宋_GB2312" w:cs="仿宋_GB2312"/>
          <w:bCs/>
          <w:color w:val="auto"/>
          <w:sz w:val="32"/>
          <w:szCs w:val="32"/>
          <w:highlight w:val="none"/>
          <w:lang w:val="en-US" w:eastAsia="zh-CN"/>
        </w:rPr>
        <w:t>其与淳化县教育局所签订</w:t>
      </w:r>
      <w:r>
        <w:rPr>
          <w:rFonts w:hint="eastAsia" w:ascii="仿宋_GB2312" w:hAnsi="仿宋_GB2312" w:eastAsia="仿宋_GB2312" w:cs="仿宋_GB2312"/>
          <w:bCs/>
          <w:color w:val="auto"/>
          <w:sz w:val="32"/>
          <w:szCs w:val="32"/>
          <w:highlight w:val="none"/>
        </w:rPr>
        <w:t>合同总款项的</w:t>
      </w:r>
      <w:r>
        <w:rPr>
          <w:rFonts w:hint="eastAsia" w:ascii="仿宋_GB2312" w:hAnsi="仿宋_GB2312" w:eastAsia="仿宋_GB2312" w:cs="仿宋_GB2312"/>
          <w:bCs/>
          <w:color w:val="auto"/>
          <w:sz w:val="32"/>
          <w:szCs w:val="32"/>
          <w:highlight w:val="none"/>
          <w:lang w:val="en-US" w:eastAsia="zh-CN"/>
        </w:rPr>
        <w:t>1%</w:t>
      </w:r>
      <w:r>
        <w:rPr>
          <w:rFonts w:hint="eastAsia" w:ascii="仿宋_GB2312" w:hAnsi="仿宋_GB2312" w:eastAsia="仿宋_GB2312" w:cs="仿宋_GB2312"/>
          <w:bCs/>
          <w:color w:val="auto"/>
          <w:sz w:val="32"/>
          <w:szCs w:val="32"/>
          <w:highlight w:val="none"/>
        </w:rPr>
        <w:t>的违约金。</w:t>
      </w:r>
    </w:p>
    <w:p w14:paraId="5ACB3A8B">
      <w:pPr>
        <w:keepNext w:val="0"/>
        <w:keepLines w:val="0"/>
        <w:pageBreakBefore w:val="0"/>
        <w:kinsoku/>
        <w:wordWrap/>
        <w:overflowPunct/>
        <w:topLinePunct w:val="0"/>
        <w:bidi w:val="0"/>
        <w:adjustRightInd w:val="0"/>
        <w:snapToGrid w:val="0"/>
        <w:spacing w:beforeAutospacing="0" w:afterAutospacing="0" w:line="600" w:lineRule="exact"/>
        <w:ind w:firstLine="640" w:firstLineChars="200"/>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lang w:val="en-US" w:eastAsia="zh-CN"/>
        </w:rPr>
        <w:t>7、</w:t>
      </w:r>
      <w:r>
        <w:rPr>
          <w:rFonts w:hint="eastAsia" w:ascii="仿宋_GB2312" w:hAnsi="仿宋_GB2312" w:eastAsia="仿宋_GB2312" w:cs="仿宋_GB2312"/>
          <w:bCs/>
          <w:color w:val="auto"/>
          <w:sz w:val="32"/>
          <w:szCs w:val="32"/>
          <w:highlight w:val="none"/>
        </w:rPr>
        <w:t>乙方擅自将合同项目的全部或部分转让委托给第三方，甲方有权解除合同，乙方应立即返还所有甲方支付的费用，并支付违约金，违约金为合同总款项的20%。</w:t>
      </w:r>
    </w:p>
    <w:p w14:paraId="6A8DEC24">
      <w:pPr>
        <w:keepNext w:val="0"/>
        <w:keepLines w:val="0"/>
        <w:pageBreakBefore w:val="0"/>
        <w:kinsoku/>
        <w:wordWrap/>
        <w:overflowPunct/>
        <w:topLinePunct w:val="0"/>
        <w:bidi w:val="0"/>
        <w:adjustRightInd w:val="0"/>
        <w:snapToGrid w:val="0"/>
        <w:spacing w:beforeAutospacing="0" w:afterAutospacing="0" w:line="6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8</w:t>
      </w:r>
      <w:r>
        <w:rPr>
          <w:rFonts w:hint="eastAsia" w:ascii="仿宋_GB2312" w:hAnsi="仿宋_GB2312" w:eastAsia="仿宋_GB2312" w:cs="仿宋_GB2312"/>
          <w:color w:val="auto"/>
          <w:sz w:val="32"/>
          <w:szCs w:val="32"/>
          <w:highlight w:val="none"/>
        </w:rPr>
        <w:t>、乙方承担的违约金不足以赔偿甲方实际损失的，甲方有权要求乙方将损失差额部分补齐。</w:t>
      </w:r>
    </w:p>
    <w:p w14:paraId="34FCAAFB">
      <w:pPr>
        <w:keepNext w:val="0"/>
        <w:keepLines w:val="0"/>
        <w:pageBreakBefore w:val="0"/>
        <w:kinsoku/>
        <w:wordWrap/>
        <w:overflowPunct/>
        <w:topLinePunct w:val="0"/>
        <w:bidi w:val="0"/>
        <w:adjustRightInd w:val="0"/>
        <w:snapToGrid w:val="0"/>
        <w:spacing w:beforeAutospacing="0" w:afterAutospacing="0" w:line="600" w:lineRule="exact"/>
        <w:ind w:firstLine="640" w:firstLineChars="200"/>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lang w:val="en-US" w:eastAsia="zh-CN"/>
        </w:rPr>
        <w:t>9</w:t>
      </w:r>
      <w:r>
        <w:rPr>
          <w:rFonts w:hint="eastAsia" w:ascii="仿宋_GB2312" w:hAnsi="仿宋_GB2312" w:eastAsia="仿宋_GB2312" w:cs="仿宋_GB2312"/>
          <w:bCs/>
          <w:color w:val="auto"/>
          <w:sz w:val="32"/>
          <w:szCs w:val="32"/>
          <w:highlight w:val="none"/>
        </w:rPr>
        <w:t>、违约方承担守约方维权支出的费用，包括律师代理费。</w:t>
      </w:r>
    </w:p>
    <w:p w14:paraId="20D4EE58">
      <w:pPr>
        <w:keepNext w:val="0"/>
        <w:keepLines w:val="0"/>
        <w:pageBreakBefore w:val="0"/>
        <w:widowControl/>
        <w:kinsoku/>
        <w:wordWrap/>
        <w:overflowPunct/>
        <w:topLinePunct w:val="0"/>
        <w:autoSpaceDE w:val="0"/>
        <w:autoSpaceDN w:val="0"/>
        <w:bidi w:val="0"/>
        <w:snapToGrid w:val="0"/>
        <w:spacing w:beforeAutospacing="0" w:afterAutospacing="0" w:line="600" w:lineRule="exact"/>
        <w:ind w:firstLine="640" w:firstLineChars="200"/>
        <w:textAlignment w:val="bottom"/>
        <w:rPr>
          <w:rFonts w:hint="eastAsia" w:ascii="黑体" w:hAnsi="黑体" w:eastAsia="黑体" w:cs="黑体"/>
          <w:b w:val="0"/>
          <w:bCs/>
          <w:color w:val="auto"/>
          <w:kern w:val="0"/>
          <w:sz w:val="32"/>
          <w:szCs w:val="32"/>
          <w:highlight w:val="none"/>
        </w:rPr>
      </w:pPr>
      <w:r>
        <w:rPr>
          <w:rFonts w:hint="eastAsia" w:ascii="黑体" w:hAnsi="黑体" w:eastAsia="黑体" w:cs="黑体"/>
          <w:b w:val="0"/>
          <w:bCs/>
          <w:color w:val="auto"/>
          <w:kern w:val="0"/>
          <w:sz w:val="32"/>
          <w:szCs w:val="32"/>
          <w:highlight w:val="none"/>
          <w:lang w:val="en-US" w:eastAsia="zh-CN"/>
        </w:rPr>
        <w:t>九</w:t>
      </w:r>
      <w:r>
        <w:rPr>
          <w:rFonts w:hint="eastAsia" w:ascii="黑体" w:hAnsi="黑体" w:eastAsia="黑体" w:cs="黑体"/>
          <w:b w:val="0"/>
          <w:bCs/>
          <w:color w:val="auto"/>
          <w:kern w:val="0"/>
          <w:sz w:val="32"/>
          <w:szCs w:val="32"/>
          <w:highlight w:val="none"/>
        </w:rPr>
        <w:t>、争议处理</w:t>
      </w:r>
    </w:p>
    <w:p w14:paraId="1BF8F59E">
      <w:pPr>
        <w:keepNext w:val="0"/>
        <w:keepLines w:val="0"/>
        <w:pageBreakBefore w:val="0"/>
        <w:kinsoku/>
        <w:wordWrap/>
        <w:overflowPunct/>
        <w:topLinePunct w:val="0"/>
        <w:bidi w:val="0"/>
        <w:adjustRightInd w:val="0"/>
        <w:snapToGrid w:val="0"/>
        <w:spacing w:beforeAutospacing="0" w:afterAutospacing="0" w:line="600" w:lineRule="exact"/>
        <w:ind w:firstLine="640" w:firstLineChars="200"/>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双方本着友好合作的态度，对合同履行过程中发生的违约行为进行及时的协商解决，如不能协商解决可通过</w:t>
      </w:r>
      <w:r>
        <w:rPr>
          <w:rFonts w:hint="eastAsia" w:ascii="仿宋_GB2312" w:hAnsi="仿宋_GB2312" w:eastAsia="仿宋_GB2312" w:cs="仿宋_GB2312"/>
          <w:bCs/>
          <w:color w:val="auto"/>
          <w:sz w:val="32"/>
          <w:szCs w:val="32"/>
          <w:highlight w:val="none"/>
          <w:lang w:val="en-US" w:eastAsia="zh-CN"/>
        </w:rPr>
        <w:t>甲方所在地法院诉讼</w:t>
      </w:r>
      <w:r>
        <w:rPr>
          <w:rFonts w:hint="eastAsia" w:ascii="仿宋_GB2312" w:hAnsi="仿宋_GB2312" w:eastAsia="仿宋_GB2312" w:cs="仿宋_GB2312"/>
          <w:bCs/>
          <w:color w:val="auto"/>
          <w:sz w:val="32"/>
          <w:szCs w:val="32"/>
          <w:highlight w:val="none"/>
        </w:rPr>
        <w:t>。</w:t>
      </w:r>
    </w:p>
    <w:p w14:paraId="0F601E17">
      <w:pPr>
        <w:keepNext w:val="0"/>
        <w:keepLines w:val="0"/>
        <w:pageBreakBefore w:val="0"/>
        <w:widowControl/>
        <w:kinsoku/>
        <w:wordWrap/>
        <w:overflowPunct/>
        <w:topLinePunct w:val="0"/>
        <w:autoSpaceDE w:val="0"/>
        <w:autoSpaceDN w:val="0"/>
        <w:bidi w:val="0"/>
        <w:snapToGrid w:val="0"/>
        <w:spacing w:beforeAutospacing="0" w:afterAutospacing="0" w:line="600" w:lineRule="exact"/>
        <w:ind w:firstLine="640" w:firstLineChars="200"/>
        <w:textAlignment w:val="bottom"/>
        <w:rPr>
          <w:rFonts w:hint="eastAsia" w:ascii="黑体" w:hAnsi="黑体" w:eastAsia="黑体" w:cs="黑体"/>
          <w:b w:val="0"/>
          <w:bCs/>
          <w:color w:val="auto"/>
          <w:kern w:val="0"/>
          <w:sz w:val="32"/>
          <w:szCs w:val="32"/>
          <w:highlight w:val="none"/>
        </w:rPr>
      </w:pPr>
      <w:r>
        <w:rPr>
          <w:rFonts w:hint="eastAsia" w:ascii="黑体" w:hAnsi="黑体" w:eastAsia="黑体" w:cs="黑体"/>
          <w:b w:val="0"/>
          <w:bCs/>
          <w:color w:val="auto"/>
          <w:kern w:val="0"/>
          <w:sz w:val="32"/>
          <w:szCs w:val="32"/>
          <w:highlight w:val="none"/>
        </w:rPr>
        <w:t>十、合同组成及附件</w:t>
      </w:r>
    </w:p>
    <w:p w14:paraId="07E9235B">
      <w:pPr>
        <w:keepNext w:val="0"/>
        <w:keepLines w:val="0"/>
        <w:pageBreakBefore w:val="0"/>
        <w:kinsoku/>
        <w:wordWrap/>
        <w:overflowPunct/>
        <w:topLinePunct w:val="0"/>
        <w:bidi w:val="0"/>
        <w:adjustRightInd w:val="0"/>
        <w:snapToGrid w:val="0"/>
        <w:spacing w:beforeAutospacing="0" w:afterAutospacing="0" w:line="6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w:t>
      </w:r>
      <w:r>
        <w:rPr>
          <w:rFonts w:hint="eastAsia" w:ascii="仿宋_GB2312" w:hAnsi="仿宋_GB2312" w:eastAsia="仿宋_GB2312" w:cs="仿宋_GB2312"/>
          <w:color w:val="auto"/>
          <w:sz w:val="32"/>
          <w:szCs w:val="32"/>
          <w:highlight w:val="none"/>
          <w:lang w:val="en-US" w:eastAsia="zh-CN"/>
        </w:rPr>
        <w:t>成交</w:t>
      </w:r>
      <w:r>
        <w:rPr>
          <w:rFonts w:hint="eastAsia" w:ascii="仿宋_GB2312" w:hAnsi="仿宋_GB2312" w:eastAsia="仿宋_GB2312" w:cs="仿宋_GB2312"/>
          <w:color w:val="auto"/>
          <w:sz w:val="32"/>
          <w:szCs w:val="32"/>
          <w:highlight w:val="none"/>
        </w:rPr>
        <w:t>通知书</w:t>
      </w:r>
    </w:p>
    <w:p w14:paraId="70449654">
      <w:pPr>
        <w:keepNext w:val="0"/>
        <w:keepLines w:val="0"/>
        <w:pageBreakBefore w:val="0"/>
        <w:kinsoku/>
        <w:wordWrap/>
        <w:overflowPunct/>
        <w:topLinePunct w:val="0"/>
        <w:bidi w:val="0"/>
        <w:adjustRightInd w:val="0"/>
        <w:snapToGrid w:val="0"/>
        <w:spacing w:beforeAutospacing="0" w:afterAutospacing="0" w:line="6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2、合同文件</w:t>
      </w:r>
    </w:p>
    <w:p w14:paraId="091937F3">
      <w:pPr>
        <w:keepNext w:val="0"/>
        <w:keepLines w:val="0"/>
        <w:pageBreakBefore w:val="0"/>
        <w:kinsoku/>
        <w:wordWrap/>
        <w:overflowPunct/>
        <w:topLinePunct w:val="0"/>
        <w:bidi w:val="0"/>
        <w:adjustRightInd w:val="0"/>
        <w:snapToGrid w:val="0"/>
        <w:spacing w:beforeAutospacing="0" w:afterAutospacing="0" w:line="6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3、国家相关规范及标准</w:t>
      </w:r>
    </w:p>
    <w:p w14:paraId="44A303A0">
      <w:pPr>
        <w:keepNext w:val="0"/>
        <w:keepLines w:val="0"/>
        <w:pageBreakBefore w:val="0"/>
        <w:kinsoku/>
        <w:wordWrap/>
        <w:overflowPunct/>
        <w:topLinePunct w:val="0"/>
        <w:bidi w:val="0"/>
        <w:adjustRightInd w:val="0"/>
        <w:snapToGrid w:val="0"/>
        <w:spacing w:beforeAutospacing="0" w:afterAutospacing="0" w:line="6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4、</w:t>
      </w:r>
      <w:r>
        <w:rPr>
          <w:rFonts w:hint="eastAsia" w:ascii="仿宋_GB2312" w:hAnsi="仿宋_GB2312" w:eastAsia="仿宋_GB2312" w:cs="仿宋_GB2312"/>
          <w:color w:val="auto"/>
          <w:sz w:val="32"/>
          <w:szCs w:val="32"/>
          <w:highlight w:val="none"/>
          <w:lang w:val="en-US" w:eastAsia="zh-CN"/>
        </w:rPr>
        <w:t>竞争性磋商</w:t>
      </w:r>
      <w:r>
        <w:rPr>
          <w:rFonts w:hint="eastAsia" w:ascii="仿宋_GB2312" w:hAnsi="仿宋_GB2312" w:eastAsia="仿宋_GB2312" w:cs="仿宋_GB2312"/>
          <w:color w:val="auto"/>
          <w:sz w:val="32"/>
          <w:szCs w:val="32"/>
          <w:highlight w:val="none"/>
        </w:rPr>
        <w:t>文件</w:t>
      </w:r>
    </w:p>
    <w:p w14:paraId="1B8AB3AC">
      <w:pPr>
        <w:keepNext w:val="0"/>
        <w:keepLines w:val="0"/>
        <w:pageBreakBefore w:val="0"/>
        <w:kinsoku/>
        <w:wordWrap/>
        <w:overflowPunct/>
        <w:topLinePunct w:val="0"/>
        <w:bidi w:val="0"/>
        <w:adjustRightInd w:val="0"/>
        <w:snapToGrid w:val="0"/>
        <w:spacing w:beforeAutospacing="0" w:afterAutospacing="0" w:line="6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5、</w:t>
      </w:r>
      <w:r>
        <w:rPr>
          <w:rFonts w:hint="eastAsia" w:ascii="仿宋_GB2312" w:hAnsi="仿宋_GB2312" w:eastAsia="仿宋_GB2312" w:cs="仿宋_GB2312"/>
          <w:color w:val="auto"/>
          <w:sz w:val="32"/>
          <w:szCs w:val="32"/>
          <w:highlight w:val="none"/>
          <w:lang w:val="en-US" w:eastAsia="zh-CN"/>
        </w:rPr>
        <w:t>响应</w:t>
      </w:r>
      <w:r>
        <w:rPr>
          <w:rFonts w:hint="eastAsia" w:ascii="仿宋_GB2312" w:hAnsi="仿宋_GB2312" w:eastAsia="仿宋_GB2312" w:cs="仿宋_GB2312"/>
          <w:color w:val="auto"/>
          <w:sz w:val="32"/>
          <w:szCs w:val="32"/>
          <w:highlight w:val="none"/>
        </w:rPr>
        <w:t>文件</w:t>
      </w:r>
    </w:p>
    <w:p w14:paraId="73C0AC6C">
      <w:pPr>
        <w:keepNext w:val="0"/>
        <w:keepLines w:val="0"/>
        <w:pageBreakBefore w:val="0"/>
        <w:kinsoku/>
        <w:wordWrap/>
        <w:overflowPunct/>
        <w:topLinePunct w:val="0"/>
        <w:bidi w:val="0"/>
        <w:adjustRightInd w:val="0"/>
        <w:snapToGrid w:val="0"/>
        <w:spacing w:beforeAutospacing="0" w:afterAutospacing="0" w:line="6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6、</w:t>
      </w:r>
      <w:r>
        <w:rPr>
          <w:rFonts w:hint="eastAsia" w:ascii="仿宋_GB2312" w:hAnsi="仿宋_GB2312" w:eastAsia="仿宋_GB2312" w:cs="仿宋_GB2312"/>
          <w:color w:val="auto"/>
          <w:sz w:val="32"/>
          <w:szCs w:val="32"/>
          <w:highlight w:val="none"/>
          <w:lang w:val="en-US" w:eastAsia="zh-CN"/>
        </w:rPr>
        <w:t>考核</w:t>
      </w:r>
      <w:r>
        <w:rPr>
          <w:rFonts w:hint="eastAsia" w:ascii="仿宋_GB2312" w:hAnsi="仿宋_GB2312" w:eastAsia="仿宋_GB2312" w:cs="仿宋_GB2312"/>
          <w:color w:val="auto"/>
          <w:sz w:val="32"/>
          <w:szCs w:val="32"/>
          <w:highlight w:val="none"/>
        </w:rPr>
        <w:t>办法及附件</w:t>
      </w:r>
    </w:p>
    <w:p w14:paraId="763919C6">
      <w:pPr>
        <w:keepNext w:val="0"/>
        <w:keepLines w:val="0"/>
        <w:pageBreakBefore w:val="0"/>
        <w:widowControl/>
        <w:kinsoku/>
        <w:wordWrap/>
        <w:overflowPunct/>
        <w:topLinePunct w:val="0"/>
        <w:autoSpaceDE w:val="0"/>
        <w:autoSpaceDN w:val="0"/>
        <w:bidi w:val="0"/>
        <w:snapToGrid w:val="0"/>
        <w:spacing w:beforeAutospacing="0" w:afterAutospacing="0" w:line="600" w:lineRule="exact"/>
        <w:ind w:firstLine="640" w:firstLineChars="200"/>
        <w:textAlignment w:val="bottom"/>
        <w:rPr>
          <w:rFonts w:hint="eastAsia" w:ascii="黑体" w:hAnsi="黑体" w:eastAsia="黑体" w:cs="黑体"/>
          <w:b w:val="0"/>
          <w:bCs/>
          <w:color w:val="auto"/>
          <w:kern w:val="0"/>
          <w:sz w:val="32"/>
          <w:szCs w:val="32"/>
          <w:highlight w:val="none"/>
        </w:rPr>
      </w:pPr>
      <w:r>
        <w:rPr>
          <w:rFonts w:hint="eastAsia" w:ascii="黑体" w:hAnsi="黑体" w:eastAsia="黑体" w:cs="黑体"/>
          <w:b w:val="0"/>
          <w:bCs/>
          <w:color w:val="auto"/>
          <w:kern w:val="0"/>
          <w:sz w:val="32"/>
          <w:szCs w:val="32"/>
          <w:highlight w:val="none"/>
        </w:rPr>
        <w:t>十</w:t>
      </w:r>
      <w:r>
        <w:rPr>
          <w:rFonts w:hint="eastAsia" w:ascii="黑体" w:hAnsi="黑体" w:eastAsia="黑体" w:cs="黑体"/>
          <w:b w:val="0"/>
          <w:bCs/>
          <w:color w:val="auto"/>
          <w:kern w:val="0"/>
          <w:sz w:val="32"/>
          <w:szCs w:val="32"/>
          <w:highlight w:val="none"/>
          <w:lang w:val="en-US" w:eastAsia="zh-CN"/>
        </w:rPr>
        <w:t>一</w:t>
      </w:r>
      <w:r>
        <w:rPr>
          <w:rFonts w:hint="eastAsia" w:ascii="黑体" w:hAnsi="黑体" w:eastAsia="黑体" w:cs="黑体"/>
          <w:b w:val="0"/>
          <w:bCs/>
          <w:color w:val="auto"/>
          <w:kern w:val="0"/>
          <w:sz w:val="32"/>
          <w:szCs w:val="32"/>
          <w:highlight w:val="none"/>
        </w:rPr>
        <w:t>、合同生效及其它</w:t>
      </w:r>
    </w:p>
    <w:p w14:paraId="5E282542">
      <w:pPr>
        <w:keepNext w:val="0"/>
        <w:keepLines w:val="0"/>
        <w:pageBreakBefore w:val="0"/>
        <w:widowControl/>
        <w:kinsoku/>
        <w:wordWrap/>
        <w:overflowPunct/>
        <w:topLinePunct w:val="0"/>
        <w:autoSpaceDE w:val="0"/>
        <w:autoSpaceDN w:val="0"/>
        <w:bidi w:val="0"/>
        <w:snapToGrid w:val="0"/>
        <w:spacing w:beforeAutospacing="0" w:afterAutospacing="0" w:line="600" w:lineRule="exact"/>
        <w:ind w:firstLine="640" w:firstLineChars="200"/>
        <w:textAlignment w:val="bottom"/>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1、合同未尽事宜、由甲、乙双方协商，作为合同补充，与原合同具有同等法律效力。</w:t>
      </w:r>
    </w:p>
    <w:p w14:paraId="0CAE6B7A">
      <w:pPr>
        <w:keepNext w:val="0"/>
        <w:keepLines w:val="0"/>
        <w:pageBreakBefore w:val="0"/>
        <w:widowControl/>
        <w:tabs>
          <w:tab w:val="left" w:pos="8391"/>
        </w:tabs>
        <w:kinsoku/>
        <w:wordWrap/>
        <w:overflowPunct/>
        <w:topLinePunct w:val="0"/>
        <w:autoSpaceDE w:val="0"/>
        <w:autoSpaceDN w:val="0"/>
        <w:bidi w:val="0"/>
        <w:snapToGrid w:val="0"/>
        <w:spacing w:beforeAutospacing="0" w:afterAutospacing="0" w:line="600" w:lineRule="exact"/>
        <w:ind w:firstLine="640" w:firstLineChars="200"/>
        <w:textAlignment w:val="bottom"/>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2、本合同正本一式</w:t>
      </w:r>
      <w:r>
        <w:rPr>
          <w:rFonts w:hint="eastAsia" w:ascii="仿宋_GB2312" w:hAnsi="仿宋_GB2312" w:eastAsia="仿宋_GB2312" w:cs="仿宋_GB2312"/>
          <w:color w:val="auto"/>
          <w:kern w:val="0"/>
          <w:sz w:val="32"/>
          <w:szCs w:val="32"/>
          <w:highlight w:val="none"/>
          <w:u w:val="single"/>
          <w:lang w:val="en-US" w:eastAsia="zh-CN"/>
        </w:rPr>
        <w:t xml:space="preserve">   </w:t>
      </w:r>
      <w:r>
        <w:rPr>
          <w:rFonts w:hint="eastAsia" w:ascii="仿宋_GB2312" w:hAnsi="仿宋_GB2312" w:eastAsia="仿宋_GB2312" w:cs="仿宋_GB2312"/>
          <w:color w:val="auto"/>
          <w:kern w:val="0"/>
          <w:sz w:val="32"/>
          <w:szCs w:val="32"/>
          <w:highlight w:val="none"/>
          <w:u w:val="single"/>
        </w:rPr>
        <w:t xml:space="preserve"> </w:t>
      </w:r>
      <w:r>
        <w:rPr>
          <w:rFonts w:hint="eastAsia" w:ascii="仿宋_GB2312" w:hAnsi="仿宋_GB2312" w:eastAsia="仿宋_GB2312" w:cs="仿宋_GB2312"/>
          <w:color w:val="auto"/>
          <w:kern w:val="0"/>
          <w:sz w:val="32"/>
          <w:szCs w:val="32"/>
          <w:highlight w:val="none"/>
        </w:rPr>
        <w:t>份，甲方、乙方双方分别执</w:t>
      </w:r>
      <w:r>
        <w:rPr>
          <w:rFonts w:hint="eastAsia" w:ascii="仿宋_GB2312" w:hAnsi="仿宋_GB2312" w:eastAsia="仿宋_GB2312" w:cs="仿宋_GB2312"/>
          <w:color w:val="auto"/>
          <w:kern w:val="0"/>
          <w:sz w:val="32"/>
          <w:szCs w:val="32"/>
          <w:highlight w:val="none"/>
          <w:u w:val="single"/>
        </w:rPr>
        <w:t xml:space="preserve"> </w:t>
      </w:r>
      <w:r>
        <w:rPr>
          <w:rFonts w:hint="eastAsia" w:ascii="仿宋_GB2312" w:hAnsi="仿宋_GB2312" w:eastAsia="仿宋_GB2312" w:cs="仿宋_GB2312"/>
          <w:color w:val="auto"/>
          <w:kern w:val="0"/>
          <w:sz w:val="32"/>
          <w:szCs w:val="32"/>
          <w:highlight w:val="none"/>
          <w:u w:val="single"/>
          <w:lang w:val="en-US" w:eastAsia="zh-CN"/>
        </w:rPr>
        <w:t xml:space="preserve">  </w:t>
      </w:r>
      <w:r>
        <w:rPr>
          <w:rFonts w:hint="eastAsia" w:ascii="仿宋_GB2312" w:hAnsi="仿宋_GB2312" w:eastAsia="仿宋_GB2312" w:cs="仿宋_GB2312"/>
          <w:color w:val="auto"/>
          <w:kern w:val="0"/>
          <w:sz w:val="32"/>
          <w:szCs w:val="32"/>
          <w:highlight w:val="none"/>
          <w:u w:val="single"/>
        </w:rPr>
        <w:t xml:space="preserve"> </w:t>
      </w:r>
      <w:r>
        <w:rPr>
          <w:rFonts w:hint="eastAsia" w:ascii="仿宋_GB2312" w:hAnsi="仿宋_GB2312" w:eastAsia="仿宋_GB2312" w:cs="仿宋_GB2312"/>
          <w:color w:val="auto"/>
          <w:kern w:val="0"/>
          <w:sz w:val="32"/>
          <w:szCs w:val="32"/>
          <w:highlight w:val="none"/>
        </w:rPr>
        <w:t>份，副本一式</w:t>
      </w:r>
      <w:r>
        <w:rPr>
          <w:rFonts w:hint="eastAsia" w:ascii="仿宋_GB2312" w:hAnsi="仿宋_GB2312" w:eastAsia="仿宋_GB2312" w:cs="仿宋_GB2312"/>
          <w:color w:val="auto"/>
          <w:kern w:val="0"/>
          <w:sz w:val="32"/>
          <w:szCs w:val="32"/>
          <w:highlight w:val="none"/>
          <w:u w:val="single"/>
        </w:rPr>
        <w:t xml:space="preserve"> </w:t>
      </w:r>
      <w:r>
        <w:rPr>
          <w:rFonts w:hint="eastAsia" w:ascii="仿宋_GB2312" w:hAnsi="仿宋_GB2312" w:eastAsia="仿宋_GB2312" w:cs="仿宋_GB2312"/>
          <w:color w:val="auto"/>
          <w:kern w:val="0"/>
          <w:sz w:val="32"/>
          <w:szCs w:val="32"/>
          <w:highlight w:val="none"/>
          <w:u w:val="single"/>
          <w:lang w:val="en-US" w:eastAsia="zh-CN"/>
        </w:rPr>
        <w:t xml:space="preserve">  </w:t>
      </w:r>
      <w:r>
        <w:rPr>
          <w:rFonts w:hint="eastAsia" w:ascii="仿宋_GB2312" w:hAnsi="仿宋_GB2312" w:eastAsia="仿宋_GB2312" w:cs="仿宋_GB2312"/>
          <w:color w:val="auto"/>
          <w:kern w:val="0"/>
          <w:sz w:val="32"/>
          <w:szCs w:val="32"/>
          <w:highlight w:val="none"/>
          <w:u w:val="single"/>
        </w:rPr>
        <w:t xml:space="preserve"> </w:t>
      </w:r>
      <w:r>
        <w:rPr>
          <w:rFonts w:hint="eastAsia" w:ascii="仿宋_GB2312" w:hAnsi="仿宋_GB2312" w:eastAsia="仿宋_GB2312" w:cs="仿宋_GB2312"/>
          <w:color w:val="auto"/>
          <w:kern w:val="0"/>
          <w:sz w:val="32"/>
          <w:szCs w:val="32"/>
          <w:highlight w:val="none"/>
        </w:rPr>
        <w:t>份，甲方、乙方双方分别执</w:t>
      </w:r>
      <w:r>
        <w:rPr>
          <w:rFonts w:hint="eastAsia" w:ascii="仿宋_GB2312" w:hAnsi="仿宋_GB2312" w:eastAsia="仿宋_GB2312" w:cs="仿宋_GB2312"/>
          <w:color w:val="auto"/>
          <w:kern w:val="0"/>
          <w:sz w:val="32"/>
          <w:szCs w:val="32"/>
          <w:highlight w:val="none"/>
          <w:u w:val="single"/>
        </w:rPr>
        <w:t xml:space="preserve"> </w:t>
      </w:r>
      <w:r>
        <w:rPr>
          <w:rFonts w:hint="eastAsia" w:ascii="仿宋_GB2312" w:hAnsi="仿宋_GB2312" w:eastAsia="仿宋_GB2312" w:cs="仿宋_GB2312"/>
          <w:color w:val="auto"/>
          <w:kern w:val="0"/>
          <w:sz w:val="32"/>
          <w:szCs w:val="32"/>
          <w:highlight w:val="none"/>
          <w:u w:val="single"/>
          <w:lang w:val="en-US" w:eastAsia="zh-CN"/>
        </w:rPr>
        <w:t xml:space="preserve">  </w:t>
      </w:r>
      <w:r>
        <w:rPr>
          <w:rFonts w:hint="eastAsia" w:ascii="仿宋_GB2312" w:hAnsi="仿宋_GB2312" w:eastAsia="仿宋_GB2312" w:cs="仿宋_GB2312"/>
          <w:color w:val="auto"/>
          <w:kern w:val="0"/>
          <w:sz w:val="32"/>
          <w:szCs w:val="32"/>
          <w:highlight w:val="none"/>
          <w:u w:val="single"/>
        </w:rPr>
        <w:t xml:space="preserve"> </w:t>
      </w:r>
      <w:r>
        <w:rPr>
          <w:rFonts w:hint="eastAsia" w:ascii="仿宋_GB2312" w:hAnsi="仿宋_GB2312" w:eastAsia="仿宋_GB2312" w:cs="仿宋_GB2312"/>
          <w:color w:val="auto"/>
          <w:kern w:val="0"/>
          <w:sz w:val="32"/>
          <w:szCs w:val="32"/>
          <w:highlight w:val="none"/>
        </w:rPr>
        <w:t>份。</w:t>
      </w:r>
    </w:p>
    <w:p w14:paraId="7D9A4E7B">
      <w:pPr>
        <w:keepNext w:val="0"/>
        <w:keepLines w:val="0"/>
        <w:pageBreakBefore w:val="0"/>
        <w:widowControl/>
        <w:tabs>
          <w:tab w:val="left" w:pos="8391"/>
        </w:tabs>
        <w:kinsoku/>
        <w:wordWrap/>
        <w:overflowPunct/>
        <w:topLinePunct w:val="0"/>
        <w:autoSpaceDE w:val="0"/>
        <w:autoSpaceDN w:val="0"/>
        <w:bidi w:val="0"/>
        <w:snapToGrid w:val="0"/>
        <w:spacing w:beforeAutospacing="0" w:afterAutospacing="0" w:line="600" w:lineRule="exact"/>
        <w:ind w:firstLine="640" w:firstLineChars="200"/>
        <w:textAlignment w:val="bottom"/>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3、如果本协议的任何条款在任何时候被确定为不合法、无效或不可强制执行时，本协议的其它条款的效力和履行应不受影响。</w:t>
      </w:r>
    </w:p>
    <w:p w14:paraId="00C82BF1">
      <w:pPr>
        <w:keepNext w:val="0"/>
        <w:keepLines w:val="0"/>
        <w:pageBreakBefore w:val="0"/>
        <w:widowControl/>
        <w:tabs>
          <w:tab w:val="left" w:pos="8391"/>
        </w:tabs>
        <w:kinsoku/>
        <w:wordWrap/>
        <w:overflowPunct/>
        <w:topLinePunct w:val="0"/>
        <w:autoSpaceDE w:val="0"/>
        <w:autoSpaceDN w:val="0"/>
        <w:bidi w:val="0"/>
        <w:snapToGrid w:val="0"/>
        <w:spacing w:beforeAutospacing="0" w:afterAutospacing="0" w:line="600" w:lineRule="exact"/>
        <w:ind w:firstLine="640" w:firstLineChars="200"/>
        <w:textAlignment w:val="bottom"/>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4、合同经甲乙双方盖章、签字后生效，合同签订地点为</w:t>
      </w:r>
      <w:r>
        <w:rPr>
          <w:rFonts w:hint="eastAsia" w:ascii="仿宋_GB2312" w:hAnsi="仿宋_GB2312" w:eastAsia="仿宋_GB2312" w:cs="仿宋_GB2312"/>
          <w:color w:val="auto"/>
          <w:kern w:val="0"/>
          <w:sz w:val="32"/>
          <w:szCs w:val="32"/>
          <w:highlight w:val="none"/>
          <w:u w:val="single"/>
        </w:rPr>
        <w:t xml:space="preserve">     </w:t>
      </w:r>
      <w:r>
        <w:rPr>
          <w:rFonts w:hint="eastAsia" w:ascii="仿宋_GB2312" w:hAnsi="仿宋_GB2312" w:eastAsia="仿宋_GB2312" w:cs="仿宋_GB2312"/>
          <w:color w:val="auto"/>
          <w:kern w:val="0"/>
          <w:sz w:val="32"/>
          <w:szCs w:val="32"/>
          <w:highlight w:val="none"/>
        </w:rPr>
        <w:t>。</w:t>
      </w:r>
    </w:p>
    <w:p w14:paraId="3967BF2E">
      <w:pPr>
        <w:keepNext w:val="0"/>
        <w:keepLines w:val="0"/>
        <w:pageBreakBefore w:val="0"/>
        <w:widowControl/>
        <w:tabs>
          <w:tab w:val="left" w:pos="8391"/>
        </w:tabs>
        <w:kinsoku/>
        <w:wordWrap/>
        <w:overflowPunct/>
        <w:topLinePunct w:val="0"/>
        <w:autoSpaceDE w:val="0"/>
        <w:autoSpaceDN w:val="0"/>
        <w:bidi w:val="0"/>
        <w:snapToGrid w:val="0"/>
        <w:spacing w:beforeAutospacing="0" w:afterAutospacing="0" w:line="600" w:lineRule="exact"/>
        <w:ind w:firstLine="640" w:firstLineChars="200"/>
        <w:textAlignment w:val="bottom"/>
        <w:rPr>
          <w:rFonts w:hint="eastAsia" w:ascii="仿宋_GB2312" w:hAnsi="仿宋_GB2312" w:eastAsia="仿宋_GB2312" w:cs="仿宋_GB2312"/>
          <w:color w:val="auto"/>
          <w:kern w:val="0"/>
          <w:sz w:val="32"/>
          <w:szCs w:val="32"/>
          <w:highlight w:val="none"/>
          <w:u w:val="none"/>
          <w:lang w:val="en-US" w:eastAsia="zh-CN"/>
        </w:rPr>
      </w:pPr>
      <w:r>
        <w:rPr>
          <w:rFonts w:hint="eastAsia" w:ascii="仿宋_GB2312" w:hAnsi="仿宋_GB2312" w:eastAsia="仿宋_GB2312" w:cs="仿宋_GB2312"/>
          <w:color w:val="auto"/>
          <w:kern w:val="0"/>
          <w:sz w:val="32"/>
          <w:szCs w:val="32"/>
          <w:highlight w:val="none"/>
        </w:rPr>
        <w:t>5、生效时间：</w:t>
      </w:r>
      <w:r>
        <w:rPr>
          <w:rFonts w:hint="eastAsia" w:ascii="仿宋_GB2312" w:hAnsi="仿宋_GB2312" w:eastAsia="仿宋_GB2312" w:cs="仿宋_GB2312"/>
          <w:color w:val="auto"/>
          <w:kern w:val="0"/>
          <w:sz w:val="32"/>
          <w:szCs w:val="32"/>
          <w:highlight w:val="none"/>
          <w:u w:val="single"/>
        </w:rPr>
        <w:t xml:space="preserve">   </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u w:val="single"/>
        </w:rPr>
        <w:t xml:space="preserve">  </w:t>
      </w:r>
      <w:r>
        <w:rPr>
          <w:rFonts w:hint="eastAsia" w:ascii="仿宋_GB2312" w:hAnsi="仿宋_GB2312" w:eastAsia="仿宋_GB2312" w:cs="仿宋_GB2312"/>
          <w:color w:val="auto"/>
          <w:kern w:val="0"/>
          <w:sz w:val="32"/>
          <w:szCs w:val="32"/>
          <w:highlight w:val="none"/>
        </w:rPr>
        <w:t>月</w:t>
      </w:r>
      <w:r>
        <w:rPr>
          <w:rFonts w:hint="eastAsia" w:ascii="仿宋_GB2312" w:hAnsi="仿宋_GB2312" w:eastAsia="仿宋_GB2312" w:cs="仿宋_GB2312"/>
          <w:color w:val="auto"/>
          <w:kern w:val="0"/>
          <w:sz w:val="32"/>
          <w:szCs w:val="32"/>
          <w:highlight w:val="none"/>
          <w:u w:val="single"/>
        </w:rPr>
        <w:t xml:space="preserve">  </w:t>
      </w:r>
      <w:r>
        <w:rPr>
          <w:rFonts w:hint="eastAsia" w:ascii="仿宋_GB2312" w:hAnsi="仿宋_GB2312" w:eastAsia="仿宋_GB2312" w:cs="仿宋_GB2312"/>
          <w:color w:val="auto"/>
          <w:kern w:val="0"/>
          <w:sz w:val="32"/>
          <w:szCs w:val="32"/>
          <w:highlight w:val="none"/>
          <w:u w:val="none"/>
          <w:lang w:val="en-US" w:eastAsia="zh-CN"/>
        </w:rPr>
        <w:t>日</w:t>
      </w:r>
    </w:p>
    <w:p w14:paraId="56407130">
      <w:pPr>
        <w:pStyle w:val="4"/>
        <w:keepNext w:val="0"/>
        <w:keepLines w:val="0"/>
        <w:pageBreakBefore w:val="0"/>
        <w:kinsoku/>
        <w:wordWrap/>
        <w:overflowPunct/>
        <w:topLinePunct w:val="0"/>
        <w:bidi w:val="0"/>
        <w:spacing w:beforeAutospacing="0" w:afterAutospacing="0" w:line="600" w:lineRule="exact"/>
        <w:rPr>
          <w:rFonts w:hint="eastAsia" w:ascii="仿宋_GB2312" w:hAnsi="仿宋_GB2312" w:eastAsia="仿宋_GB2312" w:cs="仿宋_GB2312"/>
          <w:sz w:val="32"/>
          <w:szCs w:val="32"/>
          <w:highlight w:val="none"/>
        </w:rPr>
      </w:pPr>
      <w:r>
        <w:rPr>
          <w:rFonts w:hint="eastAsia" w:ascii="仿宋_GB2312" w:hAnsi="仿宋_GB2312" w:eastAsia="仿宋_GB2312" w:cs="仿宋_GB2312"/>
          <w:color w:val="auto"/>
          <w:kern w:val="0"/>
          <w:sz w:val="32"/>
          <w:szCs w:val="32"/>
          <w:highlight w:val="none"/>
          <w:u w:val="none"/>
          <w:lang w:val="en-US" w:eastAsia="zh-CN"/>
        </w:rPr>
        <w:t>（以下无正文）</w:t>
      </w:r>
    </w:p>
    <w:tbl>
      <w:tblPr>
        <w:tblStyle w:val="15"/>
        <w:tblW w:w="0" w:type="auto"/>
        <w:jc w:val="center"/>
        <w:tblLayout w:type="fixed"/>
        <w:tblCellMar>
          <w:top w:w="0" w:type="dxa"/>
          <w:left w:w="108" w:type="dxa"/>
          <w:bottom w:w="0" w:type="dxa"/>
          <w:right w:w="108" w:type="dxa"/>
        </w:tblCellMar>
      </w:tblPr>
      <w:tblGrid>
        <w:gridCol w:w="4643"/>
        <w:gridCol w:w="4643"/>
      </w:tblGrid>
      <w:tr w14:paraId="151C7563">
        <w:tblPrEx>
          <w:tblCellMar>
            <w:top w:w="0" w:type="dxa"/>
            <w:left w:w="108" w:type="dxa"/>
            <w:bottom w:w="0" w:type="dxa"/>
            <w:right w:w="108" w:type="dxa"/>
          </w:tblCellMar>
        </w:tblPrEx>
        <w:trPr>
          <w:trHeight w:val="2550" w:hRule="atLeast"/>
          <w:jc w:val="center"/>
        </w:trPr>
        <w:tc>
          <w:tcPr>
            <w:tcW w:w="4643" w:type="dxa"/>
            <w:noWrap w:val="0"/>
            <w:vAlign w:val="top"/>
          </w:tcPr>
          <w:p w14:paraId="381300B3">
            <w:pPr>
              <w:keepNext w:val="0"/>
              <w:keepLines w:val="0"/>
              <w:pageBreakBefore w:val="0"/>
              <w:widowControl/>
              <w:kinsoku/>
              <w:wordWrap/>
              <w:overflowPunct/>
              <w:topLinePunct w:val="0"/>
              <w:autoSpaceDE w:val="0"/>
              <w:autoSpaceDN w:val="0"/>
              <w:bidi w:val="0"/>
              <w:snapToGrid w:val="0"/>
              <w:spacing w:beforeAutospacing="0" w:afterAutospacing="0" w:line="600" w:lineRule="exact"/>
              <w:ind w:firstLine="640" w:firstLineChars="200"/>
              <w:textAlignment w:val="bottom"/>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甲方名称</w:t>
            </w:r>
            <w:r>
              <w:rPr>
                <w:rFonts w:hint="eastAsia" w:ascii="仿宋_GB2312" w:hAnsi="仿宋_GB2312" w:eastAsia="仿宋_GB2312" w:cs="仿宋_GB2312"/>
                <w:color w:val="auto"/>
                <w:spacing w:val="-20"/>
                <w:kern w:val="0"/>
                <w:sz w:val="32"/>
                <w:szCs w:val="32"/>
                <w:highlight w:val="none"/>
              </w:rPr>
              <w:t>（盖章）</w:t>
            </w:r>
            <w:r>
              <w:rPr>
                <w:rFonts w:hint="eastAsia" w:ascii="仿宋_GB2312" w:hAnsi="仿宋_GB2312" w:eastAsia="仿宋_GB2312" w:cs="仿宋_GB2312"/>
                <w:color w:val="auto"/>
                <w:kern w:val="0"/>
                <w:sz w:val="32"/>
                <w:szCs w:val="32"/>
                <w:highlight w:val="none"/>
              </w:rPr>
              <w:t>:</w:t>
            </w:r>
          </w:p>
          <w:p w14:paraId="5095F950">
            <w:pPr>
              <w:keepNext w:val="0"/>
              <w:keepLines w:val="0"/>
              <w:pageBreakBefore w:val="0"/>
              <w:widowControl/>
              <w:kinsoku/>
              <w:wordWrap/>
              <w:overflowPunct/>
              <w:topLinePunct w:val="0"/>
              <w:autoSpaceDE w:val="0"/>
              <w:autoSpaceDN w:val="0"/>
              <w:bidi w:val="0"/>
              <w:snapToGrid w:val="0"/>
              <w:spacing w:beforeAutospacing="0" w:afterAutospacing="0" w:line="600" w:lineRule="exact"/>
              <w:ind w:firstLine="640" w:firstLineChars="200"/>
              <w:textAlignment w:val="bottom"/>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地址：</w:t>
            </w:r>
          </w:p>
          <w:p w14:paraId="513B5368">
            <w:pPr>
              <w:keepNext w:val="0"/>
              <w:keepLines w:val="0"/>
              <w:pageBreakBefore w:val="0"/>
              <w:widowControl/>
              <w:kinsoku/>
              <w:wordWrap/>
              <w:overflowPunct/>
              <w:topLinePunct w:val="0"/>
              <w:autoSpaceDE w:val="0"/>
              <w:autoSpaceDN w:val="0"/>
              <w:bidi w:val="0"/>
              <w:snapToGrid w:val="0"/>
              <w:spacing w:beforeAutospacing="0" w:afterAutospacing="0" w:line="600" w:lineRule="exact"/>
              <w:ind w:firstLine="640" w:firstLineChars="200"/>
              <w:textAlignment w:val="bottom"/>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法定代表人（签字）：</w:t>
            </w:r>
          </w:p>
          <w:p w14:paraId="5EADB577">
            <w:pPr>
              <w:keepNext w:val="0"/>
              <w:keepLines w:val="0"/>
              <w:pageBreakBefore w:val="0"/>
              <w:widowControl/>
              <w:kinsoku/>
              <w:wordWrap/>
              <w:overflowPunct/>
              <w:topLinePunct w:val="0"/>
              <w:autoSpaceDE w:val="0"/>
              <w:autoSpaceDN w:val="0"/>
              <w:bidi w:val="0"/>
              <w:snapToGrid w:val="0"/>
              <w:spacing w:beforeAutospacing="0" w:afterAutospacing="0" w:line="600" w:lineRule="exact"/>
              <w:ind w:firstLine="640" w:firstLineChars="200"/>
              <w:textAlignment w:val="bottom"/>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电话：</w:t>
            </w:r>
          </w:p>
          <w:p w14:paraId="3358F2BB">
            <w:pPr>
              <w:keepNext w:val="0"/>
              <w:keepLines w:val="0"/>
              <w:pageBreakBefore w:val="0"/>
              <w:widowControl/>
              <w:kinsoku/>
              <w:wordWrap/>
              <w:overflowPunct/>
              <w:topLinePunct w:val="0"/>
              <w:autoSpaceDE w:val="0"/>
              <w:autoSpaceDN w:val="0"/>
              <w:bidi w:val="0"/>
              <w:snapToGrid w:val="0"/>
              <w:spacing w:beforeAutospacing="0" w:afterAutospacing="0" w:line="600" w:lineRule="exact"/>
              <w:textAlignment w:val="bottom"/>
              <w:rPr>
                <w:rFonts w:hint="eastAsia" w:ascii="仿宋_GB2312" w:hAnsi="仿宋_GB2312" w:eastAsia="仿宋_GB2312" w:cs="仿宋_GB2312"/>
                <w:color w:val="auto"/>
                <w:kern w:val="0"/>
                <w:sz w:val="32"/>
                <w:szCs w:val="32"/>
                <w:highlight w:val="none"/>
              </w:rPr>
            </w:pPr>
          </w:p>
        </w:tc>
        <w:tc>
          <w:tcPr>
            <w:tcW w:w="4643" w:type="dxa"/>
            <w:noWrap w:val="0"/>
            <w:vAlign w:val="top"/>
          </w:tcPr>
          <w:p w14:paraId="0263DF6B">
            <w:pPr>
              <w:keepNext w:val="0"/>
              <w:keepLines w:val="0"/>
              <w:pageBreakBefore w:val="0"/>
              <w:widowControl/>
              <w:kinsoku/>
              <w:wordWrap/>
              <w:overflowPunct/>
              <w:topLinePunct w:val="0"/>
              <w:autoSpaceDE w:val="0"/>
              <w:autoSpaceDN w:val="0"/>
              <w:bidi w:val="0"/>
              <w:snapToGrid w:val="0"/>
              <w:spacing w:beforeAutospacing="0" w:afterAutospacing="0" w:line="600" w:lineRule="exact"/>
              <w:ind w:firstLine="640" w:firstLineChars="200"/>
              <w:textAlignment w:val="bottom"/>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乙方名称</w:t>
            </w:r>
            <w:r>
              <w:rPr>
                <w:rFonts w:hint="eastAsia" w:ascii="仿宋_GB2312" w:hAnsi="仿宋_GB2312" w:eastAsia="仿宋_GB2312" w:cs="仿宋_GB2312"/>
                <w:color w:val="auto"/>
                <w:spacing w:val="-20"/>
                <w:kern w:val="0"/>
                <w:sz w:val="32"/>
                <w:szCs w:val="32"/>
                <w:highlight w:val="none"/>
              </w:rPr>
              <w:t>（盖章）</w:t>
            </w:r>
            <w:r>
              <w:rPr>
                <w:rFonts w:hint="eastAsia" w:ascii="仿宋_GB2312" w:hAnsi="仿宋_GB2312" w:eastAsia="仿宋_GB2312" w:cs="仿宋_GB2312"/>
                <w:color w:val="auto"/>
                <w:kern w:val="0"/>
                <w:sz w:val="32"/>
                <w:szCs w:val="32"/>
                <w:highlight w:val="none"/>
              </w:rPr>
              <w:t>:</w:t>
            </w:r>
          </w:p>
          <w:p w14:paraId="70DB8400">
            <w:pPr>
              <w:keepNext w:val="0"/>
              <w:keepLines w:val="0"/>
              <w:pageBreakBefore w:val="0"/>
              <w:widowControl/>
              <w:kinsoku/>
              <w:wordWrap/>
              <w:overflowPunct/>
              <w:topLinePunct w:val="0"/>
              <w:autoSpaceDE w:val="0"/>
              <w:autoSpaceDN w:val="0"/>
              <w:bidi w:val="0"/>
              <w:snapToGrid w:val="0"/>
              <w:spacing w:beforeAutospacing="0" w:afterAutospacing="0" w:line="600" w:lineRule="exact"/>
              <w:ind w:firstLine="640" w:firstLineChars="200"/>
              <w:textAlignment w:val="bottom"/>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地址：</w:t>
            </w:r>
          </w:p>
          <w:p w14:paraId="19136B3C">
            <w:pPr>
              <w:keepNext w:val="0"/>
              <w:keepLines w:val="0"/>
              <w:pageBreakBefore w:val="0"/>
              <w:widowControl/>
              <w:kinsoku/>
              <w:wordWrap/>
              <w:overflowPunct/>
              <w:topLinePunct w:val="0"/>
              <w:autoSpaceDE w:val="0"/>
              <w:autoSpaceDN w:val="0"/>
              <w:bidi w:val="0"/>
              <w:snapToGrid w:val="0"/>
              <w:spacing w:beforeAutospacing="0" w:afterAutospacing="0" w:line="600" w:lineRule="exact"/>
              <w:ind w:firstLine="640" w:firstLineChars="200"/>
              <w:textAlignment w:val="bottom"/>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法定代表人（签字）：</w:t>
            </w:r>
          </w:p>
          <w:p w14:paraId="16E5A41F">
            <w:pPr>
              <w:keepNext w:val="0"/>
              <w:keepLines w:val="0"/>
              <w:pageBreakBefore w:val="0"/>
              <w:widowControl/>
              <w:kinsoku/>
              <w:wordWrap/>
              <w:overflowPunct/>
              <w:topLinePunct w:val="0"/>
              <w:autoSpaceDE w:val="0"/>
              <w:autoSpaceDN w:val="0"/>
              <w:bidi w:val="0"/>
              <w:snapToGrid w:val="0"/>
              <w:spacing w:beforeAutospacing="0" w:afterAutospacing="0" w:line="600" w:lineRule="exact"/>
              <w:ind w:firstLine="640" w:firstLineChars="200"/>
              <w:textAlignment w:val="bottom"/>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电话：</w:t>
            </w:r>
          </w:p>
        </w:tc>
      </w:tr>
    </w:tbl>
    <w:p w14:paraId="1DF4033F">
      <w:pPr>
        <w:keepNext w:val="0"/>
        <w:keepLines w:val="0"/>
        <w:pageBreakBefore w:val="0"/>
        <w:kinsoku/>
        <w:wordWrap/>
        <w:overflowPunct/>
        <w:topLinePunct w:val="0"/>
        <w:bidi w:val="0"/>
        <w:spacing w:beforeAutospacing="0" w:afterAutospacing="0" w:line="600" w:lineRule="exact"/>
        <w:rPr>
          <w:rFonts w:hint="eastAsia" w:ascii="仿宋_GB2312" w:hAnsi="仿宋_GB2312" w:eastAsia="仿宋_GB2312" w:cs="仿宋_GB2312"/>
          <w:sz w:val="32"/>
          <w:szCs w:val="32"/>
          <w:highlight w:val="none"/>
        </w:rPr>
      </w:pPr>
    </w:p>
    <w:p w14:paraId="65E8F1D5">
      <w:pPr>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b/>
          <w:color w:val="auto"/>
          <w:sz w:val="32"/>
          <w:szCs w:val="32"/>
          <w:highlight w:val="none"/>
        </w:rPr>
        <w:br w:type="page"/>
      </w:r>
    </w:p>
    <w:p w14:paraId="3E592A1C">
      <w:pPr>
        <w:keepNext w:val="0"/>
        <w:keepLines w:val="0"/>
        <w:pageBreakBefore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b w:val="0"/>
          <w:bCs w:val="0"/>
          <w:sz w:val="40"/>
          <w:szCs w:val="40"/>
          <w:lang w:eastAsia="zh-CN"/>
        </w:rPr>
      </w:pPr>
      <w:r>
        <w:rPr>
          <w:rFonts w:hint="eastAsia" w:ascii="方正小标宋简体" w:hAnsi="方正小标宋简体" w:eastAsia="方正小标宋简体" w:cs="方正小标宋简体"/>
          <w:b w:val="0"/>
          <w:bCs w:val="0"/>
          <w:sz w:val="40"/>
          <w:szCs w:val="40"/>
          <w:lang w:eastAsia="zh-CN"/>
        </w:rPr>
        <w:t>淳化县公办幼儿园校车运营服务工作考核办法</w:t>
      </w:r>
    </w:p>
    <w:p w14:paraId="5335612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right="0" w:firstLine="400" w:firstLineChars="200"/>
        <w:jc w:val="left"/>
        <w:textAlignment w:val="auto"/>
        <w:rPr>
          <w:rFonts w:hint="eastAsia" w:ascii="仿宋" w:hAnsi="仿宋" w:eastAsia="仿宋" w:cs="宋体"/>
          <w:b w:val="0"/>
          <w:bCs w:val="0"/>
          <w:kern w:val="2"/>
          <w:sz w:val="20"/>
          <w:szCs w:val="20"/>
          <w:lang w:val="en-US" w:eastAsia="zh-CN" w:bidi="ar-SA"/>
        </w:rPr>
      </w:pPr>
    </w:p>
    <w:p w14:paraId="7B6EEF8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为规范全县公办幼儿园校车运营服务管理，压实校车服务企业安全主体责任，提升幼儿接送服务质量，消除道路交通安全隐患，保障乘车幼儿人身安全。依据《校车安全管理条例》《陕西省实施 &lt;校车安全管理条例&gt; 办法》《淳化县公办幼儿园购买校车运营服务项目政府采购合同》及校车运营服务公司与各幼儿园签订的校车运营服务协议，结合本县公办幼儿园校车运营实际，制定本考核办法。</w:t>
      </w:r>
    </w:p>
    <w:p w14:paraId="3142850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一、考核对象</w:t>
      </w:r>
    </w:p>
    <w:p w14:paraId="6D0CEDA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为淳化县8所公办幼儿园提供校车接送服务的校车运营服务企业及其所有校车驾驶员、随车照管员。</w:t>
      </w:r>
    </w:p>
    <w:p w14:paraId="3BF6153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二、考核适用范围</w:t>
      </w:r>
    </w:p>
    <w:p w14:paraId="7BAEF1E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校车运营服务质量，详见校车运营服务月度考核细则。</w:t>
      </w:r>
    </w:p>
    <w:p w14:paraId="043943A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三、考核周期</w:t>
      </w:r>
    </w:p>
    <w:p w14:paraId="5C35E48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每月考核一次</w:t>
      </w:r>
    </w:p>
    <w:p w14:paraId="7261825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四、考核程序</w:t>
      </w:r>
    </w:p>
    <w:p w14:paraId="0DA998F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right="0" w:rightChars="0"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各幼儿园依据本办法《校车运营服务月度考核细则》（附件1），结合每日巡查、各监管部门现场检查及视频监控巡查问题反馈逐月打分，形成月度考核台账，并将当月考核打分表、问题整改台账一并报送县教育局职成股备案。</w:t>
      </w:r>
    </w:p>
    <w:p w14:paraId="72C82C7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right="0" w:rightChars="0"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2、淳化县教育局职成股负责每月各幼儿园考核结果收集、复核、汇总、备案。</w:t>
      </w:r>
    </w:p>
    <w:p w14:paraId="7E35F61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五、考核结果的运用</w:t>
      </w:r>
    </w:p>
    <w:p w14:paraId="1A7ADF8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1、全年月度考核平均分作为年度综合考核成绩。</w:t>
      </w:r>
    </w:p>
    <w:p w14:paraId="3DFBF1D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2、依据各幼儿园月度考核汇总结果办理季度服务费支付。</w:t>
      </w:r>
    </w:p>
    <w:p w14:paraId="320B952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right="0" w:rightChars="0"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3、年度平均分≥85分：满足续签条件，可续签下一年度服务合同；项目服务期限累计不超过三年；</w:t>
      </w:r>
    </w:p>
    <w:p w14:paraId="242FE50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right="0" w:rightChars="0"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4、年度平均分＜85分或年内发生校车安全责任事故，教育局不再续签服务合同。</w:t>
      </w:r>
    </w:p>
    <w:p w14:paraId="1D776A5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5、月度考核存在扣分事项的，教育局和幼儿园向服务方下发书面整改通知书，明确整改时限；逾期未整改、整改复查仍不合格的，每次额外扣除合同总价款1%违约金；拒不整改造成不良影响的，每次扣除合同总价款5%违约金。</w:t>
      </w:r>
    </w:p>
    <w:p w14:paraId="0698F8D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六、考核资料归档</w:t>
      </w:r>
    </w:p>
    <w:p w14:paraId="5A87858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各幼儿园需完整留存每月巡查记录、打分表、整改通知书、影像台账，资料保存期限不少于服务合同期满后2年，教育局定期抽查档案。</w:t>
      </w:r>
    </w:p>
    <w:p w14:paraId="105C394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本考核办法由淳化县教育局负责解释；本办法未尽事宜，参照《淳化县公办幼儿园购买校车运营服务项目政府采购合同》《幼儿园校车运营服务协议》相关条款执行。本办法自印发之日起施行。</w:t>
      </w:r>
    </w:p>
    <w:p w14:paraId="729A22C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jc w:val="left"/>
        <w:textAlignment w:val="auto"/>
        <w:rPr>
          <w:rFonts w:hint="eastAsia" w:ascii="仿宋" w:hAnsi="仿宋" w:eastAsia="仿宋" w:cs="宋体"/>
          <w:b w:val="0"/>
          <w:bCs w:val="0"/>
          <w:kern w:val="2"/>
          <w:sz w:val="20"/>
          <w:szCs w:val="20"/>
          <w:lang w:val="en-US" w:eastAsia="zh-CN" w:bidi="ar-SA"/>
        </w:rPr>
      </w:pPr>
      <w:r>
        <w:rPr>
          <w:rFonts w:hint="eastAsia" w:ascii="仿宋" w:hAnsi="仿宋" w:eastAsia="仿宋" w:cs="宋体"/>
          <w:b w:val="0"/>
          <w:bCs w:val="0"/>
          <w:kern w:val="2"/>
          <w:sz w:val="20"/>
          <w:szCs w:val="20"/>
          <w:lang w:val="en-US" w:eastAsia="zh-CN" w:bidi="ar-SA"/>
        </w:rPr>
        <w:br w:type="page"/>
      </w:r>
    </w:p>
    <w:p w14:paraId="7AE1D02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right="0"/>
        <w:jc w:val="left"/>
        <w:textAlignment w:val="auto"/>
        <w:rPr>
          <w:rFonts w:hint="default" w:ascii="仿宋" w:hAnsi="仿宋" w:eastAsia="仿宋" w:cs="宋体"/>
          <w:b w:val="0"/>
          <w:bCs w:val="0"/>
          <w:kern w:val="2"/>
          <w:sz w:val="32"/>
          <w:szCs w:val="32"/>
          <w:lang w:val="en-US" w:eastAsia="zh-CN" w:bidi="ar-SA"/>
        </w:rPr>
      </w:pPr>
      <w:r>
        <w:rPr>
          <w:rFonts w:hint="eastAsia" w:ascii="仿宋" w:hAnsi="仿宋" w:eastAsia="仿宋" w:cs="宋体"/>
          <w:b w:val="0"/>
          <w:bCs w:val="0"/>
          <w:kern w:val="2"/>
          <w:sz w:val="20"/>
          <w:szCs w:val="20"/>
          <w:lang w:val="en-US" w:eastAsia="zh-CN" w:bidi="ar-SA"/>
        </w:rPr>
        <w:t>附件1：</w:t>
      </w:r>
    </w:p>
    <w:p w14:paraId="6913EDBE">
      <w:pPr>
        <w:spacing w:line="560" w:lineRule="exact"/>
        <w:jc w:val="center"/>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淳化县公办幼儿园校车运营月度考核细则表</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4"/>
        <w:gridCol w:w="1075"/>
        <w:gridCol w:w="3270"/>
        <w:gridCol w:w="2025"/>
        <w:gridCol w:w="1155"/>
      </w:tblGrid>
      <w:tr w14:paraId="0833F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tblHeader/>
        </w:trPr>
        <w:tc>
          <w:tcPr>
            <w:tcW w:w="644" w:type="dxa"/>
            <w:noWrap w:val="0"/>
            <w:vAlign w:val="center"/>
          </w:tcPr>
          <w:p w14:paraId="4BA2FB90">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0"/>
                <w:szCs w:val="20"/>
              </w:rPr>
            </w:pPr>
            <w:r>
              <w:rPr>
                <w:rFonts w:hint="eastAsia" w:ascii="宋体" w:hAnsi="宋体" w:eastAsia="宋体" w:cs="宋体"/>
                <w:color w:val="auto"/>
                <w:sz w:val="20"/>
                <w:szCs w:val="20"/>
              </w:rPr>
              <w:t>序号</w:t>
            </w:r>
          </w:p>
        </w:tc>
        <w:tc>
          <w:tcPr>
            <w:tcW w:w="1075" w:type="dxa"/>
            <w:noWrap w:val="0"/>
            <w:vAlign w:val="center"/>
          </w:tcPr>
          <w:p w14:paraId="20F65333">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0"/>
                <w:szCs w:val="20"/>
              </w:rPr>
            </w:pPr>
            <w:r>
              <w:rPr>
                <w:rFonts w:hint="eastAsia" w:ascii="宋体" w:hAnsi="宋体" w:eastAsia="宋体" w:cs="宋体"/>
                <w:color w:val="auto"/>
                <w:sz w:val="20"/>
                <w:szCs w:val="20"/>
              </w:rPr>
              <w:t>考核内容</w:t>
            </w:r>
          </w:p>
        </w:tc>
        <w:tc>
          <w:tcPr>
            <w:tcW w:w="3270" w:type="dxa"/>
            <w:noWrap w:val="0"/>
            <w:vAlign w:val="center"/>
          </w:tcPr>
          <w:p w14:paraId="66295912">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0"/>
                <w:szCs w:val="20"/>
              </w:rPr>
            </w:pPr>
            <w:r>
              <w:rPr>
                <w:rFonts w:hint="eastAsia" w:ascii="宋体" w:hAnsi="宋体" w:eastAsia="宋体" w:cs="宋体"/>
                <w:color w:val="auto"/>
                <w:sz w:val="20"/>
                <w:szCs w:val="20"/>
              </w:rPr>
              <w:t>考核细则</w:t>
            </w:r>
          </w:p>
        </w:tc>
        <w:tc>
          <w:tcPr>
            <w:tcW w:w="2025" w:type="dxa"/>
            <w:noWrap w:val="0"/>
            <w:vAlign w:val="center"/>
          </w:tcPr>
          <w:p w14:paraId="4D855442">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0"/>
                <w:szCs w:val="20"/>
              </w:rPr>
            </w:pPr>
            <w:r>
              <w:rPr>
                <w:rFonts w:hint="eastAsia" w:ascii="宋体" w:hAnsi="宋体" w:eastAsia="宋体" w:cs="宋体"/>
                <w:color w:val="auto"/>
                <w:sz w:val="20"/>
                <w:szCs w:val="20"/>
              </w:rPr>
              <w:t>评分标准</w:t>
            </w:r>
          </w:p>
        </w:tc>
        <w:tc>
          <w:tcPr>
            <w:tcW w:w="1155" w:type="dxa"/>
            <w:noWrap w:val="0"/>
            <w:vAlign w:val="center"/>
          </w:tcPr>
          <w:p w14:paraId="21345353">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备注</w:t>
            </w:r>
          </w:p>
        </w:tc>
      </w:tr>
      <w:tr w14:paraId="2A0FB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4" w:type="dxa"/>
            <w:vMerge w:val="restart"/>
            <w:noWrap w:val="0"/>
            <w:vAlign w:val="center"/>
          </w:tcPr>
          <w:p w14:paraId="40E0C7B6">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0"/>
                <w:szCs w:val="20"/>
              </w:rPr>
            </w:pPr>
            <w:r>
              <w:rPr>
                <w:rFonts w:hint="eastAsia" w:ascii="宋体" w:hAnsi="宋体" w:eastAsia="宋体" w:cs="宋体"/>
                <w:color w:val="auto"/>
                <w:sz w:val="20"/>
                <w:szCs w:val="20"/>
              </w:rPr>
              <w:t>1</w:t>
            </w:r>
          </w:p>
        </w:tc>
        <w:tc>
          <w:tcPr>
            <w:tcW w:w="1075" w:type="dxa"/>
            <w:vMerge w:val="restart"/>
            <w:noWrap w:val="0"/>
            <w:vAlign w:val="center"/>
          </w:tcPr>
          <w:p w14:paraId="31D5ED28">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车辆</w:t>
            </w:r>
            <w:r>
              <w:rPr>
                <w:rFonts w:hint="eastAsia" w:ascii="宋体" w:hAnsi="宋体" w:eastAsia="宋体" w:cs="宋体"/>
                <w:color w:val="auto"/>
                <w:sz w:val="20"/>
                <w:szCs w:val="20"/>
              </w:rPr>
              <w:t>管理</w:t>
            </w:r>
            <w:r>
              <w:rPr>
                <w:rFonts w:hint="eastAsia" w:ascii="宋体" w:hAnsi="宋体" w:eastAsia="宋体" w:cs="宋体"/>
                <w:color w:val="auto"/>
                <w:sz w:val="20"/>
                <w:szCs w:val="20"/>
                <w:lang w:eastAsia="zh-CN"/>
              </w:rPr>
              <w:t>（</w:t>
            </w:r>
            <w:r>
              <w:rPr>
                <w:rFonts w:hint="eastAsia" w:ascii="宋体" w:hAnsi="宋体" w:eastAsia="宋体" w:cs="宋体"/>
                <w:color w:val="auto"/>
                <w:sz w:val="20"/>
                <w:szCs w:val="20"/>
                <w:lang w:val="en-US" w:eastAsia="zh-CN"/>
              </w:rPr>
              <w:t>20分）</w:t>
            </w:r>
          </w:p>
        </w:tc>
        <w:tc>
          <w:tcPr>
            <w:tcW w:w="3270" w:type="dxa"/>
            <w:noWrap w:val="0"/>
            <w:vAlign w:val="center"/>
          </w:tcPr>
          <w:p w14:paraId="0F4EDFA8">
            <w:pPr>
              <w:keepNext w:val="0"/>
              <w:keepLines w:val="0"/>
              <w:pageBreakBefore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0"/>
                <w:szCs w:val="20"/>
                <w:lang w:val="en-US"/>
              </w:rPr>
            </w:pPr>
            <w:r>
              <w:rPr>
                <w:rFonts w:hint="eastAsia" w:ascii="宋体" w:hAnsi="宋体" w:eastAsia="宋体" w:cs="宋体"/>
                <w:color w:val="auto"/>
                <w:sz w:val="20"/>
                <w:szCs w:val="20"/>
              </w:rPr>
              <w:t>1、</w:t>
            </w:r>
            <w:r>
              <w:rPr>
                <w:rFonts w:hint="eastAsia" w:ascii="宋体" w:hAnsi="宋体" w:eastAsia="宋体" w:cs="宋体"/>
                <w:color w:val="auto"/>
                <w:sz w:val="20"/>
                <w:szCs w:val="20"/>
                <w:lang w:val="en-US" w:eastAsia="zh-CN"/>
              </w:rPr>
              <w:t>每日出车前未落实安全例检，安全锤、灭火器、急救箱物品、安全带破损、缺失、过期等</w:t>
            </w:r>
          </w:p>
        </w:tc>
        <w:tc>
          <w:tcPr>
            <w:tcW w:w="2025" w:type="dxa"/>
            <w:noWrap w:val="0"/>
            <w:vAlign w:val="center"/>
          </w:tcPr>
          <w:p w14:paraId="35563F92">
            <w:pPr>
              <w:keepNext w:val="0"/>
              <w:keepLines w:val="0"/>
              <w:pageBreakBefore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0"/>
                <w:szCs w:val="20"/>
              </w:rPr>
            </w:pPr>
            <w:r>
              <w:rPr>
                <w:rFonts w:hint="eastAsia" w:ascii="宋体" w:hAnsi="宋体" w:eastAsia="宋体" w:cs="宋体"/>
                <w:color w:val="auto"/>
                <w:sz w:val="20"/>
                <w:szCs w:val="20"/>
              </w:rPr>
              <w:t>发现一次扣</w:t>
            </w:r>
            <w:r>
              <w:rPr>
                <w:rFonts w:hint="eastAsia" w:ascii="宋体" w:hAnsi="宋体" w:eastAsia="宋体" w:cs="宋体"/>
                <w:color w:val="auto"/>
                <w:sz w:val="20"/>
                <w:szCs w:val="20"/>
                <w:lang w:val="en-US" w:eastAsia="zh-CN"/>
              </w:rPr>
              <w:t>1</w:t>
            </w:r>
            <w:r>
              <w:rPr>
                <w:rFonts w:hint="eastAsia" w:ascii="宋体" w:hAnsi="宋体" w:eastAsia="宋体" w:cs="宋体"/>
                <w:color w:val="auto"/>
                <w:sz w:val="20"/>
                <w:szCs w:val="20"/>
              </w:rPr>
              <w:t>分</w:t>
            </w:r>
          </w:p>
        </w:tc>
        <w:tc>
          <w:tcPr>
            <w:tcW w:w="1155" w:type="dxa"/>
            <w:noWrap w:val="0"/>
            <w:vAlign w:val="center"/>
          </w:tcPr>
          <w:p w14:paraId="2F4A17F7">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0"/>
                <w:szCs w:val="20"/>
                <w:lang w:val="en-US" w:eastAsia="zh-CN"/>
              </w:rPr>
            </w:pPr>
          </w:p>
        </w:tc>
      </w:tr>
      <w:tr w14:paraId="04A60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4" w:type="dxa"/>
            <w:vMerge w:val="continue"/>
            <w:noWrap w:val="0"/>
            <w:vAlign w:val="center"/>
          </w:tcPr>
          <w:p w14:paraId="4C48CC1C">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0"/>
                <w:szCs w:val="20"/>
              </w:rPr>
            </w:pPr>
          </w:p>
        </w:tc>
        <w:tc>
          <w:tcPr>
            <w:tcW w:w="1075" w:type="dxa"/>
            <w:vMerge w:val="continue"/>
            <w:noWrap w:val="0"/>
            <w:vAlign w:val="center"/>
          </w:tcPr>
          <w:p w14:paraId="67E8DD99">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0"/>
                <w:szCs w:val="20"/>
              </w:rPr>
            </w:pPr>
          </w:p>
        </w:tc>
        <w:tc>
          <w:tcPr>
            <w:tcW w:w="3270" w:type="dxa"/>
            <w:noWrap w:val="0"/>
            <w:vAlign w:val="center"/>
          </w:tcPr>
          <w:p w14:paraId="4BADEFCA">
            <w:pPr>
              <w:keepNext w:val="0"/>
              <w:keepLines w:val="0"/>
              <w:pageBreakBefore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0"/>
                <w:szCs w:val="20"/>
              </w:rPr>
            </w:pPr>
            <w:r>
              <w:rPr>
                <w:rFonts w:hint="eastAsia" w:ascii="宋体" w:hAnsi="宋体" w:eastAsia="宋体" w:cs="宋体"/>
                <w:color w:val="auto"/>
                <w:sz w:val="20"/>
                <w:szCs w:val="20"/>
              </w:rPr>
              <w:t>2、</w:t>
            </w:r>
            <w:r>
              <w:rPr>
                <w:rFonts w:hint="eastAsia" w:ascii="宋体" w:hAnsi="宋体" w:eastAsia="宋体" w:cs="宋体"/>
                <w:color w:val="auto"/>
                <w:sz w:val="20"/>
                <w:szCs w:val="20"/>
                <w:lang w:val="en-US" w:eastAsia="zh-CN"/>
              </w:rPr>
              <w:t>车身、车厢内部脏乱，垃圾杂物未及时清理，座椅破损未维修</w:t>
            </w:r>
          </w:p>
        </w:tc>
        <w:tc>
          <w:tcPr>
            <w:tcW w:w="2025" w:type="dxa"/>
            <w:noWrap w:val="0"/>
            <w:vAlign w:val="center"/>
          </w:tcPr>
          <w:p w14:paraId="2323D1F8">
            <w:pPr>
              <w:keepNext w:val="0"/>
              <w:keepLines w:val="0"/>
              <w:pageBreakBefore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0"/>
                <w:szCs w:val="20"/>
                <w:lang w:eastAsia="zh-CN"/>
              </w:rPr>
            </w:pPr>
            <w:r>
              <w:rPr>
                <w:rFonts w:hint="eastAsia" w:ascii="宋体" w:hAnsi="宋体" w:eastAsia="宋体" w:cs="宋体"/>
                <w:color w:val="auto"/>
                <w:sz w:val="20"/>
                <w:szCs w:val="20"/>
              </w:rPr>
              <w:t>发现一次扣0.5分</w:t>
            </w:r>
            <w:r>
              <w:rPr>
                <w:rFonts w:hint="eastAsia" w:ascii="宋体" w:hAnsi="宋体" w:eastAsia="宋体" w:cs="宋体"/>
                <w:color w:val="auto"/>
                <w:sz w:val="20"/>
                <w:szCs w:val="20"/>
                <w:lang w:eastAsia="zh-CN"/>
              </w:rPr>
              <w:t>，</w:t>
            </w:r>
            <w:r>
              <w:rPr>
                <w:rFonts w:hint="eastAsia" w:ascii="宋体" w:hAnsi="宋体" w:eastAsia="宋体" w:cs="宋体"/>
                <w:color w:val="auto"/>
                <w:sz w:val="20"/>
                <w:szCs w:val="20"/>
                <w:lang w:val="en-US" w:eastAsia="zh-CN"/>
              </w:rPr>
              <w:t>脏污严重扣 1-2 分。</w:t>
            </w:r>
          </w:p>
        </w:tc>
        <w:tc>
          <w:tcPr>
            <w:tcW w:w="1155" w:type="dxa"/>
            <w:noWrap w:val="0"/>
            <w:vAlign w:val="center"/>
          </w:tcPr>
          <w:p w14:paraId="034D81DC">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0"/>
                <w:szCs w:val="20"/>
                <w:lang w:val="en-US" w:eastAsia="zh-CN"/>
              </w:rPr>
            </w:pPr>
          </w:p>
        </w:tc>
      </w:tr>
      <w:tr w14:paraId="35A82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4" w:type="dxa"/>
            <w:vMerge w:val="continue"/>
            <w:noWrap w:val="0"/>
            <w:vAlign w:val="center"/>
          </w:tcPr>
          <w:p w14:paraId="24C49B3A">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0"/>
                <w:szCs w:val="20"/>
              </w:rPr>
            </w:pPr>
          </w:p>
        </w:tc>
        <w:tc>
          <w:tcPr>
            <w:tcW w:w="1075" w:type="dxa"/>
            <w:vMerge w:val="continue"/>
            <w:noWrap w:val="0"/>
            <w:vAlign w:val="center"/>
          </w:tcPr>
          <w:p w14:paraId="2AF0851E">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0"/>
                <w:szCs w:val="20"/>
              </w:rPr>
            </w:pPr>
          </w:p>
        </w:tc>
        <w:tc>
          <w:tcPr>
            <w:tcW w:w="3270" w:type="dxa"/>
            <w:noWrap w:val="0"/>
            <w:vAlign w:val="center"/>
          </w:tcPr>
          <w:p w14:paraId="785ACC4B">
            <w:pPr>
              <w:keepNext w:val="0"/>
              <w:keepLines w:val="0"/>
              <w:pageBreakBefore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0"/>
                <w:szCs w:val="20"/>
              </w:rPr>
            </w:pPr>
            <w:r>
              <w:rPr>
                <w:rFonts w:hint="eastAsia" w:ascii="宋体" w:hAnsi="宋体" w:eastAsia="宋体" w:cs="宋体"/>
                <w:color w:val="auto"/>
                <w:sz w:val="20"/>
                <w:szCs w:val="20"/>
              </w:rPr>
              <w:t>3、</w:t>
            </w:r>
            <w:r>
              <w:rPr>
                <w:rFonts w:hint="eastAsia" w:ascii="宋体" w:hAnsi="宋体" w:eastAsia="宋体" w:cs="宋体"/>
                <w:color w:val="auto"/>
                <w:sz w:val="20"/>
                <w:szCs w:val="20"/>
                <w:lang w:val="en-US" w:eastAsia="zh-CN"/>
              </w:rPr>
              <w:t>未按周期完成车辆保养、年检、保险续保，证件过期</w:t>
            </w:r>
          </w:p>
        </w:tc>
        <w:tc>
          <w:tcPr>
            <w:tcW w:w="2025" w:type="dxa"/>
            <w:noWrap w:val="0"/>
            <w:vAlign w:val="center"/>
          </w:tcPr>
          <w:p w14:paraId="31BC957F">
            <w:pPr>
              <w:keepNext w:val="0"/>
              <w:keepLines w:val="0"/>
              <w:pageBreakBefore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0"/>
                <w:szCs w:val="20"/>
              </w:rPr>
            </w:pPr>
            <w:r>
              <w:rPr>
                <w:rFonts w:hint="eastAsia" w:ascii="宋体" w:hAnsi="宋体" w:eastAsia="宋体" w:cs="宋体"/>
                <w:color w:val="auto"/>
                <w:sz w:val="20"/>
                <w:szCs w:val="20"/>
              </w:rPr>
              <w:t>发现一次扣</w:t>
            </w:r>
            <w:r>
              <w:rPr>
                <w:rFonts w:hint="eastAsia" w:ascii="宋体" w:hAnsi="宋体" w:eastAsia="宋体" w:cs="宋体"/>
                <w:color w:val="auto"/>
                <w:sz w:val="20"/>
                <w:szCs w:val="20"/>
                <w:lang w:val="en-US" w:eastAsia="zh-CN"/>
              </w:rPr>
              <w:t>2</w:t>
            </w:r>
            <w:r>
              <w:rPr>
                <w:rFonts w:hint="eastAsia" w:ascii="宋体" w:hAnsi="宋体" w:eastAsia="宋体" w:cs="宋体"/>
                <w:color w:val="auto"/>
                <w:sz w:val="20"/>
                <w:szCs w:val="20"/>
              </w:rPr>
              <w:t>分</w:t>
            </w:r>
          </w:p>
        </w:tc>
        <w:tc>
          <w:tcPr>
            <w:tcW w:w="1155" w:type="dxa"/>
            <w:noWrap w:val="0"/>
            <w:vAlign w:val="center"/>
          </w:tcPr>
          <w:p w14:paraId="1D4B94C7">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0"/>
                <w:szCs w:val="20"/>
                <w:lang w:val="en-US" w:eastAsia="zh-CN"/>
              </w:rPr>
            </w:pPr>
          </w:p>
        </w:tc>
      </w:tr>
      <w:tr w14:paraId="42084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2" w:hRule="atLeast"/>
        </w:trPr>
        <w:tc>
          <w:tcPr>
            <w:tcW w:w="644" w:type="dxa"/>
            <w:vMerge w:val="continue"/>
            <w:noWrap w:val="0"/>
            <w:vAlign w:val="center"/>
          </w:tcPr>
          <w:p w14:paraId="23773A40">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0"/>
                <w:szCs w:val="20"/>
              </w:rPr>
            </w:pPr>
          </w:p>
        </w:tc>
        <w:tc>
          <w:tcPr>
            <w:tcW w:w="1075" w:type="dxa"/>
            <w:vMerge w:val="continue"/>
            <w:noWrap w:val="0"/>
            <w:vAlign w:val="center"/>
          </w:tcPr>
          <w:p w14:paraId="67E4C919">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0"/>
                <w:szCs w:val="20"/>
              </w:rPr>
            </w:pPr>
          </w:p>
        </w:tc>
        <w:tc>
          <w:tcPr>
            <w:tcW w:w="3270" w:type="dxa"/>
            <w:noWrap w:val="0"/>
            <w:vAlign w:val="center"/>
          </w:tcPr>
          <w:p w14:paraId="17E5215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right="0" w:rightChars="0"/>
              <w:jc w:val="left"/>
              <w:textAlignment w:val="auto"/>
              <w:rPr>
                <w:rFonts w:hint="eastAsia" w:ascii="宋体" w:hAnsi="宋体" w:eastAsia="宋体" w:cs="宋体"/>
                <w:color w:val="auto"/>
                <w:sz w:val="20"/>
                <w:szCs w:val="20"/>
              </w:rPr>
            </w:pPr>
            <w:r>
              <w:rPr>
                <w:rFonts w:hint="eastAsia" w:ascii="宋体" w:hAnsi="宋体" w:eastAsia="宋体" w:cs="宋体"/>
                <w:color w:val="auto"/>
                <w:sz w:val="20"/>
                <w:szCs w:val="20"/>
              </w:rPr>
              <w:t>4、</w:t>
            </w:r>
            <w:r>
              <w:rPr>
                <w:rFonts w:hint="eastAsia" w:ascii="宋体" w:hAnsi="宋体" w:eastAsia="宋体" w:cs="宋体"/>
                <w:color w:val="auto"/>
                <w:sz w:val="20"/>
                <w:szCs w:val="20"/>
                <w:lang w:val="en-US" w:eastAsia="zh-CN"/>
              </w:rPr>
              <w:t>校车5G视频定位监控离线、未接入全县校车监管平台</w:t>
            </w:r>
          </w:p>
        </w:tc>
        <w:tc>
          <w:tcPr>
            <w:tcW w:w="2025" w:type="dxa"/>
            <w:noWrap w:val="0"/>
            <w:vAlign w:val="center"/>
          </w:tcPr>
          <w:p w14:paraId="25C0B93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right="0" w:rightChars="0"/>
              <w:jc w:val="left"/>
              <w:textAlignment w:val="auto"/>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rPr>
              <w:t>发现一次扣1分，</w:t>
            </w:r>
            <w:r>
              <w:rPr>
                <w:rFonts w:hint="eastAsia" w:ascii="宋体" w:hAnsi="宋体" w:eastAsia="宋体" w:cs="宋体"/>
                <w:color w:val="auto"/>
                <w:sz w:val="20"/>
                <w:szCs w:val="20"/>
                <w:lang w:val="en-US" w:eastAsia="zh-CN"/>
              </w:rPr>
              <w:t>长期离线扣3分。</w:t>
            </w:r>
          </w:p>
          <w:p w14:paraId="254929E6">
            <w:pPr>
              <w:keepNext w:val="0"/>
              <w:keepLines w:val="0"/>
              <w:pageBreakBefore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0"/>
                <w:szCs w:val="20"/>
              </w:rPr>
            </w:pPr>
          </w:p>
        </w:tc>
        <w:tc>
          <w:tcPr>
            <w:tcW w:w="1155" w:type="dxa"/>
            <w:noWrap w:val="0"/>
            <w:vAlign w:val="center"/>
          </w:tcPr>
          <w:p w14:paraId="5B4C8D32">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0"/>
                <w:szCs w:val="20"/>
                <w:lang w:val="en-US" w:eastAsia="zh-CN"/>
              </w:rPr>
            </w:pPr>
          </w:p>
        </w:tc>
      </w:tr>
      <w:tr w14:paraId="40D10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4" w:type="dxa"/>
            <w:vMerge w:val="continue"/>
            <w:noWrap w:val="0"/>
            <w:vAlign w:val="center"/>
          </w:tcPr>
          <w:p w14:paraId="6C65165A">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0"/>
                <w:szCs w:val="20"/>
              </w:rPr>
            </w:pPr>
          </w:p>
        </w:tc>
        <w:tc>
          <w:tcPr>
            <w:tcW w:w="1075" w:type="dxa"/>
            <w:vMerge w:val="continue"/>
            <w:noWrap w:val="0"/>
            <w:vAlign w:val="center"/>
          </w:tcPr>
          <w:p w14:paraId="51498A25">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0"/>
                <w:szCs w:val="20"/>
              </w:rPr>
            </w:pPr>
          </w:p>
        </w:tc>
        <w:tc>
          <w:tcPr>
            <w:tcW w:w="3270" w:type="dxa"/>
            <w:noWrap w:val="0"/>
            <w:vAlign w:val="center"/>
          </w:tcPr>
          <w:p w14:paraId="43A8057F">
            <w:pPr>
              <w:keepNext w:val="0"/>
              <w:keepLines w:val="0"/>
              <w:pageBreakBefore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0"/>
                <w:szCs w:val="20"/>
              </w:rPr>
            </w:pPr>
            <w:r>
              <w:rPr>
                <w:rFonts w:hint="eastAsia" w:ascii="宋体" w:hAnsi="宋体" w:eastAsia="宋体" w:cs="宋体"/>
                <w:color w:val="auto"/>
                <w:sz w:val="20"/>
                <w:szCs w:val="20"/>
              </w:rPr>
              <w:t>5、</w:t>
            </w:r>
            <w:r>
              <w:rPr>
                <w:rFonts w:hint="eastAsia" w:ascii="宋体" w:hAnsi="宋体" w:eastAsia="宋体" w:cs="宋体"/>
                <w:color w:val="auto"/>
                <w:sz w:val="20"/>
                <w:szCs w:val="20"/>
                <w:lang w:val="en-US" w:eastAsia="zh-CN"/>
              </w:rPr>
              <w:t>校车未按规定放置校车标牌、未开启标志灯、危险报警灯</w:t>
            </w:r>
          </w:p>
        </w:tc>
        <w:tc>
          <w:tcPr>
            <w:tcW w:w="2025" w:type="dxa"/>
            <w:noWrap w:val="0"/>
            <w:vAlign w:val="center"/>
          </w:tcPr>
          <w:p w14:paraId="02C04BFA">
            <w:pPr>
              <w:keepNext w:val="0"/>
              <w:keepLines w:val="0"/>
              <w:pageBreakBefore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0"/>
                <w:szCs w:val="20"/>
              </w:rPr>
            </w:pPr>
            <w:r>
              <w:rPr>
                <w:rFonts w:hint="eastAsia" w:ascii="宋体" w:hAnsi="宋体" w:eastAsia="宋体" w:cs="宋体"/>
                <w:color w:val="auto"/>
                <w:sz w:val="20"/>
                <w:szCs w:val="20"/>
              </w:rPr>
              <w:t>发现一次扣1分</w:t>
            </w:r>
          </w:p>
        </w:tc>
        <w:tc>
          <w:tcPr>
            <w:tcW w:w="1155" w:type="dxa"/>
            <w:noWrap w:val="0"/>
            <w:vAlign w:val="center"/>
          </w:tcPr>
          <w:p w14:paraId="68B971CE">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0"/>
                <w:szCs w:val="20"/>
                <w:lang w:val="en-US" w:eastAsia="zh-CN"/>
              </w:rPr>
            </w:pPr>
          </w:p>
        </w:tc>
      </w:tr>
      <w:tr w14:paraId="33AE9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4" w:type="dxa"/>
            <w:vMerge w:val="continue"/>
            <w:noWrap w:val="0"/>
            <w:vAlign w:val="center"/>
          </w:tcPr>
          <w:p w14:paraId="13E67440">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0"/>
                <w:szCs w:val="20"/>
              </w:rPr>
            </w:pPr>
          </w:p>
        </w:tc>
        <w:tc>
          <w:tcPr>
            <w:tcW w:w="1075" w:type="dxa"/>
            <w:vMerge w:val="continue"/>
            <w:noWrap w:val="0"/>
            <w:vAlign w:val="center"/>
          </w:tcPr>
          <w:p w14:paraId="289FE9C8">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0"/>
                <w:szCs w:val="20"/>
              </w:rPr>
            </w:pPr>
          </w:p>
        </w:tc>
        <w:tc>
          <w:tcPr>
            <w:tcW w:w="3270" w:type="dxa"/>
            <w:noWrap w:val="0"/>
            <w:vAlign w:val="center"/>
          </w:tcPr>
          <w:p w14:paraId="2301BF0B">
            <w:pPr>
              <w:keepNext w:val="0"/>
              <w:keepLines w:val="0"/>
              <w:pageBreakBefore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0"/>
                <w:szCs w:val="20"/>
              </w:rPr>
            </w:pPr>
            <w:r>
              <w:rPr>
                <w:rFonts w:hint="eastAsia" w:ascii="宋体" w:hAnsi="宋体" w:eastAsia="宋体" w:cs="宋体"/>
                <w:color w:val="auto"/>
                <w:sz w:val="20"/>
                <w:szCs w:val="20"/>
              </w:rPr>
              <w:t>6、</w:t>
            </w:r>
            <w:r>
              <w:rPr>
                <w:rFonts w:hint="eastAsia" w:ascii="宋体" w:hAnsi="宋体" w:eastAsia="宋体" w:cs="宋体"/>
                <w:color w:val="auto"/>
                <w:sz w:val="20"/>
                <w:szCs w:val="20"/>
                <w:lang w:val="en-US" w:eastAsia="zh-CN"/>
              </w:rPr>
              <w:t>校车私自改装、拆除安全设施</w:t>
            </w:r>
          </w:p>
        </w:tc>
        <w:tc>
          <w:tcPr>
            <w:tcW w:w="2025" w:type="dxa"/>
            <w:noWrap w:val="0"/>
            <w:vAlign w:val="center"/>
          </w:tcPr>
          <w:p w14:paraId="4CAD9BFB">
            <w:pPr>
              <w:keepNext w:val="0"/>
              <w:keepLines w:val="0"/>
              <w:pageBreakBefore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0"/>
                <w:szCs w:val="20"/>
              </w:rPr>
            </w:pPr>
            <w:r>
              <w:rPr>
                <w:rFonts w:hint="eastAsia" w:ascii="宋体" w:hAnsi="宋体" w:eastAsia="宋体" w:cs="宋体"/>
                <w:color w:val="auto"/>
                <w:sz w:val="20"/>
                <w:szCs w:val="20"/>
              </w:rPr>
              <w:t>发现一次扣</w:t>
            </w:r>
            <w:r>
              <w:rPr>
                <w:rFonts w:hint="eastAsia" w:ascii="宋体" w:hAnsi="宋体" w:eastAsia="宋体" w:cs="宋体"/>
                <w:color w:val="auto"/>
                <w:sz w:val="20"/>
                <w:szCs w:val="20"/>
                <w:lang w:val="en-US" w:eastAsia="zh-CN"/>
              </w:rPr>
              <w:t>5</w:t>
            </w:r>
            <w:r>
              <w:rPr>
                <w:rFonts w:hint="eastAsia" w:ascii="宋体" w:hAnsi="宋体" w:eastAsia="宋体" w:cs="宋体"/>
                <w:color w:val="auto"/>
                <w:sz w:val="20"/>
                <w:szCs w:val="20"/>
              </w:rPr>
              <w:t>分</w:t>
            </w:r>
          </w:p>
        </w:tc>
        <w:tc>
          <w:tcPr>
            <w:tcW w:w="1155" w:type="dxa"/>
            <w:noWrap w:val="0"/>
            <w:vAlign w:val="center"/>
          </w:tcPr>
          <w:p w14:paraId="6F210BA9">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0"/>
                <w:szCs w:val="20"/>
                <w:lang w:val="en-US" w:eastAsia="zh-CN"/>
              </w:rPr>
            </w:pPr>
          </w:p>
        </w:tc>
      </w:tr>
      <w:tr w14:paraId="5828E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4" w:type="dxa"/>
            <w:vMerge w:val="continue"/>
            <w:noWrap w:val="0"/>
            <w:vAlign w:val="center"/>
          </w:tcPr>
          <w:p w14:paraId="0037BF33">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0"/>
                <w:szCs w:val="20"/>
              </w:rPr>
            </w:pPr>
          </w:p>
        </w:tc>
        <w:tc>
          <w:tcPr>
            <w:tcW w:w="1075" w:type="dxa"/>
            <w:vMerge w:val="continue"/>
            <w:noWrap w:val="0"/>
            <w:vAlign w:val="center"/>
          </w:tcPr>
          <w:p w14:paraId="58C88871">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0"/>
                <w:szCs w:val="20"/>
              </w:rPr>
            </w:pPr>
          </w:p>
        </w:tc>
        <w:tc>
          <w:tcPr>
            <w:tcW w:w="3270" w:type="dxa"/>
            <w:noWrap w:val="0"/>
            <w:vAlign w:val="center"/>
          </w:tcPr>
          <w:p w14:paraId="0D222B83">
            <w:pPr>
              <w:keepNext w:val="0"/>
              <w:keepLines w:val="0"/>
              <w:pageBreakBefore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0"/>
                <w:szCs w:val="20"/>
              </w:rPr>
            </w:pPr>
            <w:r>
              <w:rPr>
                <w:rFonts w:hint="eastAsia" w:ascii="宋体" w:hAnsi="宋体" w:eastAsia="宋体" w:cs="宋体"/>
                <w:color w:val="auto"/>
                <w:sz w:val="20"/>
                <w:szCs w:val="20"/>
              </w:rPr>
              <w:t>7、</w:t>
            </w:r>
            <w:r>
              <w:rPr>
                <w:rFonts w:hint="eastAsia" w:ascii="宋体" w:hAnsi="宋体" w:eastAsia="宋体" w:cs="宋体"/>
                <w:color w:val="auto"/>
                <w:sz w:val="20"/>
                <w:szCs w:val="20"/>
                <w:lang w:val="en-US" w:eastAsia="zh-CN"/>
              </w:rPr>
              <w:t>校车未做到专车专用，私拉社会人员、从事营运载客</w:t>
            </w:r>
          </w:p>
        </w:tc>
        <w:tc>
          <w:tcPr>
            <w:tcW w:w="2025" w:type="dxa"/>
            <w:noWrap w:val="0"/>
            <w:vAlign w:val="center"/>
          </w:tcPr>
          <w:p w14:paraId="2B391C89">
            <w:pPr>
              <w:keepNext w:val="0"/>
              <w:keepLines w:val="0"/>
              <w:pageBreakBefore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0"/>
                <w:szCs w:val="20"/>
              </w:rPr>
            </w:pPr>
            <w:r>
              <w:rPr>
                <w:rFonts w:hint="eastAsia" w:ascii="宋体" w:hAnsi="宋体" w:eastAsia="宋体" w:cs="宋体"/>
                <w:color w:val="auto"/>
                <w:sz w:val="20"/>
                <w:szCs w:val="20"/>
              </w:rPr>
              <w:t>发现一次扣</w:t>
            </w:r>
            <w:r>
              <w:rPr>
                <w:rFonts w:hint="eastAsia" w:ascii="宋体" w:hAnsi="宋体" w:eastAsia="宋体" w:cs="宋体"/>
                <w:color w:val="auto"/>
                <w:sz w:val="20"/>
                <w:szCs w:val="20"/>
                <w:lang w:val="en-US" w:eastAsia="zh-CN"/>
              </w:rPr>
              <w:t>5</w:t>
            </w:r>
            <w:r>
              <w:rPr>
                <w:rFonts w:hint="eastAsia" w:ascii="宋体" w:hAnsi="宋体" w:eastAsia="宋体" w:cs="宋体"/>
                <w:color w:val="auto"/>
                <w:sz w:val="20"/>
                <w:szCs w:val="20"/>
              </w:rPr>
              <w:t>分</w:t>
            </w:r>
          </w:p>
        </w:tc>
        <w:tc>
          <w:tcPr>
            <w:tcW w:w="1155" w:type="dxa"/>
            <w:noWrap w:val="0"/>
            <w:vAlign w:val="center"/>
          </w:tcPr>
          <w:p w14:paraId="6049D529">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0"/>
                <w:szCs w:val="20"/>
                <w:lang w:val="en-US" w:eastAsia="zh-CN"/>
              </w:rPr>
            </w:pPr>
          </w:p>
        </w:tc>
      </w:tr>
      <w:tr w14:paraId="468FD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4" w:type="dxa"/>
            <w:vMerge w:val="continue"/>
            <w:noWrap w:val="0"/>
            <w:vAlign w:val="center"/>
          </w:tcPr>
          <w:p w14:paraId="3C2E798A">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0"/>
                <w:szCs w:val="20"/>
              </w:rPr>
            </w:pPr>
          </w:p>
        </w:tc>
        <w:tc>
          <w:tcPr>
            <w:tcW w:w="1075" w:type="dxa"/>
            <w:vMerge w:val="continue"/>
            <w:noWrap w:val="0"/>
            <w:vAlign w:val="center"/>
          </w:tcPr>
          <w:p w14:paraId="4722ECDB">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0"/>
                <w:szCs w:val="20"/>
              </w:rPr>
            </w:pPr>
          </w:p>
        </w:tc>
        <w:tc>
          <w:tcPr>
            <w:tcW w:w="3270" w:type="dxa"/>
            <w:noWrap w:val="0"/>
            <w:vAlign w:val="center"/>
          </w:tcPr>
          <w:p w14:paraId="74521B9C">
            <w:pPr>
              <w:keepNext w:val="0"/>
              <w:keepLines w:val="0"/>
              <w:pageBreakBefore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0"/>
                <w:szCs w:val="20"/>
              </w:rPr>
            </w:pPr>
            <w:r>
              <w:rPr>
                <w:rFonts w:hint="eastAsia" w:ascii="宋体" w:hAnsi="宋体" w:eastAsia="宋体" w:cs="宋体"/>
                <w:color w:val="auto"/>
                <w:sz w:val="20"/>
                <w:szCs w:val="20"/>
              </w:rPr>
              <w:t>8、</w:t>
            </w:r>
            <w:r>
              <w:rPr>
                <w:rFonts w:hint="eastAsia" w:ascii="宋体" w:hAnsi="宋体" w:eastAsia="宋体" w:cs="宋体"/>
                <w:color w:val="auto"/>
                <w:sz w:val="20"/>
                <w:szCs w:val="20"/>
                <w:lang w:val="en-US" w:eastAsia="zh-CN"/>
              </w:rPr>
              <w:t>车辆维修、消毒、例检、台账记录缺失、填写虚假</w:t>
            </w:r>
          </w:p>
        </w:tc>
        <w:tc>
          <w:tcPr>
            <w:tcW w:w="2025" w:type="dxa"/>
            <w:noWrap w:val="0"/>
            <w:vAlign w:val="center"/>
          </w:tcPr>
          <w:p w14:paraId="6ED9DC1C">
            <w:pPr>
              <w:keepNext w:val="0"/>
              <w:keepLines w:val="0"/>
              <w:pageBreakBefore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0"/>
                <w:szCs w:val="20"/>
              </w:rPr>
            </w:pPr>
            <w:r>
              <w:rPr>
                <w:rFonts w:hint="eastAsia" w:ascii="宋体" w:hAnsi="宋体" w:eastAsia="宋体" w:cs="宋体"/>
                <w:color w:val="auto"/>
                <w:sz w:val="20"/>
                <w:szCs w:val="20"/>
              </w:rPr>
              <w:t>发现一次扣</w:t>
            </w:r>
            <w:r>
              <w:rPr>
                <w:rFonts w:hint="eastAsia" w:ascii="宋体" w:hAnsi="宋体" w:eastAsia="宋体" w:cs="宋体"/>
                <w:color w:val="auto"/>
                <w:sz w:val="20"/>
                <w:szCs w:val="20"/>
                <w:lang w:val="en-US" w:eastAsia="zh-CN"/>
              </w:rPr>
              <w:t>2</w:t>
            </w:r>
            <w:r>
              <w:rPr>
                <w:rFonts w:hint="eastAsia" w:ascii="宋体" w:hAnsi="宋体" w:eastAsia="宋体" w:cs="宋体"/>
                <w:color w:val="auto"/>
                <w:sz w:val="20"/>
                <w:szCs w:val="20"/>
              </w:rPr>
              <w:t>分</w:t>
            </w:r>
          </w:p>
        </w:tc>
        <w:tc>
          <w:tcPr>
            <w:tcW w:w="1155" w:type="dxa"/>
            <w:noWrap w:val="0"/>
            <w:vAlign w:val="center"/>
          </w:tcPr>
          <w:p w14:paraId="16277D88">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0"/>
                <w:szCs w:val="20"/>
                <w:lang w:val="en-US" w:eastAsia="zh-CN"/>
              </w:rPr>
            </w:pPr>
          </w:p>
        </w:tc>
      </w:tr>
      <w:tr w14:paraId="77ED8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4" w:type="dxa"/>
            <w:vMerge w:val="restart"/>
            <w:noWrap w:val="0"/>
            <w:vAlign w:val="center"/>
          </w:tcPr>
          <w:p w14:paraId="2999B99A">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0"/>
                <w:szCs w:val="20"/>
              </w:rPr>
            </w:pPr>
            <w:r>
              <w:rPr>
                <w:rFonts w:hint="eastAsia" w:ascii="宋体" w:hAnsi="宋体" w:eastAsia="宋体" w:cs="宋体"/>
                <w:color w:val="auto"/>
                <w:sz w:val="20"/>
                <w:szCs w:val="20"/>
              </w:rPr>
              <w:t>2</w:t>
            </w:r>
          </w:p>
        </w:tc>
        <w:tc>
          <w:tcPr>
            <w:tcW w:w="1075" w:type="dxa"/>
            <w:vMerge w:val="restart"/>
            <w:noWrap w:val="0"/>
            <w:vAlign w:val="center"/>
          </w:tcPr>
          <w:p w14:paraId="10170DA8">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0"/>
                <w:szCs w:val="20"/>
                <w:lang w:val="en-US"/>
              </w:rPr>
            </w:pPr>
            <w:r>
              <w:rPr>
                <w:rFonts w:hint="eastAsia" w:ascii="宋体" w:hAnsi="宋体" w:eastAsia="宋体" w:cs="宋体"/>
                <w:color w:val="auto"/>
                <w:sz w:val="20"/>
                <w:szCs w:val="20"/>
                <w:lang w:val="en-US" w:eastAsia="zh-CN"/>
              </w:rPr>
              <w:t>驾驶员、随车照管员管理（20分）</w:t>
            </w:r>
          </w:p>
        </w:tc>
        <w:tc>
          <w:tcPr>
            <w:tcW w:w="3270" w:type="dxa"/>
            <w:noWrap w:val="0"/>
            <w:vAlign w:val="center"/>
          </w:tcPr>
          <w:p w14:paraId="336EBA02">
            <w:pPr>
              <w:keepNext w:val="0"/>
              <w:keepLines w:val="0"/>
              <w:pageBreakBefore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0"/>
                <w:szCs w:val="20"/>
              </w:rPr>
            </w:pPr>
            <w:r>
              <w:rPr>
                <w:rFonts w:hint="eastAsia" w:ascii="宋体" w:hAnsi="宋体" w:eastAsia="宋体" w:cs="宋体"/>
                <w:color w:val="auto"/>
                <w:sz w:val="20"/>
                <w:szCs w:val="20"/>
              </w:rPr>
              <w:t>1、</w:t>
            </w:r>
            <w:r>
              <w:rPr>
                <w:rFonts w:hint="eastAsia" w:ascii="宋体" w:hAnsi="宋体" w:eastAsia="宋体" w:cs="宋体"/>
                <w:color w:val="auto"/>
                <w:sz w:val="20"/>
                <w:szCs w:val="20"/>
                <w:lang w:val="en-US" w:eastAsia="zh-CN"/>
              </w:rPr>
              <w:t>驾驶员无有效校车驾驶资格、驾驶证未满3年、准驾不符、年龄超出25—60周岁区间</w:t>
            </w:r>
          </w:p>
        </w:tc>
        <w:tc>
          <w:tcPr>
            <w:tcW w:w="2025" w:type="dxa"/>
            <w:noWrap w:val="0"/>
            <w:vAlign w:val="center"/>
          </w:tcPr>
          <w:p w14:paraId="6D9D1555">
            <w:pPr>
              <w:keepNext w:val="0"/>
              <w:keepLines w:val="0"/>
              <w:pageBreakBefore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0"/>
                <w:szCs w:val="20"/>
              </w:rPr>
            </w:pPr>
            <w:r>
              <w:rPr>
                <w:rFonts w:hint="eastAsia" w:ascii="宋体" w:hAnsi="宋体" w:eastAsia="宋体" w:cs="宋体"/>
                <w:color w:val="auto"/>
                <w:sz w:val="20"/>
                <w:szCs w:val="20"/>
              </w:rPr>
              <w:t>发现一次扣</w:t>
            </w:r>
            <w:r>
              <w:rPr>
                <w:rFonts w:hint="eastAsia" w:ascii="宋体" w:hAnsi="宋体" w:eastAsia="宋体" w:cs="宋体"/>
                <w:color w:val="auto"/>
                <w:sz w:val="20"/>
                <w:szCs w:val="20"/>
                <w:lang w:val="en-US" w:eastAsia="zh-CN"/>
              </w:rPr>
              <w:t>2</w:t>
            </w:r>
            <w:r>
              <w:rPr>
                <w:rFonts w:hint="eastAsia" w:ascii="宋体" w:hAnsi="宋体" w:eastAsia="宋体" w:cs="宋体"/>
                <w:color w:val="auto"/>
                <w:sz w:val="20"/>
                <w:szCs w:val="20"/>
              </w:rPr>
              <w:t>分</w:t>
            </w:r>
          </w:p>
        </w:tc>
        <w:tc>
          <w:tcPr>
            <w:tcW w:w="1155" w:type="dxa"/>
            <w:noWrap w:val="0"/>
            <w:vAlign w:val="center"/>
          </w:tcPr>
          <w:p w14:paraId="0EC86B39">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0"/>
                <w:szCs w:val="20"/>
                <w:lang w:val="en-US" w:eastAsia="zh-CN"/>
              </w:rPr>
            </w:pPr>
          </w:p>
        </w:tc>
      </w:tr>
      <w:tr w14:paraId="6DDE0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4" w:type="dxa"/>
            <w:vMerge w:val="continue"/>
            <w:noWrap w:val="0"/>
            <w:vAlign w:val="center"/>
          </w:tcPr>
          <w:p w14:paraId="57A872E5">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0"/>
                <w:szCs w:val="20"/>
              </w:rPr>
            </w:pPr>
          </w:p>
        </w:tc>
        <w:tc>
          <w:tcPr>
            <w:tcW w:w="1075" w:type="dxa"/>
            <w:vMerge w:val="continue"/>
            <w:noWrap w:val="0"/>
            <w:vAlign w:val="center"/>
          </w:tcPr>
          <w:p w14:paraId="6014FCD9">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0"/>
                <w:szCs w:val="20"/>
              </w:rPr>
            </w:pPr>
          </w:p>
        </w:tc>
        <w:tc>
          <w:tcPr>
            <w:tcW w:w="3270" w:type="dxa"/>
            <w:noWrap w:val="0"/>
            <w:vAlign w:val="center"/>
          </w:tcPr>
          <w:p w14:paraId="1B7B54FD">
            <w:pPr>
              <w:keepNext w:val="0"/>
              <w:keepLines w:val="0"/>
              <w:pageBreakBefore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0"/>
                <w:szCs w:val="20"/>
                <w:lang w:val="en-US"/>
              </w:rPr>
            </w:pPr>
            <w:r>
              <w:rPr>
                <w:rFonts w:hint="eastAsia" w:ascii="宋体" w:hAnsi="宋体" w:eastAsia="宋体" w:cs="宋体"/>
                <w:color w:val="auto"/>
                <w:sz w:val="20"/>
                <w:szCs w:val="20"/>
              </w:rPr>
              <w:t>2、</w:t>
            </w:r>
            <w:r>
              <w:rPr>
                <w:rFonts w:hint="eastAsia" w:ascii="宋体" w:hAnsi="宋体" w:eastAsia="宋体" w:cs="宋体"/>
                <w:color w:val="auto"/>
                <w:sz w:val="20"/>
                <w:szCs w:val="20"/>
                <w:lang w:val="en-US" w:eastAsia="zh-CN"/>
              </w:rPr>
              <w:t>驾驶员存在满分记录、交通致人伤亡事故、酒驾醉驾、严重超速超员违法记录</w:t>
            </w:r>
          </w:p>
        </w:tc>
        <w:tc>
          <w:tcPr>
            <w:tcW w:w="2025" w:type="dxa"/>
            <w:noWrap w:val="0"/>
            <w:vAlign w:val="center"/>
          </w:tcPr>
          <w:p w14:paraId="24AADAF9">
            <w:pPr>
              <w:keepNext w:val="0"/>
              <w:keepLines w:val="0"/>
              <w:pageBreakBefore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0"/>
                <w:szCs w:val="20"/>
              </w:rPr>
            </w:pPr>
            <w:r>
              <w:rPr>
                <w:rFonts w:hint="eastAsia" w:ascii="宋体" w:hAnsi="宋体" w:eastAsia="宋体" w:cs="宋体"/>
                <w:color w:val="auto"/>
                <w:sz w:val="20"/>
                <w:szCs w:val="20"/>
              </w:rPr>
              <w:t>发现一次扣</w:t>
            </w:r>
            <w:r>
              <w:rPr>
                <w:rFonts w:hint="eastAsia" w:ascii="宋体" w:hAnsi="宋体" w:eastAsia="宋体" w:cs="宋体"/>
                <w:color w:val="auto"/>
                <w:sz w:val="20"/>
                <w:szCs w:val="20"/>
                <w:lang w:val="en-US" w:eastAsia="zh-CN"/>
              </w:rPr>
              <w:t>8</w:t>
            </w:r>
            <w:r>
              <w:rPr>
                <w:rFonts w:hint="eastAsia" w:ascii="宋体" w:hAnsi="宋体" w:eastAsia="宋体" w:cs="宋体"/>
                <w:color w:val="auto"/>
                <w:sz w:val="20"/>
                <w:szCs w:val="20"/>
              </w:rPr>
              <w:t>分</w:t>
            </w:r>
          </w:p>
        </w:tc>
        <w:tc>
          <w:tcPr>
            <w:tcW w:w="1155" w:type="dxa"/>
            <w:noWrap w:val="0"/>
            <w:vAlign w:val="center"/>
          </w:tcPr>
          <w:p w14:paraId="44236621">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0"/>
                <w:szCs w:val="20"/>
                <w:lang w:val="en-US" w:eastAsia="zh-CN"/>
              </w:rPr>
            </w:pPr>
          </w:p>
        </w:tc>
      </w:tr>
      <w:tr w14:paraId="5F346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4" w:type="dxa"/>
            <w:vMerge w:val="continue"/>
            <w:noWrap w:val="0"/>
            <w:vAlign w:val="center"/>
          </w:tcPr>
          <w:p w14:paraId="5BB9E347">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0"/>
                <w:szCs w:val="20"/>
              </w:rPr>
            </w:pPr>
          </w:p>
        </w:tc>
        <w:tc>
          <w:tcPr>
            <w:tcW w:w="1075" w:type="dxa"/>
            <w:vMerge w:val="continue"/>
            <w:noWrap w:val="0"/>
            <w:vAlign w:val="center"/>
          </w:tcPr>
          <w:p w14:paraId="4C6E3E22">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0"/>
                <w:szCs w:val="20"/>
              </w:rPr>
            </w:pPr>
          </w:p>
        </w:tc>
        <w:tc>
          <w:tcPr>
            <w:tcW w:w="3270" w:type="dxa"/>
            <w:noWrap w:val="0"/>
            <w:vAlign w:val="center"/>
          </w:tcPr>
          <w:p w14:paraId="3996699F">
            <w:pPr>
              <w:keepNext w:val="0"/>
              <w:keepLines w:val="0"/>
              <w:pageBreakBefore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3、驾驶员无健康体检证明、患有妨碍安全驾驶疾病、酗酒吸毒</w:t>
            </w:r>
          </w:p>
        </w:tc>
        <w:tc>
          <w:tcPr>
            <w:tcW w:w="2025" w:type="dxa"/>
            <w:noWrap w:val="0"/>
            <w:vAlign w:val="center"/>
          </w:tcPr>
          <w:p w14:paraId="0336CBDF">
            <w:pPr>
              <w:keepNext w:val="0"/>
              <w:keepLines w:val="0"/>
              <w:pageBreakBefore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0"/>
                <w:szCs w:val="20"/>
              </w:rPr>
            </w:pPr>
            <w:r>
              <w:rPr>
                <w:rFonts w:hint="eastAsia" w:ascii="宋体" w:hAnsi="宋体" w:eastAsia="宋体" w:cs="宋体"/>
                <w:color w:val="auto"/>
                <w:sz w:val="20"/>
                <w:szCs w:val="20"/>
              </w:rPr>
              <w:t>发现一次扣</w:t>
            </w:r>
            <w:r>
              <w:rPr>
                <w:rFonts w:hint="eastAsia" w:ascii="宋体" w:hAnsi="宋体" w:eastAsia="宋体" w:cs="宋体"/>
                <w:color w:val="auto"/>
                <w:sz w:val="20"/>
                <w:szCs w:val="20"/>
                <w:lang w:val="en-US" w:eastAsia="zh-CN"/>
              </w:rPr>
              <w:t>2</w:t>
            </w:r>
            <w:r>
              <w:rPr>
                <w:rFonts w:hint="eastAsia" w:ascii="宋体" w:hAnsi="宋体" w:eastAsia="宋体" w:cs="宋体"/>
                <w:color w:val="auto"/>
                <w:sz w:val="20"/>
                <w:szCs w:val="20"/>
              </w:rPr>
              <w:t>分</w:t>
            </w:r>
          </w:p>
        </w:tc>
        <w:tc>
          <w:tcPr>
            <w:tcW w:w="1155" w:type="dxa"/>
            <w:noWrap w:val="0"/>
            <w:vAlign w:val="center"/>
          </w:tcPr>
          <w:p w14:paraId="26C76A2E">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0"/>
                <w:szCs w:val="20"/>
                <w:lang w:val="en-US" w:eastAsia="zh-CN"/>
              </w:rPr>
            </w:pPr>
          </w:p>
        </w:tc>
      </w:tr>
      <w:tr w14:paraId="3AF25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4" w:type="dxa"/>
            <w:vMerge w:val="continue"/>
            <w:noWrap w:val="0"/>
            <w:vAlign w:val="center"/>
          </w:tcPr>
          <w:p w14:paraId="124ABC66">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0"/>
                <w:szCs w:val="20"/>
              </w:rPr>
            </w:pPr>
          </w:p>
        </w:tc>
        <w:tc>
          <w:tcPr>
            <w:tcW w:w="1075" w:type="dxa"/>
            <w:vMerge w:val="continue"/>
            <w:noWrap w:val="0"/>
            <w:vAlign w:val="center"/>
          </w:tcPr>
          <w:p w14:paraId="53BB2B30">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0"/>
                <w:szCs w:val="20"/>
              </w:rPr>
            </w:pPr>
          </w:p>
        </w:tc>
        <w:tc>
          <w:tcPr>
            <w:tcW w:w="3270" w:type="dxa"/>
            <w:noWrap w:val="0"/>
            <w:vAlign w:val="center"/>
          </w:tcPr>
          <w:p w14:paraId="230A6F6C">
            <w:pPr>
              <w:keepNext w:val="0"/>
              <w:keepLines w:val="0"/>
              <w:pageBreakBefore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4、驾驶员、照管员行车途中吸烟、接打电话、闲聊、疲劳驾驶、擅自离岗</w:t>
            </w:r>
          </w:p>
        </w:tc>
        <w:tc>
          <w:tcPr>
            <w:tcW w:w="2025" w:type="dxa"/>
            <w:noWrap w:val="0"/>
            <w:vAlign w:val="center"/>
          </w:tcPr>
          <w:p w14:paraId="5BF76665">
            <w:pPr>
              <w:keepNext w:val="0"/>
              <w:keepLines w:val="0"/>
              <w:pageBreakBefore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0"/>
                <w:szCs w:val="20"/>
              </w:rPr>
            </w:pPr>
            <w:r>
              <w:rPr>
                <w:rFonts w:hint="eastAsia" w:ascii="宋体" w:hAnsi="宋体" w:eastAsia="宋体" w:cs="宋体"/>
                <w:color w:val="auto"/>
                <w:sz w:val="20"/>
                <w:szCs w:val="20"/>
              </w:rPr>
              <w:t>发现一次扣</w:t>
            </w:r>
            <w:r>
              <w:rPr>
                <w:rFonts w:hint="eastAsia" w:ascii="宋体" w:hAnsi="宋体" w:eastAsia="宋体" w:cs="宋体"/>
                <w:color w:val="auto"/>
                <w:sz w:val="20"/>
                <w:szCs w:val="20"/>
                <w:lang w:val="en-US" w:eastAsia="zh-CN"/>
              </w:rPr>
              <w:t>1</w:t>
            </w:r>
            <w:r>
              <w:rPr>
                <w:rFonts w:hint="eastAsia" w:ascii="宋体" w:hAnsi="宋体" w:eastAsia="宋体" w:cs="宋体"/>
                <w:color w:val="auto"/>
                <w:sz w:val="20"/>
                <w:szCs w:val="20"/>
              </w:rPr>
              <w:t>分</w:t>
            </w:r>
          </w:p>
        </w:tc>
        <w:tc>
          <w:tcPr>
            <w:tcW w:w="1155" w:type="dxa"/>
            <w:noWrap w:val="0"/>
            <w:vAlign w:val="center"/>
          </w:tcPr>
          <w:p w14:paraId="12E3B87C">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0"/>
                <w:szCs w:val="20"/>
                <w:lang w:val="en-US" w:eastAsia="zh-CN"/>
              </w:rPr>
            </w:pPr>
          </w:p>
        </w:tc>
      </w:tr>
      <w:tr w14:paraId="76090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4" w:type="dxa"/>
            <w:vMerge w:val="continue"/>
            <w:noWrap w:val="0"/>
            <w:vAlign w:val="center"/>
          </w:tcPr>
          <w:p w14:paraId="2F591BF9">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0"/>
                <w:szCs w:val="20"/>
              </w:rPr>
            </w:pPr>
          </w:p>
        </w:tc>
        <w:tc>
          <w:tcPr>
            <w:tcW w:w="1075" w:type="dxa"/>
            <w:vMerge w:val="continue"/>
            <w:noWrap w:val="0"/>
            <w:vAlign w:val="center"/>
          </w:tcPr>
          <w:p w14:paraId="3D823D0F">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0"/>
                <w:szCs w:val="20"/>
              </w:rPr>
            </w:pPr>
          </w:p>
        </w:tc>
        <w:tc>
          <w:tcPr>
            <w:tcW w:w="3270" w:type="dxa"/>
            <w:noWrap w:val="0"/>
            <w:vAlign w:val="center"/>
          </w:tcPr>
          <w:p w14:paraId="21B6AC6D">
            <w:pPr>
              <w:keepNext w:val="0"/>
              <w:keepLines w:val="0"/>
              <w:pageBreakBefore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0"/>
                <w:szCs w:val="20"/>
              </w:rPr>
            </w:pPr>
            <w:r>
              <w:rPr>
                <w:rFonts w:hint="eastAsia" w:ascii="宋体" w:hAnsi="宋体" w:eastAsia="宋体" w:cs="宋体"/>
                <w:color w:val="auto"/>
                <w:sz w:val="20"/>
                <w:szCs w:val="20"/>
              </w:rPr>
              <w:t>5、</w:t>
            </w:r>
            <w:r>
              <w:rPr>
                <w:rFonts w:hint="eastAsia" w:ascii="宋体" w:hAnsi="宋体" w:eastAsia="宋体" w:cs="宋体"/>
                <w:color w:val="auto"/>
                <w:sz w:val="20"/>
                <w:szCs w:val="20"/>
                <w:lang w:val="en-US" w:eastAsia="zh-CN"/>
              </w:rPr>
              <w:t>照管员未全程随车、上下车未清点幼儿人数、未引导幼儿系安全带</w:t>
            </w:r>
          </w:p>
        </w:tc>
        <w:tc>
          <w:tcPr>
            <w:tcW w:w="2025" w:type="dxa"/>
            <w:noWrap w:val="0"/>
            <w:vAlign w:val="center"/>
          </w:tcPr>
          <w:p w14:paraId="3A193770">
            <w:pPr>
              <w:keepNext w:val="0"/>
              <w:keepLines w:val="0"/>
              <w:pageBreakBefore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0"/>
                <w:szCs w:val="20"/>
              </w:rPr>
            </w:pPr>
            <w:r>
              <w:rPr>
                <w:rFonts w:hint="eastAsia" w:ascii="宋体" w:hAnsi="宋体" w:eastAsia="宋体" w:cs="宋体"/>
                <w:color w:val="auto"/>
                <w:sz w:val="20"/>
                <w:szCs w:val="20"/>
              </w:rPr>
              <w:t>发现一次扣</w:t>
            </w:r>
            <w:r>
              <w:rPr>
                <w:rFonts w:hint="eastAsia" w:ascii="宋体" w:hAnsi="宋体" w:eastAsia="宋体" w:cs="宋体"/>
                <w:color w:val="auto"/>
                <w:sz w:val="20"/>
                <w:szCs w:val="20"/>
                <w:lang w:val="en-US" w:eastAsia="zh-CN"/>
              </w:rPr>
              <w:t>1</w:t>
            </w:r>
            <w:r>
              <w:rPr>
                <w:rFonts w:hint="eastAsia" w:ascii="宋体" w:hAnsi="宋体" w:eastAsia="宋体" w:cs="宋体"/>
                <w:color w:val="auto"/>
                <w:sz w:val="20"/>
                <w:szCs w:val="20"/>
              </w:rPr>
              <w:t>分</w:t>
            </w:r>
          </w:p>
        </w:tc>
        <w:tc>
          <w:tcPr>
            <w:tcW w:w="1155" w:type="dxa"/>
            <w:noWrap w:val="0"/>
            <w:vAlign w:val="center"/>
          </w:tcPr>
          <w:p w14:paraId="0D58FCF5">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0"/>
                <w:szCs w:val="20"/>
                <w:lang w:val="en-US" w:eastAsia="zh-CN"/>
              </w:rPr>
            </w:pPr>
          </w:p>
        </w:tc>
      </w:tr>
      <w:tr w14:paraId="45572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4" w:type="dxa"/>
            <w:vMerge w:val="continue"/>
            <w:noWrap w:val="0"/>
            <w:vAlign w:val="center"/>
          </w:tcPr>
          <w:p w14:paraId="7081B1F9">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0"/>
                <w:szCs w:val="20"/>
              </w:rPr>
            </w:pPr>
          </w:p>
        </w:tc>
        <w:tc>
          <w:tcPr>
            <w:tcW w:w="1075" w:type="dxa"/>
            <w:vMerge w:val="continue"/>
            <w:noWrap w:val="0"/>
            <w:vAlign w:val="center"/>
          </w:tcPr>
          <w:p w14:paraId="13ED09DF">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0"/>
                <w:szCs w:val="20"/>
              </w:rPr>
            </w:pPr>
          </w:p>
        </w:tc>
        <w:tc>
          <w:tcPr>
            <w:tcW w:w="3270" w:type="dxa"/>
            <w:noWrap w:val="0"/>
            <w:vAlign w:val="center"/>
          </w:tcPr>
          <w:p w14:paraId="07B0CC4B">
            <w:pPr>
              <w:keepNext w:val="0"/>
              <w:keepLines w:val="0"/>
              <w:pageBreakBefore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6、从业人员着装不规范、言行粗暴，与幼儿、家长、教师发生争执冲突</w:t>
            </w:r>
          </w:p>
        </w:tc>
        <w:tc>
          <w:tcPr>
            <w:tcW w:w="2025" w:type="dxa"/>
            <w:noWrap w:val="0"/>
            <w:vAlign w:val="center"/>
          </w:tcPr>
          <w:p w14:paraId="7612912C">
            <w:pPr>
              <w:keepNext w:val="0"/>
              <w:keepLines w:val="0"/>
              <w:pageBreakBefore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rPr>
              <w:t>发现一次扣</w:t>
            </w:r>
            <w:r>
              <w:rPr>
                <w:rFonts w:hint="eastAsia" w:ascii="宋体" w:hAnsi="宋体" w:eastAsia="宋体" w:cs="宋体"/>
                <w:color w:val="auto"/>
                <w:sz w:val="20"/>
                <w:szCs w:val="20"/>
                <w:lang w:val="en-US" w:eastAsia="zh-CN"/>
              </w:rPr>
              <w:t>2</w:t>
            </w:r>
            <w:r>
              <w:rPr>
                <w:rFonts w:hint="eastAsia" w:ascii="宋体" w:hAnsi="宋体" w:eastAsia="宋体" w:cs="宋体"/>
                <w:color w:val="auto"/>
                <w:sz w:val="20"/>
                <w:szCs w:val="20"/>
              </w:rPr>
              <w:t>分</w:t>
            </w:r>
          </w:p>
        </w:tc>
        <w:tc>
          <w:tcPr>
            <w:tcW w:w="1155" w:type="dxa"/>
            <w:noWrap w:val="0"/>
            <w:vAlign w:val="center"/>
          </w:tcPr>
          <w:p w14:paraId="0C7F2D80">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0"/>
                <w:szCs w:val="20"/>
                <w:lang w:val="en-US" w:eastAsia="zh-CN"/>
              </w:rPr>
            </w:pPr>
          </w:p>
        </w:tc>
      </w:tr>
      <w:tr w14:paraId="019DD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4" w:type="dxa"/>
            <w:vMerge w:val="continue"/>
            <w:noWrap w:val="0"/>
            <w:vAlign w:val="center"/>
          </w:tcPr>
          <w:p w14:paraId="4E450F42">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0"/>
                <w:szCs w:val="20"/>
              </w:rPr>
            </w:pPr>
          </w:p>
        </w:tc>
        <w:tc>
          <w:tcPr>
            <w:tcW w:w="1075" w:type="dxa"/>
            <w:vMerge w:val="continue"/>
            <w:noWrap w:val="0"/>
            <w:vAlign w:val="center"/>
          </w:tcPr>
          <w:p w14:paraId="2A85712B">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0"/>
                <w:szCs w:val="20"/>
              </w:rPr>
            </w:pPr>
          </w:p>
        </w:tc>
        <w:tc>
          <w:tcPr>
            <w:tcW w:w="3270" w:type="dxa"/>
            <w:noWrap w:val="0"/>
            <w:vAlign w:val="center"/>
          </w:tcPr>
          <w:p w14:paraId="289D1C8C">
            <w:pPr>
              <w:keepNext w:val="0"/>
              <w:keepLines w:val="0"/>
              <w:pageBreakBefore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7、驾驶员、照管员未定期参加安全培训，新员工未培训上岗</w:t>
            </w:r>
          </w:p>
        </w:tc>
        <w:tc>
          <w:tcPr>
            <w:tcW w:w="2025" w:type="dxa"/>
            <w:noWrap w:val="0"/>
            <w:vAlign w:val="center"/>
          </w:tcPr>
          <w:p w14:paraId="1288ACED">
            <w:pPr>
              <w:keepNext w:val="0"/>
              <w:keepLines w:val="0"/>
              <w:pageBreakBefore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发现一次扣1分</w:t>
            </w:r>
          </w:p>
        </w:tc>
        <w:tc>
          <w:tcPr>
            <w:tcW w:w="1155" w:type="dxa"/>
            <w:noWrap w:val="0"/>
            <w:vAlign w:val="center"/>
          </w:tcPr>
          <w:p w14:paraId="6C059477">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0"/>
                <w:szCs w:val="20"/>
                <w:lang w:val="en-US" w:eastAsia="zh-CN"/>
              </w:rPr>
            </w:pPr>
          </w:p>
        </w:tc>
      </w:tr>
      <w:tr w14:paraId="05D6D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4" w:type="dxa"/>
            <w:vMerge w:val="continue"/>
            <w:noWrap w:val="0"/>
            <w:vAlign w:val="center"/>
          </w:tcPr>
          <w:p w14:paraId="6E8B260D">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0"/>
                <w:szCs w:val="20"/>
              </w:rPr>
            </w:pPr>
          </w:p>
        </w:tc>
        <w:tc>
          <w:tcPr>
            <w:tcW w:w="1075" w:type="dxa"/>
            <w:vMerge w:val="continue"/>
            <w:noWrap w:val="0"/>
            <w:vAlign w:val="center"/>
          </w:tcPr>
          <w:p w14:paraId="13252F53">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0"/>
                <w:szCs w:val="20"/>
              </w:rPr>
            </w:pPr>
          </w:p>
        </w:tc>
        <w:tc>
          <w:tcPr>
            <w:tcW w:w="3270" w:type="dxa"/>
            <w:noWrap w:val="0"/>
            <w:vAlign w:val="center"/>
          </w:tcPr>
          <w:p w14:paraId="1269BFBC">
            <w:pPr>
              <w:keepNext w:val="0"/>
              <w:keepLines w:val="0"/>
              <w:pageBreakBefore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8、服务方未建立从业人员管理档案、未缴纳社保</w:t>
            </w:r>
          </w:p>
        </w:tc>
        <w:tc>
          <w:tcPr>
            <w:tcW w:w="2025" w:type="dxa"/>
            <w:noWrap w:val="0"/>
            <w:vAlign w:val="center"/>
          </w:tcPr>
          <w:p w14:paraId="0EA41919">
            <w:pPr>
              <w:keepNext w:val="0"/>
              <w:keepLines w:val="0"/>
              <w:pageBreakBefore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发现一次扣3分</w:t>
            </w:r>
          </w:p>
        </w:tc>
        <w:tc>
          <w:tcPr>
            <w:tcW w:w="1155" w:type="dxa"/>
            <w:noWrap w:val="0"/>
            <w:vAlign w:val="center"/>
          </w:tcPr>
          <w:p w14:paraId="292CF2AB">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0"/>
                <w:szCs w:val="20"/>
                <w:lang w:val="en-US" w:eastAsia="zh-CN"/>
              </w:rPr>
            </w:pPr>
          </w:p>
        </w:tc>
      </w:tr>
      <w:tr w14:paraId="22386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4" w:type="dxa"/>
            <w:vMerge w:val="restart"/>
            <w:noWrap w:val="0"/>
            <w:vAlign w:val="center"/>
          </w:tcPr>
          <w:p w14:paraId="0346AE4D">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0"/>
                <w:szCs w:val="20"/>
              </w:rPr>
            </w:pPr>
            <w:r>
              <w:rPr>
                <w:rFonts w:hint="eastAsia" w:ascii="宋体" w:hAnsi="宋体" w:eastAsia="宋体" w:cs="宋体"/>
                <w:color w:val="auto"/>
                <w:sz w:val="20"/>
                <w:szCs w:val="20"/>
              </w:rPr>
              <w:t>3</w:t>
            </w:r>
          </w:p>
        </w:tc>
        <w:tc>
          <w:tcPr>
            <w:tcW w:w="1075" w:type="dxa"/>
            <w:vMerge w:val="restart"/>
            <w:noWrap w:val="0"/>
            <w:vAlign w:val="center"/>
          </w:tcPr>
          <w:p w14:paraId="33C43738">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0"/>
                <w:szCs w:val="20"/>
                <w:lang w:val="en-US"/>
              </w:rPr>
            </w:pPr>
            <w:r>
              <w:rPr>
                <w:rFonts w:hint="eastAsia" w:ascii="宋体" w:hAnsi="宋体" w:eastAsia="宋体" w:cs="宋体"/>
                <w:color w:val="auto"/>
                <w:sz w:val="20"/>
                <w:szCs w:val="20"/>
                <w:lang w:val="en-US" w:eastAsia="zh-CN"/>
              </w:rPr>
              <w:t>运营安全与线路管理（48分）</w:t>
            </w:r>
          </w:p>
        </w:tc>
        <w:tc>
          <w:tcPr>
            <w:tcW w:w="3270" w:type="dxa"/>
            <w:noWrap w:val="0"/>
            <w:vAlign w:val="center"/>
          </w:tcPr>
          <w:p w14:paraId="2219C4C0">
            <w:pPr>
              <w:keepNext w:val="0"/>
              <w:keepLines w:val="0"/>
              <w:pageBreakBefore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1、校车超员、违规搭载无关人员</w:t>
            </w:r>
          </w:p>
        </w:tc>
        <w:tc>
          <w:tcPr>
            <w:tcW w:w="2025" w:type="dxa"/>
            <w:noWrap w:val="0"/>
            <w:vAlign w:val="center"/>
          </w:tcPr>
          <w:p w14:paraId="2C2A5F69">
            <w:pPr>
              <w:keepNext w:val="0"/>
              <w:keepLines w:val="0"/>
              <w:pageBreakBefore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0"/>
                <w:szCs w:val="20"/>
              </w:rPr>
            </w:pPr>
            <w:r>
              <w:rPr>
                <w:rFonts w:hint="eastAsia" w:ascii="宋体" w:hAnsi="宋体" w:eastAsia="宋体" w:cs="宋体"/>
                <w:color w:val="auto"/>
                <w:sz w:val="20"/>
                <w:szCs w:val="20"/>
              </w:rPr>
              <w:t>发现一次扣</w:t>
            </w:r>
            <w:r>
              <w:rPr>
                <w:rFonts w:hint="eastAsia" w:ascii="宋体" w:hAnsi="宋体" w:eastAsia="宋体" w:cs="宋体"/>
                <w:color w:val="auto"/>
                <w:sz w:val="20"/>
                <w:szCs w:val="20"/>
                <w:lang w:val="en-US" w:eastAsia="zh-CN"/>
              </w:rPr>
              <w:t>8</w:t>
            </w:r>
            <w:r>
              <w:rPr>
                <w:rFonts w:hint="eastAsia" w:ascii="宋体" w:hAnsi="宋体" w:eastAsia="宋体" w:cs="宋体"/>
                <w:color w:val="auto"/>
                <w:sz w:val="20"/>
                <w:szCs w:val="20"/>
              </w:rPr>
              <w:t>分</w:t>
            </w:r>
          </w:p>
        </w:tc>
        <w:tc>
          <w:tcPr>
            <w:tcW w:w="1155" w:type="dxa"/>
            <w:noWrap w:val="0"/>
            <w:vAlign w:val="center"/>
          </w:tcPr>
          <w:p w14:paraId="73D4D263">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0"/>
                <w:szCs w:val="20"/>
                <w:lang w:val="en-US" w:eastAsia="zh-CN"/>
              </w:rPr>
            </w:pPr>
          </w:p>
        </w:tc>
      </w:tr>
      <w:tr w14:paraId="15D81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4" w:type="dxa"/>
            <w:vMerge w:val="continue"/>
            <w:noWrap w:val="0"/>
            <w:vAlign w:val="center"/>
          </w:tcPr>
          <w:p w14:paraId="3CD4726A">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0"/>
                <w:szCs w:val="20"/>
              </w:rPr>
            </w:pPr>
          </w:p>
        </w:tc>
        <w:tc>
          <w:tcPr>
            <w:tcW w:w="1075" w:type="dxa"/>
            <w:vMerge w:val="continue"/>
            <w:noWrap w:val="0"/>
            <w:vAlign w:val="center"/>
          </w:tcPr>
          <w:p w14:paraId="323D7D93">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0"/>
                <w:szCs w:val="20"/>
              </w:rPr>
            </w:pPr>
          </w:p>
        </w:tc>
        <w:tc>
          <w:tcPr>
            <w:tcW w:w="3270" w:type="dxa"/>
            <w:noWrap w:val="0"/>
            <w:vAlign w:val="center"/>
          </w:tcPr>
          <w:p w14:paraId="08F8CCB7">
            <w:pPr>
              <w:keepNext w:val="0"/>
              <w:keepLines w:val="0"/>
              <w:pageBreakBefore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2、不按核定路线行驶、擅自更改接送时间、中途随意停靠</w:t>
            </w:r>
          </w:p>
        </w:tc>
        <w:tc>
          <w:tcPr>
            <w:tcW w:w="2025" w:type="dxa"/>
            <w:noWrap w:val="0"/>
            <w:vAlign w:val="center"/>
          </w:tcPr>
          <w:p w14:paraId="0DEC3391">
            <w:pPr>
              <w:keepNext w:val="0"/>
              <w:keepLines w:val="0"/>
              <w:pageBreakBefore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0"/>
                <w:szCs w:val="20"/>
              </w:rPr>
            </w:pPr>
            <w:r>
              <w:rPr>
                <w:rFonts w:hint="eastAsia" w:ascii="宋体" w:hAnsi="宋体" w:eastAsia="宋体" w:cs="宋体"/>
                <w:color w:val="auto"/>
                <w:sz w:val="20"/>
                <w:szCs w:val="20"/>
              </w:rPr>
              <w:t>发现一次扣</w:t>
            </w:r>
            <w:r>
              <w:rPr>
                <w:rFonts w:hint="eastAsia" w:ascii="宋体" w:hAnsi="宋体" w:eastAsia="宋体" w:cs="宋体"/>
                <w:color w:val="auto"/>
                <w:sz w:val="20"/>
                <w:szCs w:val="20"/>
                <w:lang w:val="en-US" w:eastAsia="zh-CN"/>
              </w:rPr>
              <w:t>2</w:t>
            </w:r>
            <w:r>
              <w:rPr>
                <w:rFonts w:hint="eastAsia" w:ascii="宋体" w:hAnsi="宋体" w:eastAsia="宋体" w:cs="宋体"/>
                <w:color w:val="auto"/>
                <w:sz w:val="20"/>
                <w:szCs w:val="20"/>
              </w:rPr>
              <w:t>分</w:t>
            </w:r>
          </w:p>
        </w:tc>
        <w:tc>
          <w:tcPr>
            <w:tcW w:w="1155" w:type="dxa"/>
            <w:noWrap w:val="0"/>
            <w:vAlign w:val="center"/>
          </w:tcPr>
          <w:p w14:paraId="7DFE6AD1">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0"/>
                <w:szCs w:val="20"/>
                <w:lang w:val="en-US" w:eastAsia="zh-CN"/>
              </w:rPr>
            </w:pPr>
          </w:p>
        </w:tc>
      </w:tr>
      <w:tr w14:paraId="10B93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4" w:type="dxa"/>
            <w:vMerge w:val="continue"/>
            <w:noWrap w:val="0"/>
            <w:vAlign w:val="center"/>
          </w:tcPr>
          <w:p w14:paraId="464A576A">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0"/>
                <w:szCs w:val="20"/>
              </w:rPr>
            </w:pPr>
          </w:p>
        </w:tc>
        <w:tc>
          <w:tcPr>
            <w:tcW w:w="1075" w:type="dxa"/>
            <w:vMerge w:val="continue"/>
            <w:noWrap w:val="0"/>
            <w:vAlign w:val="center"/>
          </w:tcPr>
          <w:p w14:paraId="533F3BAD">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0"/>
                <w:szCs w:val="20"/>
              </w:rPr>
            </w:pPr>
          </w:p>
        </w:tc>
        <w:tc>
          <w:tcPr>
            <w:tcW w:w="3270" w:type="dxa"/>
            <w:noWrap w:val="0"/>
            <w:vAlign w:val="center"/>
          </w:tcPr>
          <w:p w14:paraId="234747DF">
            <w:pPr>
              <w:keepNext w:val="0"/>
              <w:keepLines w:val="0"/>
              <w:pageBreakBefore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3、变更线路未与幼儿园协商备案</w:t>
            </w:r>
          </w:p>
        </w:tc>
        <w:tc>
          <w:tcPr>
            <w:tcW w:w="2025" w:type="dxa"/>
            <w:noWrap w:val="0"/>
            <w:vAlign w:val="center"/>
          </w:tcPr>
          <w:p w14:paraId="3BAC098C">
            <w:pPr>
              <w:keepNext w:val="0"/>
              <w:keepLines w:val="0"/>
              <w:pageBreakBefore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0"/>
                <w:szCs w:val="20"/>
              </w:rPr>
            </w:pPr>
            <w:r>
              <w:rPr>
                <w:rFonts w:hint="eastAsia" w:ascii="宋体" w:hAnsi="宋体" w:eastAsia="宋体" w:cs="宋体"/>
                <w:color w:val="auto"/>
                <w:sz w:val="20"/>
                <w:szCs w:val="20"/>
              </w:rPr>
              <w:t>发现一次扣</w:t>
            </w:r>
            <w:r>
              <w:rPr>
                <w:rFonts w:hint="eastAsia" w:ascii="宋体" w:hAnsi="宋体" w:eastAsia="宋体" w:cs="宋体"/>
                <w:color w:val="auto"/>
                <w:sz w:val="20"/>
                <w:szCs w:val="20"/>
                <w:lang w:val="en-US" w:eastAsia="zh-CN"/>
              </w:rPr>
              <w:t>3</w:t>
            </w:r>
            <w:r>
              <w:rPr>
                <w:rFonts w:hint="eastAsia" w:ascii="宋体" w:hAnsi="宋体" w:eastAsia="宋体" w:cs="宋体"/>
                <w:color w:val="auto"/>
                <w:sz w:val="20"/>
                <w:szCs w:val="20"/>
              </w:rPr>
              <w:t>分</w:t>
            </w:r>
          </w:p>
        </w:tc>
        <w:tc>
          <w:tcPr>
            <w:tcW w:w="1155" w:type="dxa"/>
            <w:noWrap w:val="0"/>
            <w:vAlign w:val="center"/>
          </w:tcPr>
          <w:p w14:paraId="6CDD8F65">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0"/>
                <w:szCs w:val="20"/>
                <w:lang w:val="en-US" w:eastAsia="zh-CN"/>
              </w:rPr>
            </w:pPr>
          </w:p>
        </w:tc>
      </w:tr>
      <w:tr w14:paraId="5ED4A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4" w:type="dxa"/>
            <w:vMerge w:val="continue"/>
            <w:noWrap w:val="0"/>
            <w:vAlign w:val="center"/>
          </w:tcPr>
          <w:p w14:paraId="317957B2">
            <w:pPr>
              <w:keepNext w:val="0"/>
              <w:keepLines w:val="0"/>
              <w:pageBreakBefore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0"/>
                <w:szCs w:val="20"/>
                <w:lang w:val="en-US" w:eastAsia="zh-CN"/>
              </w:rPr>
            </w:pPr>
          </w:p>
        </w:tc>
        <w:tc>
          <w:tcPr>
            <w:tcW w:w="1075" w:type="dxa"/>
            <w:vMerge w:val="continue"/>
            <w:noWrap w:val="0"/>
            <w:vAlign w:val="center"/>
          </w:tcPr>
          <w:p w14:paraId="2FE0B75C">
            <w:pPr>
              <w:keepNext w:val="0"/>
              <w:keepLines w:val="0"/>
              <w:pageBreakBefore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0"/>
                <w:szCs w:val="20"/>
                <w:lang w:val="en-US" w:eastAsia="zh-CN"/>
              </w:rPr>
            </w:pPr>
          </w:p>
        </w:tc>
        <w:tc>
          <w:tcPr>
            <w:tcW w:w="3270" w:type="dxa"/>
            <w:noWrap w:val="0"/>
            <w:vAlign w:val="center"/>
          </w:tcPr>
          <w:p w14:paraId="2BD1B2F5">
            <w:pPr>
              <w:keepNext w:val="0"/>
              <w:keepLines w:val="0"/>
              <w:pageBreakBefore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4、恶劣天气、车辆故障无应急处置预案，发生突发情况处置不当</w:t>
            </w:r>
          </w:p>
        </w:tc>
        <w:tc>
          <w:tcPr>
            <w:tcW w:w="2025" w:type="dxa"/>
            <w:noWrap w:val="0"/>
            <w:vAlign w:val="center"/>
          </w:tcPr>
          <w:p w14:paraId="6DD99CE6">
            <w:pPr>
              <w:keepNext w:val="0"/>
              <w:keepLines w:val="0"/>
              <w:pageBreakBefore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发现一次扣3分</w:t>
            </w:r>
          </w:p>
        </w:tc>
        <w:tc>
          <w:tcPr>
            <w:tcW w:w="1155" w:type="dxa"/>
            <w:noWrap w:val="0"/>
            <w:vAlign w:val="center"/>
          </w:tcPr>
          <w:p w14:paraId="1224D73D">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0"/>
                <w:szCs w:val="20"/>
                <w:lang w:val="en-US" w:eastAsia="zh-CN"/>
              </w:rPr>
            </w:pPr>
          </w:p>
        </w:tc>
      </w:tr>
      <w:tr w14:paraId="0AF27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4" w:type="dxa"/>
            <w:vMerge w:val="continue"/>
            <w:noWrap w:val="0"/>
            <w:vAlign w:val="center"/>
          </w:tcPr>
          <w:p w14:paraId="1B530A7C">
            <w:pPr>
              <w:keepNext w:val="0"/>
              <w:keepLines w:val="0"/>
              <w:pageBreakBefore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0"/>
                <w:szCs w:val="20"/>
                <w:lang w:val="en-US" w:eastAsia="zh-CN"/>
              </w:rPr>
            </w:pPr>
          </w:p>
        </w:tc>
        <w:tc>
          <w:tcPr>
            <w:tcW w:w="1075" w:type="dxa"/>
            <w:vMerge w:val="continue"/>
            <w:noWrap w:val="0"/>
            <w:vAlign w:val="center"/>
          </w:tcPr>
          <w:p w14:paraId="6CA6B7A8">
            <w:pPr>
              <w:keepNext w:val="0"/>
              <w:keepLines w:val="0"/>
              <w:pageBreakBefore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0"/>
                <w:szCs w:val="20"/>
                <w:lang w:val="en-US" w:eastAsia="zh-CN"/>
              </w:rPr>
            </w:pPr>
          </w:p>
        </w:tc>
        <w:tc>
          <w:tcPr>
            <w:tcW w:w="3270" w:type="dxa"/>
            <w:noWrap w:val="0"/>
            <w:vAlign w:val="center"/>
          </w:tcPr>
          <w:p w14:paraId="1910DEE3">
            <w:pPr>
              <w:keepNext w:val="0"/>
              <w:keepLines w:val="0"/>
              <w:pageBreakBefore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5、接送幼儿未在指定站点靠边停靠、未开启警示灯</w:t>
            </w:r>
          </w:p>
        </w:tc>
        <w:tc>
          <w:tcPr>
            <w:tcW w:w="2025" w:type="dxa"/>
            <w:noWrap w:val="0"/>
            <w:vAlign w:val="center"/>
          </w:tcPr>
          <w:p w14:paraId="5BADFC56">
            <w:pPr>
              <w:keepNext w:val="0"/>
              <w:keepLines w:val="0"/>
              <w:pageBreakBefore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发现一次扣1分</w:t>
            </w:r>
          </w:p>
        </w:tc>
        <w:tc>
          <w:tcPr>
            <w:tcW w:w="1155" w:type="dxa"/>
            <w:noWrap w:val="0"/>
            <w:vAlign w:val="center"/>
          </w:tcPr>
          <w:p w14:paraId="00395DDA">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0"/>
                <w:szCs w:val="20"/>
                <w:lang w:val="en-US" w:eastAsia="zh-CN"/>
              </w:rPr>
            </w:pPr>
          </w:p>
        </w:tc>
      </w:tr>
      <w:tr w14:paraId="5755F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4" w:type="dxa"/>
            <w:vMerge w:val="continue"/>
            <w:noWrap w:val="0"/>
            <w:vAlign w:val="center"/>
          </w:tcPr>
          <w:p w14:paraId="05E24277">
            <w:pPr>
              <w:keepNext w:val="0"/>
              <w:keepLines w:val="0"/>
              <w:pageBreakBefore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0"/>
                <w:szCs w:val="20"/>
                <w:lang w:val="en-US" w:eastAsia="zh-CN"/>
              </w:rPr>
            </w:pPr>
          </w:p>
        </w:tc>
        <w:tc>
          <w:tcPr>
            <w:tcW w:w="1075" w:type="dxa"/>
            <w:vMerge w:val="continue"/>
            <w:noWrap w:val="0"/>
            <w:vAlign w:val="center"/>
          </w:tcPr>
          <w:p w14:paraId="6FA5F2F3">
            <w:pPr>
              <w:keepNext w:val="0"/>
              <w:keepLines w:val="0"/>
              <w:pageBreakBefore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0"/>
                <w:szCs w:val="20"/>
                <w:lang w:val="en-US" w:eastAsia="zh-CN"/>
              </w:rPr>
            </w:pPr>
          </w:p>
        </w:tc>
        <w:tc>
          <w:tcPr>
            <w:tcW w:w="3270" w:type="dxa"/>
            <w:noWrap w:val="0"/>
            <w:vAlign w:val="center"/>
          </w:tcPr>
          <w:p w14:paraId="59FF0DC3">
            <w:pPr>
              <w:keepNext w:val="0"/>
              <w:keepLines w:val="0"/>
              <w:pageBreakBefore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6、发现幼儿携带易燃易爆危险品乘车未劝阻、未上报</w:t>
            </w:r>
          </w:p>
        </w:tc>
        <w:tc>
          <w:tcPr>
            <w:tcW w:w="2025" w:type="dxa"/>
            <w:noWrap w:val="0"/>
            <w:vAlign w:val="center"/>
          </w:tcPr>
          <w:p w14:paraId="488C6CDB">
            <w:pPr>
              <w:keepNext w:val="0"/>
              <w:keepLines w:val="0"/>
              <w:pageBreakBefore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发现一次扣2分</w:t>
            </w:r>
          </w:p>
        </w:tc>
        <w:tc>
          <w:tcPr>
            <w:tcW w:w="1155" w:type="dxa"/>
            <w:noWrap w:val="0"/>
            <w:vAlign w:val="center"/>
          </w:tcPr>
          <w:p w14:paraId="2F7F3AC1">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0"/>
                <w:szCs w:val="20"/>
                <w:lang w:val="en-US" w:eastAsia="zh-CN"/>
              </w:rPr>
            </w:pPr>
          </w:p>
        </w:tc>
      </w:tr>
      <w:tr w14:paraId="01CBD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4" w:type="dxa"/>
            <w:vMerge w:val="continue"/>
            <w:noWrap w:val="0"/>
            <w:vAlign w:val="center"/>
          </w:tcPr>
          <w:p w14:paraId="65B4DD7C">
            <w:pPr>
              <w:keepNext w:val="0"/>
              <w:keepLines w:val="0"/>
              <w:pageBreakBefore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0"/>
                <w:szCs w:val="20"/>
                <w:lang w:val="en-US" w:eastAsia="zh-CN"/>
              </w:rPr>
            </w:pPr>
          </w:p>
        </w:tc>
        <w:tc>
          <w:tcPr>
            <w:tcW w:w="1075" w:type="dxa"/>
            <w:vMerge w:val="continue"/>
            <w:noWrap w:val="0"/>
            <w:vAlign w:val="center"/>
          </w:tcPr>
          <w:p w14:paraId="0E402D7C">
            <w:pPr>
              <w:keepNext w:val="0"/>
              <w:keepLines w:val="0"/>
              <w:pageBreakBefore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0"/>
                <w:szCs w:val="20"/>
                <w:lang w:val="en-US" w:eastAsia="zh-CN"/>
              </w:rPr>
            </w:pPr>
          </w:p>
        </w:tc>
        <w:tc>
          <w:tcPr>
            <w:tcW w:w="3270" w:type="dxa"/>
            <w:noWrap w:val="0"/>
            <w:vAlign w:val="center"/>
          </w:tcPr>
          <w:p w14:paraId="214E5DEE">
            <w:pPr>
              <w:keepNext w:val="0"/>
              <w:keepLines w:val="0"/>
              <w:pageBreakBefore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7、因车辆、人员管理疏漏引发磕碰、摔伤等安全事件</w:t>
            </w:r>
          </w:p>
        </w:tc>
        <w:tc>
          <w:tcPr>
            <w:tcW w:w="2025" w:type="dxa"/>
            <w:noWrap w:val="0"/>
            <w:vAlign w:val="center"/>
          </w:tcPr>
          <w:p w14:paraId="5D30A4CA">
            <w:pPr>
              <w:keepNext w:val="0"/>
              <w:keepLines w:val="0"/>
              <w:pageBreakBefore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视轻重扣 2—10 分</w:t>
            </w:r>
          </w:p>
        </w:tc>
        <w:tc>
          <w:tcPr>
            <w:tcW w:w="1155" w:type="dxa"/>
            <w:noWrap w:val="0"/>
            <w:vAlign w:val="center"/>
          </w:tcPr>
          <w:p w14:paraId="6D620250">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0"/>
                <w:szCs w:val="20"/>
                <w:lang w:val="en-US" w:eastAsia="zh-CN"/>
              </w:rPr>
            </w:pPr>
          </w:p>
        </w:tc>
      </w:tr>
      <w:tr w14:paraId="30572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644" w:type="dxa"/>
            <w:vMerge w:val="continue"/>
            <w:noWrap w:val="0"/>
            <w:vAlign w:val="center"/>
          </w:tcPr>
          <w:p w14:paraId="0DFD6C08">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0"/>
                <w:szCs w:val="20"/>
              </w:rPr>
            </w:pPr>
          </w:p>
        </w:tc>
        <w:tc>
          <w:tcPr>
            <w:tcW w:w="1075" w:type="dxa"/>
            <w:vMerge w:val="continue"/>
            <w:noWrap w:val="0"/>
            <w:vAlign w:val="center"/>
          </w:tcPr>
          <w:p w14:paraId="70F72908">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0"/>
                <w:szCs w:val="20"/>
              </w:rPr>
            </w:pPr>
          </w:p>
        </w:tc>
        <w:tc>
          <w:tcPr>
            <w:tcW w:w="3270" w:type="dxa"/>
            <w:noWrap w:val="0"/>
            <w:vAlign w:val="center"/>
          </w:tcPr>
          <w:p w14:paraId="06CA5AE4">
            <w:pPr>
              <w:keepNext w:val="0"/>
              <w:keepLines w:val="0"/>
              <w:pageBreakBefore w:val="0"/>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0"/>
                <w:szCs w:val="20"/>
              </w:rPr>
            </w:pPr>
            <w:r>
              <w:rPr>
                <w:rFonts w:hint="eastAsia" w:ascii="宋体" w:hAnsi="宋体" w:eastAsia="宋体" w:cs="宋体"/>
                <w:color w:val="auto"/>
                <w:sz w:val="20"/>
                <w:szCs w:val="20"/>
                <w:lang w:val="en-US" w:eastAsia="zh-CN"/>
              </w:rPr>
              <w:t>8、发生安全责任事故</w:t>
            </w:r>
          </w:p>
        </w:tc>
        <w:tc>
          <w:tcPr>
            <w:tcW w:w="2025" w:type="dxa"/>
            <w:noWrap w:val="0"/>
            <w:vAlign w:val="center"/>
          </w:tcPr>
          <w:p w14:paraId="4D5DFC33">
            <w:pPr>
              <w:keepNext w:val="0"/>
              <w:keepLines w:val="0"/>
              <w:pageBreakBefore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0"/>
                <w:szCs w:val="20"/>
              </w:rPr>
            </w:pPr>
            <w:r>
              <w:rPr>
                <w:rFonts w:hint="eastAsia" w:ascii="宋体" w:hAnsi="宋体" w:eastAsia="宋体" w:cs="宋体"/>
                <w:color w:val="auto"/>
                <w:sz w:val="20"/>
                <w:szCs w:val="20"/>
                <w:lang w:val="en-US" w:eastAsia="zh-CN"/>
              </w:rPr>
              <w:t>单次直接扣20 分。</w:t>
            </w:r>
          </w:p>
        </w:tc>
        <w:tc>
          <w:tcPr>
            <w:tcW w:w="1155" w:type="dxa"/>
            <w:noWrap w:val="0"/>
            <w:vAlign w:val="center"/>
          </w:tcPr>
          <w:p w14:paraId="34F227E2">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0"/>
                <w:szCs w:val="20"/>
                <w:lang w:val="en-US" w:eastAsia="zh-CN"/>
              </w:rPr>
            </w:pPr>
          </w:p>
        </w:tc>
      </w:tr>
      <w:tr w14:paraId="7BB5E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4" w:type="dxa"/>
            <w:noWrap w:val="0"/>
            <w:vAlign w:val="center"/>
          </w:tcPr>
          <w:p w14:paraId="439634AA">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0"/>
                <w:szCs w:val="20"/>
                <w:lang w:eastAsia="zh-CN"/>
              </w:rPr>
            </w:pPr>
            <w:r>
              <w:rPr>
                <w:rFonts w:hint="eastAsia" w:ascii="宋体" w:hAnsi="宋体" w:eastAsia="宋体" w:cs="宋体"/>
                <w:color w:val="auto"/>
                <w:sz w:val="20"/>
                <w:szCs w:val="20"/>
                <w:lang w:val="en-US" w:eastAsia="zh-CN"/>
              </w:rPr>
              <w:t>4</w:t>
            </w:r>
          </w:p>
        </w:tc>
        <w:tc>
          <w:tcPr>
            <w:tcW w:w="1075" w:type="dxa"/>
            <w:noWrap w:val="0"/>
            <w:vAlign w:val="center"/>
          </w:tcPr>
          <w:p w14:paraId="2EC9C8B6">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rPr>
              <w:t>部门监管</w:t>
            </w:r>
            <w:r>
              <w:rPr>
                <w:rFonts w:hint="eastAsia" w:ascii="宋体" w:hAnsi="宋体" w:eastAsia="宋体" w:cs="宋体"/>
                <w:color w:val="auto"/>
                <w:sz w:val="20"/>
                <w:szCs w:val="20"/>
                <w:lang w:eastAsia="zh-CN"/>
              </w:rPr>
              <w:t>（</w:t>
            </w:r>
            <w:r>
              <w:rPr>
                <w:rFonts w:hint="eastAsia" w:ascii="宋体" w:hAnsi="宋体" w:eastAsia="宋体" w:cs="宋体"/>
                <w:color w:val="auto"/>
                <w:sz w:val="20"/>
                <w:szCs w:val="20"/>
                <w:lang w:val="en-US" w:eastAsia="zh-CN"/>
              </w:rPr>
              <w:t>12分）</w:t>
            </w:r>
          </w:p>
        </w:tc>
        <w:tc>
          <w:tcPr>
            <w:tcW w:w="3270" w:type="dxa"/>
            <w:noWrap w:val="0"/>
            <w:vAlign w:val="center"/>
          </w:tcPr>
          <w:p w14:paraId="30F9F5E8">
            <w:pPr>
              <w:keepNext w:val="0"/>
              <w:keepLines w:val="0"/>
              <w:pageBreakBefore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0"/>
                <w:szCs w:val="20"/>
              </w:rPr>
            </w:pPr>
            <w:r>
              <w:rPr>
                <w:rFonts w:hint="eastAsia" w:ascii="宋体" w:hAnsi="宋体" w:eastAsia="宋体" w:cs="宋体"/>
                <w:color w:val="auto"/>
                <w:sz w:val="20"/>
                <w:szCs w:val="20"/>
              </w:rPr>
              <w:t>被监管部门查处有违规行为的</w:t>
            </w:r>
          </w:p>
        </w:tc>
        <w:tc>
          <w:tcPr>
            <w:tcW w:w="2025" w:type="dxa"/>
            <w:noWrap w:val="0"/>
            <w:vAlign w:val="center"/>
          </w:tcPr>
          <w:p w14:paraId="4D6443F5">
            <w:pPr>
              <w:keepNext w:val="0"/>
              <w:keepLines w:val="0"/>
              <w:pageBreakBefore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0"/>
                <w:szCs w:val="20"/>
              </w:rPr>
            </w:pPr>
            <w:r>
              <w:rPr>
                <w:rFonts w:hint="eastAsia" w:ascii="宋体" w:hAnsi="宋体" w:eastAsia="宋体" w:cs="宋体"/>
                <w:color w:val="auto"/>
                <w:sz w:val="20"/>
                <w:szCs w:val="20"/>
              </w:rPr>
              <w:t>根据情节严重程度扣2-12分</w:t>
            </w:r>
          </w:p>
        </w:tc>
        <w:tc>
          <w:tcPr>
            <w:tcW w:w="1155" w:type="dxa"/>
            <w:noWrap w:val="0"/>
            <w:vAlign w:val="center"/>
          </w:tcPr>
          <w:p w14:paraId="008ACAA7">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0"/>
                <w:szCs w:val="20"/>
                <w:lang w:val="en-US" w:eastAsia="zh-CN"/>
              </w:rPr>
            </w:pPr>
          </w:p>
        </w:tc>
      </w:tr>
      <w:tr w14:paraId="1062D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4" w:type="dxa"/>
            <w:vMerge w:val="restart"/>
            <w:noWrap w:val="0"/>
            <w:vAlign w:val="center"/>
          </w:tcPr>
          <w:p w14:paraId="155AFE7B">
            <w:pPr>
              <w:keepNext w:val="0"/>
              <w:keepLines w:val="0"/>
              <w:pageBreakBefore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5</w:t>
            </w:r>
          </w:p>
        </w:tc>
        <w:tc>
          <w:tcPr>
            <w:tcW w:w="1075" w:type="dxa"/>
            <w:vMerge w:val="restart"/>
            <w:noWrap w:val="0"/>
            <w:vAlign w:val="center"/>
          </w:tcPr>
          <w:p w14:paraId="06AC144D">
            <w:pPr>
              <w:keepNext w:val="0"/>
              <w:keepLines w:val="0"/>
              <w:pageBreakBefore w:val="0"/>
              <w:kinsoku/>
              <w:wordWrap/>
              <w:overflowPunct/>
              <w:topLinePunct w:val="0"/>
              <w:autoSpaceDE/>
              <w:autoSpaceDN/>
              <w:bidi w:val="0"/>
              <w:adjustRightInd/>
              <w:snapToGrid/>
              <w:spacing w:line="360" w:lineRule="exact"/>
              <w:jc w:val="left"/>
              <w:textAlignment w:val="auto"/>
              <w:rPr>
                <w:rFonts w:hint="default"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加分项（10分）</w:t>
            </w:r>
          </w:p>
        </w:tc>
        <w:tc>
          <w:tcPr>
            <w:tcW w:w="3270" w:type="dxa"/>
            <w:noWrap w:val="0"/>
            <w:vAlign w:val="center"/>
          </w:tcPr>
          <w:p w14:paraId="20284F2F">
            <w:pPr>
              <w:keepNext w:val="0"/>
              <w:keepLines w:val="0"/>
              <w:pageBreakBefore w:val="0"/>
              <w:kinsoku/>
              <w:wordWrap/>
              <w:overflowPunct/>
              <w:topLinePunct w:val="0"/>
              <w:autoSpaceDE/>
              <w:autoSpaceDN/>
              <w:bidi w:val="0"/>
              <w:adjustRightInd/>
              <w:snapToGrid/>
              <w:spacing w:line="360" w:lineRule="exact"/>
              <w:jc w:val="left"/>
              <w:textAlignment w:val="auto"/>
              <w:rPr>
                <w:rFonts w:hint="default"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当月</w:t>
            </w:r>
            <w:r>
              <w:rPr>
                <w:rFonts w:hint="eastAsia" w:ascii="宋体" w:hAnsi="宋体" w:cs="宋体"/>
                <w:color w:val="auto"/>
                <w:sz w:val="20"/>
                <w:szCs w:val="20"/>
                <w:lang w:val="en-US" w:eastAsia="zh-CN"/>
              </w:rPr>
              <w:t>发现</w:t>
            </w:r>
            <w:r>
              <w:rPr>
                <w:rFonts w:hint="eastAsia" w:ascii="宋体" w:hAnsi="宋体" w:eastAsia="宋体" w:cs="宋体"/>
                <w:color w:val="auto"/>
                <w:sz w:val="20"/>
                <w:szCs w:val="20"/>
                <w:lang w:val="en-US" w:eastAsia="zh-CN"/>
              </w:rPr>
              <w:t>所有问题均在规定时限内整改到位的</w:t>
            </w:r>
          </w:p>
        </w:tc>
        <w:tc>
          <w:tcPr>
            <w:tcW w:w="2025" w:type="dxa"/>
            <w:noWrap w:val="0"/>
            <w:vAlign w:val="center"/>
          </w:tcPr>
          <w:p w14:paraId="3E4B1E8D">
            <w:pPr>
              <w:keepNext w:val="0"/>
              <w:keepLines w:val="0"/>
              <w:pageBreakBefore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加3分</w:t>
            </w:r>
          </w:p>
        </w:tc>
        <w:tc>
          <w:tcPr>
            <w:tcW w:w="1155" w:type="dxa"/>
            <w:noWrap w:val="0"/>
            <w:vAlign w:val="center"/>
          </w:tcPr>
          <w:p w14:paraId="7A91508E">
            <w:pPr>
              <w:keepNext w:val="0"/>
              <w:keepLines w:val="0"/>
              <w:pageBreakBefore w:val="0"/>
              <w:kinsoku/>
              <w:wordWrap/>
              <w:overflowPunct/>
              <w:topLinePunct w:val="0"/>
              <w:autoSpaceDE/>
              <w:autoSpaceDN/>
              <w:bidi w:val="0"/>
              <w:adjustRightInd/>
              <w:snapToGrid/>
              <w:spacing w:line="360" w:lineRule="exact"/>
              <w:textAlignment w:val="auto"/>
              <w:rPr>
                <w:rFonts w:hint="eastAsia" w:ascii="宋体" w:hAnsi="宋体" w:eastAsia="宋体" w:cs="宋体"/>
              </w:rPr>
            </w:pPr>
          </w:p>
        </w:tc>
      </w:tr>
      <w:tr w14:paraId="15C49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4" w:type="dxa"/>
            <w:vMerge w:val="continue"/>
            <w:noWrap w:val="0"/>
            <w:vAlign w:val="center"/>
          </w:tcPr>
          <w:p w14:paraId="473AB12A">
            <w:pPr>
              <w:keepNext w:val="0"/>
              <w:keepLines w:val="0"/>
              <w:pageBreakBefore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0"/>
                <w:szCs w:val="20"/>
                <w:lang w:val="en-US" w:eastAsia="zh-CN"/>
              </w:rPr>
            </w:pPr>
          </w:p>
        </w:tc>
        <w:tc>
          <w:tcPr>
            <w:tcW w:w="1075" w:type="dxa"/>
            <w:vMerge w:val="continue"/>
            <w:noWrap w:val="0"/>
            <w:vAlign w:val="center"/>
          </w:tcPr>
          <w:p w14:paraId="1C51946F">
            <w:pPr>
              <w:keepNext w:val="0"/>
              <w:keepLines w:val="0"/>
              <w:pageBreakBefore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0"/>
                <w:szCs w:val="20"/>
                <w:lang w:val="en-US" w:eastAsia="zh-CN"/>
              </w:rPr>
            </w:pPr>
          </w:p>
        </w:tc>
        <w:tc>
          <w:tcPr>
            <w:tcW w:w="3270" w:type="dxa"/>
            <w:noWrap w:val="0"/>
            <w:vAlign w:val="center"/>
          </w:tcPr>
          <w:p w14:paraId="16571F00">
            <w:pPr>
              <w:keepNext w:val="0"/>
              <w:keepLines w:val="0"/>
              <w:pageBreakBefore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0"/>
                <w:szCs w:val="20"/>
                <w:lang w:val="en-US" w:eastAsia="zh-CN"/>
              </w:rPr>
            </w:pPr>
            <w:r>
              <w:rPr>
                <w:rFonts w:hint="eastAsia" w:ascii="宋体" w:hAnsi="宋体" w:cs="宋体"/>
                <w:color w:val="auto"/>
                <w:sz w:val="20"/>
                <w:szCs w:val="20"/>
                <w:lang w:val="en-US" w:eastAsia="zh-CN"/>
              </w:rPr>
              <w:t>当月</w:t>
            </w:r>
            <w:r>
              <w:rPr>
                <w:rFonts w:hint="eastAsia" w:ascii="宋体" w:hAnsi="宋体" w:eastAsia="宋体" w:cs="宋体"/>
                <w:color w:val="auto"/>
                <w:sz w:val="20"/>
                <w:szCs w:val="20"/>
                <w:lang w:val="en-US" w:eastAsia="zh-CN"/>
              </w:rPr>
              <w:t>未发生任何安全责任事故</w:t>
            </w:r>
          </w:p>
        </w:tc>
        <w:tc>
          <w:tcPr>
            <w:tcW w:w="2025" w:type="dxa"/>
            <w:noWrap w:val="0"/>
            <w:vAlign w:val="center"/>
          </w:tcPr>
          <w:p w14:paraId="02C6124E">
            <w:pPr>
              <w:keepNext w:val="0"/>
              <w:keepLines w:val="0"/>
              <w:pageBreakBefore w:val="0"/>
              <w:kinsoku/>
              <w:wordWrap/>
              <w:overflowPunct/>
              <w:topLinePunct w:val="0"/>
              <w:autoSpaceDE/>
              <w:autoSpaceDN/>
              <w:bidi w:val="0"/>
              <w:adjustRightInd/>
              <w:snapToGrid/>
              <w:spacing w:line="360" w:lineRule="exact"/>
              <w:jc w:val="left"/>
              <w:textAlignment w:val="auto"/>
              <w:rPr>
                <w:rFonts w:hint="default" w:ascii="宋体" w:hAnsi="宋体" w:eastAsia="宋体" w:cs="宋体"/>
                <w:color w:val="auto"/>
                <w:sz w:val="20"/>
                <w:szCs w:val="20"/>
                <w:lang w:val="en-US" w:eastAsia="zh-CN"/>
              </w:rPr>
            </w:pPr>
            <w:r>
              <w:rPr>
                <w:rFonts w:hint="eastAsia" w:ascii="宋体" w:hAnsi="宋体" w:cs="宋体"/>
                <w:color w:val="auto"/>
                <w:sz w:val="20"/>
                <w:szCs w:val="20"/>
                <w:lang w:val="en-US" w:eastAsia="zh-CN"/>
              </w:rPr>
              <w:t>加7分</w:t>
            </w:r>
          </w:p>
        </w:tc>
        <w:tc>
          <w:tcPr>
            <w:tcW w:w="1155" w:type="dxa"/>
            <w:noWrap w:val="0"/>
            <w:vAlign w:val="center"/>
          </w:tcPr>
          <w:p w14:paraId="590A0027">
            <w:pPr>
              <w:keepNext w:val="0"/>
              <w:keepLines w:val="0"/>
              <w:pageBreakBefore w:val="0"/>
              <w:kinsoku/>
              <w:wordWrap/>
              <w:overflowPunct/>
              <w:topLinePunct w:val="0"/>
              <w:autoSpaceDE/>
              <w:autoSpaceDN/>
              <w:bidi w:val="0"/>
              <w:adjustRightInd/>
              <w:snapToGrid/>
              <w:spacing w:line="360" w:lineRule="exact"/>
              <w:textAlignment w:val="auto"/>
              <w:rPr>
                <w:rFonts w:hint="eastAsia" w:ascii="宋体" w:hAnsi="宋体" w:eastAsia="宋体" w:cs="宋体"/>
              </w:rPr>
            </w:pPr>
          </w:p>
        </w:tc>
      </w:tr>
    </w:tbl>
    <w:p w14:paraId="755A948F">
      <w:pPr>
        <w:keepNext w:val="0"/>
        <w:keepLines w:val="0"/>
        <w:pageBreakBefore w:val="0"/>
        <w:kinsoku/>
        <w:wordWrap/>
        <w:overflowPunct/>
        <w:topLinePunct w:val="0"/>
        <w:bidi w:val="0"/>
        <w:spacing w:line="600" w:lineRule="exact"/>
        <w:rPr>
          <w:rFonts w:hint="eastAsia" w:ascii="仿宋_GB2312" w:hAnsi="仿宋_GB2312" w:eastAsia="仿宋_GB2312" w:cs="仿宋_GB2312"/>
          <w:b/>
          <w:color w:val="auto"/>
          <w:sz w:val="32"/>
          <w:szCs w:val="32"/>
          <w:highlight w:val="none"/>
        </w:rPr>
      </w:pPr>
    </w:p>
    <w:sectPr>
      <w:footerReference r:id="rId3"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Arial Unicode MS">
    <w:altName w:val="Malgun Gothic Semilight"/>
    <w:panose1 w:val="020B0604020002020204"/>
    <w:charset w:val="86"/>
    <w:family w:val="swiss"/>
    <w:pitch w:val="default"/>
    <w:sig w:usb0="00000000" w:usb1="00000000" w:usb2="0000003F" w:usb3="00000000" w:csb0="603F01FF" w:csb1="FFFF0000"/>
  </w:font>
  <w:font w:name="Malgun Gothic Semilight">
    <w:panose1 w:val="020B0502040204020203"/>
    <w:charset w:val="86"/>
    <w:family w:val="auto"/>
    <w:pitch w:val="default"/>
    <w:sig w:usb0="900002AF" w:usb1="01D77CFB" w:usb2="00000012" w:usb3="00000000" w:csb0="203E01BD" w:csb1="D7FF0000"/>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4E7E69">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81302B">
                          <w:pPr>
                            <w:pStyle w:val="10"/>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E81302B">
                    <w:pPr>
                      <w:pStyle w:val="10"/>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5F037B"/>
    <w:rsid w:val="00991ADF"/>
    <w:rsid w:val="00C30909"/>
    <w:rsid w:val="00F76805"/>
    <w:rsid w:val="01553125"/>
    <w:rsid w:val="0156352C"/>
    <w:rsid w:val="01611507"/>
    <w:rsid w:val="016A2FD3"/>
    <w:rsid w:val="017D2DFF"/>
    <w:rsid w:val="018F2EE2"/>
    <w:rsid w:val="01995B0E"/>
    <w:rsid w:val="01EE5E5A"/>
    <w:rsid w:val="028E2E97"/>
    <w:rsid w:val="029E162E"/>
    <w:rsid w:val="02C1531D"/>
    <w:rsid w:val="02C92423"/>
    <w:rsid w:val="02CE17E8"/>
    <w:rsid w:val="02DA63DE"/>
    <w:rsid w:val="02E132C9"/>
    <w:rsid w:val="02F456F2"/>
    <w:rsid w:val="0301396B"/>
    <w:rsid w:val="038325D2"/>
    <w:rsid w:val="038C592B"/>
    <w:rsid w:val="03C2134C"/>
    <w:rsid w:val="041D47D5"/>
    <w:rsid w:val="041D6583"/>
    <w:rsid w:val="04B8274F"/>
    <w:rsid w:val="059A2623"/>
    <w:rsid w:val="05A52CD4"/>
    <w:rsid w:val="05AD3936"/>
    <w:rsid w:val="05B41169"/>
    <w:rsid w:val="05BE78F1"/>
    <w:rsid w:val="05D709B3"/>
    <w:rsid w:val="05D90BCF"/>
    <w:rsid w:val="06021ED4"/>
    <w:rsid w:val="065D535C"/>
    <w:rsid w:val="06606BFB"/>
    <w:rsid w:val="06BC6527"/>
    <w:rsid w:val="070B125C"/>
    <w:rsid w:val="07506C6F"/>
    <w:rsid w:val="07544BCC"/>
    <w:rsid w:val="0754675F"/>
    <w:rsid w:val="07591FC8"/>
    <w:rsid w:val="078B7CA7"/>
    <w:rsid w:val="0790350F"/>
    <w:rsid w:val="0810758D"/>
    <w:rsid w:val="08393BA7"/>
    <w:rsid w:val="085B3B1D"/>
    <w:rsid w:val="085D5AE7"/>
    <w:rsid w:val="08872B64"/>
    <w:rsid w:val="08966904"/>
    <w:rsid w:val="089B216C"/>
    <w:rsid w:val="08AB6853"/>
    <w:rsid w:val="08BD6586"/>
    <w:rsid w:val="08FE5D23"/>
    <w:rsid w:val="09B63701"/>
    <w:rsid w:val="09D678FF"/>
    <w:rsid w:val="09E55D95"/>
    <w:rsid w:val="09F14739"/>
    <w:rsid w:val="09F47D86"/>
    <w:rsid w:val="09FF534A"/>
    <w:rsid w:val="0A20501F"/>
    <w:rsid w:val="0A886720"/>
    <w:rsid w:val="0AE93662"/>
    <w:rsid w:val="0B093D05"/>
    <w:rsid w:val="0B6D4294"/>
    <w:rsid w:val="0B753148"/>
    <w:rsid w:val="0B865355"/>
    <w:rsid w:val="0B941535"/>
    <w:rsid w:val="0C4C3EA9"/>
    <w:rsid w:val="0CCD4616"/>
    <w:rsid w:val="0CCE2B10"/>
    <w:rsid w:val="0CE560AB"/>
    <w:rsid w:val="0D31309F"/>
    <w:rsid w:val="0D531267"/>
    <w:rsid w:val="0DA41EBA"/>
    <w:rsid w:val="0DAE2941"/>
    <w:rsid w:val="0DBA7538"/>
    <w:rsid w:val="0DE16873"/>
    <w:rsid w:val="0E1A7D31"/>
    <w:rsid w:val="0E3966AF"/>
    <w:rsid w:val="0E547045"/>
    <w:rsid w:val="0E6179B4"/>
    <w:rsid w:val="0E63372C"/>
    <w:rsid w:val="0E6D6359"/>
    <w:rsid w:val="0E7E0566"/>
    <w:rsid w:val="0E96765D"/>
    <w:rsid w:val="0EDF67AA"/>
    <w:rsid w:val="0EEF3211"/>
    <w:rsid w:val="0EF95E3E"/>
    <w:rsid w:val="0F0A3BA7"/>
    <w:rsid w:val="0F20161D"/>
    <w:rsid w:val="0F276507"/>
    <w:rsid w:val="0F474DFC"/>
    <w:rsid w:val="0F781459"/>
    <w:rsid w:val="0F8676D2"/>
    <w:rsid w:val="0F9256C4"/>
    <w:rsid w:val="0F9F0794"/>
    <w:rsid w:val="0FE34B24"/>
    <w:rsid w:val="10140F37"/>
    <w:rsid w:val="103510F8"/>
    <w:rsid w:val="10563548"/>
    <w:rsid w:val="1074577C"/>
    <w:rsid w:val="109202F8"/>
    <w:rsid w:val="10E3728B"/>
    <w:rsid w:val="1145536B"/>
    <w:rsid w:val="114710E3"/>
    <w:rsid w:val="11553800"/>
    <w:rsid w:val="11BF511D"/>
    <w:rsid w:val="11D230A2"/>
    <w:rsid w:val="12117DB8"/>
    <w:rsid w:val="125E66E4"/>
    <w:rsid w:val="12B97DBE"/>
    <w:rsid w:val="12E0359D"/>
    <w:rsid w:val="131E40C5"/>
    <w:rsid w:val="13315BA7"/>
    <w:rsid w:val="13373808"/>
    <w:rsid w:val="13433B2C"/>
    <w:rsid w:val="136715C8"/>
    <w:rsid w:val="14186D67"/>
    <w:rsid w:val="14515DD5"/>
    <w:rsid w:val="149E726C"/>
    <w:rsid w:val="151614F8"/>
    <w:rsid w:val="157E709D"/>
    <w:rsid w:val="159348F7"/>
    <w:rsid w:val="15E96C0C"/>
    <w:rsid w:val="15F65BCD"/>
    <w:rsid w:val="16175528"/>
    <w:rsid w:val="163065E9"/>
    <w:rsid w:val="165A3666"/>
    <w:rsid w:val="16704C38"/>
    <w:rsid w:val="16875606"/>
    <w:rsid w:val="169E17A5"/>
    <w:rsid w:val="16F45869"/>
    <w:rsid w:val="16FD705A"/>
    <w:rsid w:val="170F26A3"/>
    <w:rsid w:val="17312619"/>
    <w:rsid w:val="17536007"/>
    <w:rsid w:val="179130B8"/>
    <w:rsid w:val="180E64B6"/>
    <w:rsid w:val="181A12FF"/>
    <w:rsid w:val="187D363C"/>
    <w:rsid w:val="18AB12B8"/>
    <w:rsid w:val="18E216F1"/>
    <w:rsid w:val="19061883"/>
    <w:rsid w:val="190927DF"/>
    <w:rsid w:val="192D0BBE"/>
    <w:rsid w:val="198C7FDB"/>
    <w:rsid w:val="198F3627"/>
    <w:rsid w:val="19C91969"/>
    <w:rsid w:val="19D465D8"/>
    <w:rsid w:val="1A2C531A"/>
    <w:rsid w:val="1A692D3D"/>
    <w:rsid w:val="1A8B0292"/>
    <w:rsid w:val="1A935399"/>
    <w:rsid w:val="1AB1581F"/>
    <w:rsid w:val="1AB84DFF"/>
    <w:rsid w:val="1AC94917"/>
    <w:rsid w:val="1AD751A4"/>
    <w:rsid w:val="1B0911B7"/>
    <w:rsid w:val="1B1C713C"/>
    <w:rsid w:val="1B1F6C2C"/>
    <w:rsid w:val="1B440441"/>
    <w:rsid w:val="1B4A1EFB"/>
    <w:rsid w:val="1B632FBD"/>
    <w:rsid w:val="1BA3160C"/>
    <w:rsid w:val="1BDE58DF"/>
    <w:rsid w:val="1BFC2ACA"/>
    <w:rsid w:val="1CD557F5"/>
    <w:rsid w:val="1CEF76C0"/>
    <w:rsid w:val="1D2B18B9"/>
    <w:rsid w:val="1D8F119B"/>
    <w:rsid w:val="1E2A6014"/>
    <w:rsid w:val="1EB458DE"/>
    <w:rsid w:val="1F0625DD"/>
    <w:rsid w:val="1FA94A82"/>
    <w:rsid w:val="1FBE4C66"/>
    <w:rsid w:val="1FC3227C"/>
    <w:rsid w:val="206550E2"/>
    <w:rsid w:val="20983709"/>
    <w:rsid w:val="20AF2801"/>
    <w:rsid w:val="20F841A8"/>
    <w:rsid w:val="210C37AF"/>
    <w:rsid w:val="21C916A0"/>
    <w:rsid w:val="2230171F"/>
    <w:rsid w:val="22A46395"/>
    <w:rsid w:val="22E22A19"/>
    <w:rsid w:val="23045086"/>
    <w:rsid w:val="233A2855"/>
    <w:rsid w:val="233F60BE"/>
    <w:rsid w:val="23897339"/>
    <w:rsid w:val="23D05389"/>
    <w:rsid w:val="23D5257E"/>
    <w:rsid w:val="246D27B7"/>
    <w:rsid w:val="24724271"/>
    <w:rsid w:val="24A26904"/>
    <w:rsid w:val="24B6415E"/>
    <w:rsid w:val="24F609FE"/>
    <w:rsid w:val="2500362B"/>
    <w:rsid w:val="250E5D48"/>
    <w:rsid w:val="252B1120"/>
    <w:rsid w:val="2556149D"/>
    <w:rsid w:val="255B2F57"/>
    <w:rsid w:val="2564005E"/>
    <w:rsid w:val="258778A8"/>
    <w:rsid w:val="25910727"/>
    <w:rsid w:val="25C66622"/>
    <w:rsid w:val="25DF1492"/>
    <w:rsid w:val="25F56F08"/>
    <w:rsid w:val="26413EFB"/>
    <w:rsid w:val="264A1001"/>
    <w:rsid w:val="266F2816"/>
    <w:rsid w:val="26802C75"/>
    <w:rsid w:val="26C07516"/>
    <w:rsid w:val="270513CC"/>
    <w:rsid w:val="271E248E"/>
    <w:rsid w:val="273D0B66"/>
    <w:rsid w:val="27AB3D22"/>
    <w:rsid w:val="27C546B8"/>
    <w:rsid w:val="27F932B3"/>
    <w:rsid w:val="28071641"/>
    <w:rsid w:val="281713B7"/>
    <w:rsid w:val="286F2FA1"/>
    <w:rsid w:val="28884063"/>
    <w:rsid w:val="28A20C44"/>
    <w:rsid w:val="28D92B11"/>
    <w:rsid w:val="292518B2"/>
    <w:rsid w:val="295B52D4"/>
    <w:rsid w:val="295C0DBE"/>
    <w:rsid w:val="295C2DFA"/>
    <w:rsid w:val="29915199"/>
    <w:rsid w:val="29CA4207"/>
    <w:rsid w:val="29CB06AB"/>
    <w:rsid w:val="29CE1F49"/>
    <w:rsid w:val="29D357B2"/>
    <w:rsid w:val="29FB0865"/>
    <w:rsid w:val="2A157B78"/>
    <w:rsid w:val="2A1F27A5"/>
    <w:rsid w:val="2A44644C"/>
    <w:rsid w:val="2A950CB9"/>
    <w:rsid w:val="2AC84BEB"/>
    <w:rsid w:val="2ACE03F5"/>
    <w:rsid w:val="2B0D4CF3"/>
    <w:rsid w:val="2BD1187D"/>
    <w:rsid w:val="2BF437BD"/>
    <w:rsid w:val="2BFA5278"/>
    <w:rsid w:val="2C155C0E"/>
    <w:rsid w:val="2C6721E1"/>
    <w:rsid w:val="2CE872F4"/>
    <w:rsid w:val="2CED6B8B"/>
    <w:rsid w:val="2D0D4B37"/>
    <w:rsid w:val="2D88240F"/>
    <w:rsid w:val="2D9D2D85"/>
    <w:rsid w:val="2E0221C2"/>
    <w:rsid w:val="2E222864"/>
    <w:rsid w:val="2E383E35"/>
    <w:rsid w:val="2E3A5DFF"/>
    <w:rsid w:val="2E6F2D64"/>
    <w:rsid w:val="2E756E38"/>
    <w:rsid w:val="2E782484"/>
    <w:rsid w:val="2E7F3812"/>
    <w:rsid w:val="2E8A1747"/>
    <w:rsid w:val="2EBA2A9C"/>
    <w:rsid w:val="2ECB6A58"/>
    <w:rsid w:val="2F1F6DA3"/>
    <w:rsid w:val="2F727736"/>
    <w:rsid w:val="2FCE2CA3"/>
    <w:rsid w:val="2FFB15BE"/>
    <w:rsid w:val="30157CCD"/>
    <w:rsid w:val="304545E8"/>
    <w:rsid w:val="30474804"/>
    <w:rsid w:val="30874C00"/>
    <w:rsid w:val="309F1F4A"/>
    <w:rsid w:val="30C714A1"/>
    <w:rsid w:val="31CE331C"/>
    <w:rsid w:val="320A3D3B"/>
    <w:rsid w:val="322E6F53"/>
    <w:rsid w:val="32687651"/>
    <w:rsid w:val="32F04CDF"/>
    <w:rsid w:val="331309CD"/>
    <w:rsid w:val="332D7CE1"/>
    <w:rsid w:val="33843679"/>
    <w:rsid w:val="33AB6E58"/>
    <w:rsid w:val="33ED121E"/>
    <w:rsid w:val="34360E17"/>
    <w:rsid w:val="34515C51"/>
    <w:rsid w:val="34605E94"/>
    <w:rsid w:val="34781430"/>
    <w:rsid w:val="350031D3"/>
    <w:rsid w:val="356419B4"/>
    <w:rsid w:val="359202CF"/>
    <w:rsid w:val="35B71AE4"/>
    <w:rsid w:val="35DF103A"/>
    <w:rsid w:val="36B64491"/>
    <w:rsid w:val="36D30B9F"/>
    <w:rsid w:val="376E08C8"/>
    <w:rsid w:val="378325C5"/>
    <w:rsid w:val="379B4A38"/>
    <w:rsid w:val="37F1152D"/>
    <w:rsid w:val="37F7493E"/>
    <w:rsid w:val="38997BC6"/>
    <w:rsid w:val="38CE5AC2"/>
    <w:rsid w:val="38DF7CCF"/>
    <w:rsid w:val="38FF3ECD"/>
    <w:rsid w:val="392576AC"/>
    <w:rsid w:val="39394F28"/>
    <w:rsid w:val="396C0BE9"/>
    <w:rsid w:val="39897C3B"/>
    <w:rsid w:val="39916AF0"/>
    <w:rsid w:val="39A16D33"/>
    <w:rsid w:val="3A40479E"/>
    <w:rsid w:val="3A443B62"/>
    <w:rsid w:val="3A4A561C"/>
    <w:rsid w:val="3A83468A"/>
    <w:rsid w:val="3A96260F"/>
    <w:rsid w:val="3B2220F5"/>
    <w:rsid w:val="3B7D557D"/>
    <w:rsid w:val="3B815279"/>
    <w:rsid w:val="3B9603ED"/>
    <w:rsid w:val="3C137C90"/>
    <w:rsid w:val="3CDB07AE"/>
    <w:rsid w:val="3D2A5291"/>
    <w:rsid w:val="3D801355"/>
    <w:rsid w:val="3D965BBE"/>
    <w:rsid w:val="3DA23079"/>
    <w:rsid w:val="3DD84CED"/>
    <w:rsid w:val="3DEF255B"/>
    <w:rsid w:val="3E444130"/>
    <w:rsid w:val="3E570308"/>
    <w:rsid w:val="3E8F1850"/>
    <w:rsid w:val="3E9230EE"/>
    <w:rsid w:val="3E976956"/>
    <w:rsid w:val="3EA6303D"/>
    <w:rsid w:val="3ED951C1"/>
    <w:rsid w:val="3F854A01"/>
    <w:rsid w:val="3F970A7C"/>
    <w:rsid w:val="3F9B2476"/>
    <w:rsid w:val="3FAF7CCF"/>
    <w:rsid w:val="3FDD483D"/>
    <w:rsid w:val="3FEC4A80"/>
    <w:rsid w:val="3FF37BBC"/>
    <w:rsid w:val="4010076E"/>
    <w:rsid w:val="402661E4"/>
    <w:rsid w:val="40DB5220"/>
    <w:rsid w:val="41395AA3"/>
    <w:rsid w:val="41467111"/>
    <w:rsid w:val="414C1C7A"/>
    <w:rsid w:val="41586871"/>
    <w:rsid w:val="41913ED7"/>
    <w:rsid w:val="41B8730F"/>
    <w:rsid w:val="41CC6917"/>
    <w:rsid w:val="420757C4"/>
    <w:rsid w:val="422C3859"/>
    <w:rsid w:val="425352B7"/>
    <w:rsid w:val="4259696B"/>
    <w:rsid w:val="432F3601"/>
    <w:rsid w:val="438C2802"/>
    <w:rsid w:val="440E3217"/>
    <w:rsid w:val="44496945"/>
    <w:rsid w:val="444E7AB7"/>
    <w:rsid w:val="44547675"/>
    <w:rsid w:val="445D7CFA"/>
    <w:rsid w:val="453942C3"/>
    <w:rsid w:val="455C26A8"/>
    <w:rsid w:val="45D65FB6"/>
    <w:rsid w:val="45E85CE9"/>
    <w:rsid w:val="46001285"/>
    <w:rsid w:val="460D5750"/>
    <w:rsid w:val="46115240"/>
    <w:rsid w:val="463D7DE3"/>
    <w:rsid w:val="46401681"/>
    <w:rsid w:val="467468CF"/>
    <w:rsid w:val="4690085B"/>
    <w:rsid w:val="46DE7482"/>
    <w:rsid w:val="46F72688"/>
    <w:rsid w:val="4734568A"/>
    <w:rsid w:val="474653BD"/>
    <w:rsid w:val="478F466E"/>
    <w:rsid w:val="47C22A8D"/>
    <w:rsid w:val="47F95F8C"/>
    <w:rsid w:val="48934475"/>
    <w:rsid w:val="48FD7CFE"/>
    <w:rsid w:val="490B5F77"/>
    <w:rsid w:val="49902920"/>
    <w:rsid w:val="49A168DB"/>
    <w:rsid w:val="49B26D3A"/>
    <w:rsid w:val="49B760FE"/>
    <w:rsid w:val="49BF6D61"/>
    <w:rsid w:val="49E14F29"/>
    <w:rsid w:val="49EA2030"/>
    <w:rsid w:val="4A183041"/>
    <w:rsid w:val="4AAD305D"/>
    <w:rsid w:val="4B014DB7"/>
    <w:rsid w:val="4B09298A"/>
    <w:rsid w:val="4B1F3F5B"/>
    <w:rsid w:val="4BD905AE"/>
    <w:rsid w:val="4BDB7584"/>
    <w:rsid w:val="4C121D12"/>
    <w:rsid w:val="4C237A7B"/>
    <w:rsid w:val="4C803A6C"/>
    <w:rsid w:val="4C83051A"/>
    <w:rsid w:val="4C854292"/>
    <w:rsid w:val="4CB84667"/>
    <w:rsid w:val="4CCA6149"/>
    <w:rsid w:val="4CDA3D74"/>
    <w:rsid w:val="4CEE62DB"/>
    <w:rsid w:val="4D106251"/>
    <w:rsid w:val="4D537EEC"/>
    <w:rsid w:val="4D8409ED"/>
    <w:rsid w:val="4DAD1CF2"/>
    <w:rsid w:val="4E3C4E24"/>
    <w:rsid w:val="4E743C2B"/>
    <w:rsid w:val="4EDE11FD"/>
    <w:rsid w:val="4EE47996"/>
    <w:rsid w:val="4EFA0F67"/>
    <w:rsid w:val="4F1D2EA8"/>
    <w:rsid w:val="4F4246BC"/>
    <w:rsid w:val="4F4A3571"/>
    <w:rsid w:val="4F587A3C"/>
    <w:rsid w:val="4F5D32A4"/>
    <w:rsid w:val="4F6E54B1"/>
    <w:rsid w:val="4F7505EE"/>
    <w:rsid w:val="4F756840"/>
    <w:rsid w:val="4F822DF3"/>
    <w:rsid w:val="4F986314"/>
    <w:rsid w:val="4FC96B8B"/>
    <w:rsid w:val="4FFF25AD"/>
    <w:rsid w:val="500802D3"/>
    <w:rsid w:val="502B33A2"/>
    <w:rsid w:val="50746AF7"/>
    <w:rsid w:val="508D7BB9"/>
    <w:rsid w:val="50BE5FC4"/>
    <w:rsid w:val="50C335DB"/>
    <w:rsid w:val="50F97A16"/>
    <w:rsid w:val="51183927"/>
    <w:rsid w:val="51383FC9"/>
    <w:rsid w:val="51404C2B"/>
    <w:rsid w:val="51477D68"/>
    <w:rsid w:val="515A3F3F"/>
    <w:rsid w:val="51782617"/>
    <w:rsid w:val="51D04201"/>
    <w:rsid w:val="520E6AD8"/>
    <w:rsid w:val="52354064"/>
    <w:rsid w:val="52374280"/>
    <w:rsid w:val="524D7600"/>
    <w:rsid w:val="529214B7"/>
    <w:rsid w:val="530103EA"/>
    <w:rsid w:val="531215C4"/>
    <w:rsid w:val="5314501A"/>
    <w:rsid w:val="53BA6F17"/>
    <w:rsid w:val="53BE40A3"/>
    <w:rsid w:val="540753EA"/>
    <w:rsid w:val="54372316"/>
    <w:rsid w:val="543D36A4"/>
    <w:rsid w:val="547C241E"/>
    <w:rsid w:val="5486329D"/>
    <w:rsid w:val="54901A26"/>
    <w:rsid w:val="549C486F"/>
    <w:rsid w:val="54BA4CF5"/>
    <w:rsid w:val="54D77655"/>
    <w:rsid w:val="54D933CD"/>
    <w:rsid w:val="54E30E33"/>
    <w:rsid w:val="55142657"/>
    <w:rsid w:val="56427054"/>
    <w:rsid w:val="56440D1A"/>
    <w:rsid w:val="56DE2F1C"/>
    <w:rsid w:val="56F444EE"/>
    <w:rsid w:val="571F7091"/>
    <w:rsid w:val="575431DF"/>
    <w:rsid w:val="575907F5"/>
    <w:rsid w:val="576158FB"/>
    <w:rsid w:val="576176AA"/>
    <w:rsid w:val="57C71C02"/>
    <w:rsid w:val="57C739B1"/>
    <w:rsid w:val="57E207EA"/>
    <w:rsid w:val="57EE54BA"/>
    <w:rsid w:val="581035A9"/>
    <w:rsid w:val="589A10C5"/>
    <w:rsid w:val="58A65CBC"/>
    <w:rsid w:val="58C44394"/>
    <w:rsid w:val="58D81BED"/>
    <w:rsid w:val="58E93DFA"/>
    <w:rsid w:val="591E6307"/>
    <w:rsid w:val="59AC10B0"/>
    <w:rsid w:val="59AD46C0"/>
    <w:rsid w:val="59F12F67"/>
    <w:rsid w:val="5A074538"/>
    <w:rsid w:val="5A3D7F5A"/>
    <w:rsid w:val="5A696FA1"/>
    <w:rsid w:val="5A7E331D"/>
    <w:rsid w:val="5A9102A6"/>
    <w:rsid w:val="5AA75D1B"/>
    <w:rsid w:val="5AF26F96"/>
    <w:rsid w:val="5B1769FD"/>
    <w:rsid w:val="5B1F1D55"/>
    <w:rsid w:val="5BE014E5"/>
    <w:rsid w:val="5BF907F8"/>
    <w:rsid w:val="5C142F3C"/>
    <w:rsid w:val="5C341831"/>
    <w:rsid w:val="5C533A65"/>
    <w:rsid w:val="5C6A5252"/>
    <w:rsid w:val="5C806824"/>
    <w:rsid w:val="5C981DBF"/>
    <w:rsid w:val="5D101956"/>
    <w:rsid w:val="5D5977A1"/>
    <w:rsid w:val="5D722610"/>
    <w:rsid w:val="5D9562FF"/>
    <w:rsid w:val="5D995DEF"/>
    <w:rsid w:val="5DB6074F"/>
    <w:rsid w:val="5E653F23"/>
    <w:rsid w:val="5EB36A3D"/>
    <w:rsid w:val="5EC23124"/>
    <w:rsid w:val="5EC3118F"/>
    <w:rsid w:val="5F021772"/>
    <w:rsid w:val="5F9920D6"/>
    <w:rsid w:val="5FBB4836"/>
    <w:rsid w:val="5FE01AB3"/>
    <w:rsid w:val="602A39F1"/>
    <w:rsid w:val="606B4E01"/>
    <w:rsid w:val="60707E38"/>
    <w:rsid w:val="60A46F85"/>
    <w:rsid w:val="60EF5D26"/>
    <w:rsid w:val="610F0880"/>
    <w:rsid w:val="61447E20"/>
    <w:rsid w:val="61493688"/>
    <w:rsid w:val="6151078F"/>
    <w:rsid w:val="615A3AE7"/>
    <w:rsid w:val="61B2747F"/>
    <w:rsid w:val="61F71336"/>
    <w:rsid w:val="62143C96"/>
    <w:rsid w:val="6239194F"/>
    <w:rsid w:val="6267026A"/>
    <w:rsid w:val="62FE04A2"/>
    <w:rsid w:val="63087A1C"/>
    <w:rsid w:val="631321A0"/>
    <w:rsid w:val="63416D0D"/>
    <w:rsid w:val="63422A85"/>
    <w:rsid w:val="63862972"/>
    <w:rsid w:val="638C5AAE"/>
    <w:rsid w:val="639C3F43"/>
    <w:rsid w:val="64175CC0"/>
    <w:rsid w:val="64281C7B"/>
    <w:rsid w:val="6477327F"/>
    <w:rsid w:val="64E04304"/>
    <w:rsid w:val="64E57B6C"/>
    <w:rsid w:val="64F02128"/>
    <w:rsid w:val="64FD3107"/>
    <w:rsid w:val="65053D6A"/>
    <w:rsid w:val="65394A1A"/>
    <w:rsid w:val="65476131"/>
    <w:rsid w:val="657C227E"/>
    <w:rsid w:val="65815AE7"/>
    <w:rsid w:val="65D200F0"/>
    <w:rsid w:val="6635242D"/>
    <w:rsid w:val="664C2FA5"/>
    <w:rsid w:val="67106F11"/>
    <w:rsid w:val="674C5C80"/>
    <w:rsid w:val="67AE2497"/>
    <w:rsid w:val="67B6759E"/>
    <w:rsid w:val="6841330B"/>
    <w:rsid w:val="68594AF9"/>
    <w:rsid w:val="68776D2D"/>
    <w:rsid w:val="688C30AD"/>
    <w:rsid w:val="69BA15C7"/>
    <w:rsid w:val="6A1D56B2"/>
    <w:rsid w:val="6A1F58CE"/>
    <w:rsid w:val="6A5E63F6"/>
    <w:rsid w:val="6A9242F2"/>
    <w:rsid w:val="6A986D21"/>
    <w:rsid w:val="6ABA1153"/>
    <w:rsid w:val="6AC326FD"/>
    <w:rsid w:val="6B234F4A"/>
    <w:rsid w:val="6B2807B2"/>
    <w:rsid w:val="6B2B3DFF"/>
    <w:rsid w:val="6B2F1B41"/>
    <w:rsid w:val="6B380B7A"/>
    <w:rsid w:val="6BF82A3B"/>
    <w:rsid w:val="6C117498"/>
    <w:rsid w:val="6C384A25"/>
    <w:rsid w:val="6C3F5DB4"/>
    <w:rsid w:val="6C9F2F49"/>
    <w:rsid w:val="6CCE7137"/>
    <w:rsid w:val="6D01750D"/>
    <w:rsid w:val="6DC24EEE"/>
    <w:rsid w:val="6E0E0133"/>
    <w:rsid w:val="6E192634"/>
    <w:rsid w:val="6E8D72AA"/>
    <w:rsid w:val="6EF62CBE"/>
    <w:rsid w:val="6F157D71"/>
    <w:rsid w:val="6F3C65DA"/>
    <w:rsid w:val="6F4F630E"/>
    <w:rsid w:val="6F547DC8"/>
    <w:rsid w:val="6F834209"/>
    <w:rsid w:val="6FAC7C04"/>
    <w:rsid w:val="6FD809F9"/>
    <w:rsid w:val="6FED3D79"/>
    <w:rsid w:val="70076BE8"/>
    <w:rsid w:val="7059021A"/>
    <w:rsid w:val="707A1AB0"/>
    <w:rsid w:val="70A75A76"/>
    <w:rsid w:val="70B84386"/>
    <w:rsid w:val="70FA499F"/>
    <w:rsid w:val="7149605C"/>
    <w:rsid w:val="71F56448"/>
    <w:rsid w:val="72021D5D"/>
    <w:rsid w:val="721E646B"/>
    <w:rsid w:val="72451C4A"/>
    <w:rsid w:val="724834E8"/>
    <w:rsid w:val="72A20E4A"/>
    <w:rsid w:val="73102258"/>
    <w:rsid w:val="73591E51"/>
    <w:rsid w:val="73770529"/>
    <w:rsid w:val="73B70925"/>
    <w:rsid w:val="73B726D3"/>
    <w:rsid w:val="73DE4104"/>
    <w:rsid w:val="73EE1FE7"/>
    <w:rsid w:val="74936C9D"/>
    <w:rsid w:val="74B3733F"/>
    <w:rsid w:val="74C4779E"/>
    <w:rsid w:val="75181898"/>
    <w:rsid w:val="75680129"/>
    <w:rsid w:val="75956A44"/>
    <w:rsid w:val="75AF3FAA"/>
    <w:rsid w:val="75B82733"/>
    <w:rsid w:val="760616F0"/>
    <w:rsid w:val="7614205F"/>
    <w:rsid w:val="76564426"/>
    <w:rsid w:val="76796366"/>
    <w:rsid w:val="76A72ED3"/>
    <w:rsid w:val="76EA7A82"/>
    <w:rsid w:val="77057BFA"/>
    <w:rsid w:val="7716042C"/>
    <w:rsid w:val="774626EC"/>
    <w:rsid w:val="77560455"/>
    <w:rsid w:val="775D17E4"/>
    <w:rsid w:val="777059BB"/>
    <w:rsid w:val="77751C87"/>
    <w:rsid w:val="779B69C9"/>
    <w:rsid w:val="77A318EC"/>
    <w:rsid w:val="77C35AEB"/>
    <w:rsid w:val="77F162D0"/>
    <w:rsid w:val="78014865"/>
    <w:rsid w:val="786372CE"/>
    <w:rsid w:val="786A065C"/>
    <w:rsid w:val="78713799"/>
    <w:rsid w:val="787E69C5"/>
    <w:rsid w:val="78931961"/>
    <w:rsid w:val="78B13B95"/>
    <w:rsid w:val="79181E66"/>
    <w:rsid w:val="791A5BDE"/>
    <w:rsid w:val="79955265"/>
    <w:rsid w:val="79F503F9"/>
    <w:rsid w:val="7A2E1215"/>
    <w:rsid w:val="7A340F22"/>
    <w:rsid w:val="7A431165"/>
    <w:rsid w:val="7A8F43AA"/>
    <w:rsid w:val="7A9279F6"/>
    <w:rsid w:val="7AC04563"/>
    <w:rsid w:val="7B007056"/>
    <w:rsid w:val="7B036ACB"/>
    <w:rsid w:val="7B0A57DF"/>
    <w:rsid w:val="7B396857"/>
    <w:rsid w:val="7B4B6523"/>
    <w:rsid w:val="7B6770D5"/>
    <w:rsid w:val="7BDF310F"/>
    <w:rsid w:val="7BE97AEA"/>
    <w:rsid w:val="7C8A307B"/>
    <w:rsid w:val="7CBC0D5A"/>
    <w:rsid w:val="7CCF4F32"/>
    <w:rsid w:val="7CDB5685"/>
    <w:rsid w:val="7CEC5AE4"/>
    <w:rsid w:val="7CF6426C"/>
    <w:rsid w:val="7D0050EB"/>
    <w:rsid w:val="7D5316BF"/>
    <w:rsid w:val="7D6438CC"/>
    <w:rsid w:val="7E355268"/>
    <w:rsid w:val="7E4F632A"/>
    <w:rsid w:val="7E584AB3"/>
    <w:rsid w:val="7E7E6C0F"/>
    <w:rsid w:val="7EA46F3D"/>
    <w:rsid w:val="7EDC7492"/>
    <w:rsid w:val="7F4C0ABC"/>
    <w:rsid w:val="7F8518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paragraph" w:styleId="2">
    <w:name w:val="heading 2"/>
    <w:basedOn w:val="1"/>
    <w:next w:val="1"/>
    <w:qFormat/>
    <w:uiPriority w:val="9"/>
    <w:pPr>
      <w:keepNext/>
      <w:keepLines/>
      <w:spacing w:before="260" w:after="260" w:line="416" w:lineRule="auto"/>
      <w:outlineLvl w:val="1"/>
    </w:pPr>
    <w:rPr>
      <w:rFonts w:ascii="Cambria" w:hAnsi="Cambria"/>
      <w:b/>
      <w:bCs/>
      <w:sz w:val="32"/>
      <w:szCs w:val="32"/>
    </w:rPr>
  </w:style>
  <w:style w:type="paragraph" w:styleId="3">
    <w:name w:val="heading 3"/>
    <w:basedOn w:val="1"/>
    <w:next w:val="1"/>
    <w:unhideWhenUsed/>
    <w:qFormat/>
    <w:uiPriority w:val="9"/>
    <w:pPr>
      <w:spacing w:before="100" w:beforeAutospacing="1" w:after="100" w:afterAutospacing="1"/>
      <w:jc w:val="left"/>
      <w:outlineLvl w:val="2"/>
    </w:pPr>
    <w:rPr>
      <w:rFonts w:hint="eastAsia" w:ascii="宋体" w:hAnsi="宋体" w:eastAsia="宋体" w:cs="宋体"/>
      <w:b/>
      <w:bCs/>
      <w:kern w:val="0"/>
      <w:sz w:val="27"/>
      <w:szCs w:val="27"/>
      <w:lang w:val="en-US" w:eastAsia="zh-CN" w:bidi="ar"/>
    </w:rPr>
  </w:style>
  <w:style w:type="paragraph" w:styleId="4">
    <w:name w:val="heading 4"/>
    <w:basedOn w:val="1"/>
    <w:next w:val="1"/>
    <w:qFormat/>
    <w:uiPriority w:val="0"/>
    <w:pPr>
      <w:spacing w:before="0" w:beforeAutospacing="1" w:after="0" w:afterAutospacing="1"/>
      <w:jc w:val="left"/>
    </w:pPr>
    <w:rPr>
      <w:rFonts w:hint="eastAsia" w:ascii="宋体" w:hAnsi="宋体" w:eastAsia="宋体" w:cs="宋体"/>
      <w:b/>
      <w:bCs/>
      <w:kern w:val="0"/>
      <w:sz w:val="24"/>
      <w:szCs w:val="24"/>
      <w:lang w:val="en-US" w:eastAsia="zh-CN"/>
    </w:rPr>
  </w:style>
  <w:style w:type="character" w:default="1" w:styleId="17">
    <w:name w:val="Default Paragraph Font"/>
    <w:qFormat/>
    <w:uiPriority w:val="1"/>
  </w:style>
  <w:style w:type="table" w:default="1" w:styleId="15">
    <w:name w:val="Normal Table"/>
    <w:qFormat/>
    <w:uiPriority w:val="99"/>
    <w:tblPr>
      <w:tblCellMar>
        <w:top w:w="0" w:type="dxa"/>
        <w:left w:w="108" w:type="dxa"/>
        <w:bottom w:w="0" w:type="dxa"/>
        <w:right w:w="108" w:type="dxa"/>
      </w:tblCellMar>
    </w:tblPr>
  </w:style>
  <w:style w:type="paragraph" w:styleId="5">
    <w:name w:val="Normal Indent"/>
    <w:basedOn w:val="1"/>
    <w:qFormat/>
    <w:uiPriority w:val="0"/>
    <w:pPr>
      <w:ind w:firstLine="420"/>
    </w:pPr>
    <w:rPr>
      <w:rFonts w:ascii="Times New Roman" w:hAnsi="Times New Roman" w:cs="Times New Roman"/>
      <w:kern w:val="0"/>
      <w:sz w:val="24"/>
      <w:szCs w:val="20"/>
    </w:rPr>
  </w:style>
  <w:style w:type="paragraph" w:styleId="6">
    <w:name w:val="annotation text"/>
    <w:basedOn w:val="1"/>
    <w:qFormat/>
    <w:uiPriority w:val="0"/>
    <w:pPr>
      <w:jc w:val="left"/>
    </w:pPr>
  </w:style>
  <w:style w:type="paragraph" w:styleId="7">
    <w:name w:val="Body Text"/>
    <w:basedOn w:val="1"/>
    <w:next w:val="4"/>
    <w:link w:val="20"/>
    <w:qFormat/>
    <w:uiPriority w:val="0"/>
    <w:pPr>
      <w:spacing w:line="360" w:lineRule="auto"/>
    </w:pPr>
    <w:rPr>
      <w:rFonts w:ascii="仿宋_GB2312" w:hAnsi="Times New Roman" w:eastAsia="仿宋_GB2312" w:cs="Times New Roman"/>
      <w:kern w:val="0"/>
      <w:sz w:val="28"/>
      <w:szCs w:val="20"/>
    </w:rPr>
  </w:style>
  <w:style w:type="paragraph" w:styleId="8">
    <w:name w:val="Body Text Indent"/>
    <w:basedOn w:val="1"/>
    <w:qFormat/>
    <w:uiPriority w:val="0"/>
    <w:pPr>
      <w:spacing w:after="120"/>
      <w:ind w:left="420" w:leftChars="200"/>
    </w:pPr>
  </w:style>
  <w:style w:type="paragraph" w:styleId="9">
    <w:name w:val="Plain Text"/>
    <w:basedOn w:val="1"/>
    <w:qFormat/>
    <w:uiPriority w:val="0"/>
    <w:rPr>
      <w:rFonts w:ascii="宋体" w:hAnsi="Courier New"/>
      <w:szCs w:val="20"/>
    </w:rPr>
  </w:style>
  <w:style w:type="paragraph" w:styleId="10">
    <w:name w:val="footer"/>
    <w:basedOn w:val="1"/>
    <w:qFormat/>
    <w:uiPriority w:val="99"/>
    <w:pPr>
      <w:tabs>
        <w:tab w:val="center" w:pos="4153"/>
        <w:tab w:val="right" w:pos="8306"/>
      </w:tabs>
      <w:snapToGrid w:val="0"/>
      <w:jc w:val="left"/>
    </w:pPr>
    <w:rPr>
      <w:sz w:val="18"/>
      <w:szCs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Normal (Web)"/>
    <w:basedOn w:val="1"/>
    <w:qFormat/>
    <w:uiPriority w:val="0"/>
    <w:pPr>
      <w:spacing w:before="0" w:beforeAutospacing="1" w:after="0" w:afterAutospacing="1"/>
      <w:ind w:left="0" w:right="0"/>
      <w:jc w:val="left"/>
    </w:pPr>
    <w:rPr>
      <w:kern w:val="0"/>
      <w:sz w:val="24"/>
      <w:lang w:val="en-US" w:eastAsia="zh-CN"/>
    </w:rPr>
  </w:style>
  <w:style w:type="paragraph" w:styleId="13">
    <w:name w:val="Title"/>
    <w:basedOn w:val="1"/>
    <w:next w:val="1"/>
    <w:link w:val="21"/>
    <w:qFormat/>
    <w:uiPriority w:val="0"/>
    <w:pPr>
      <w:spacing w:before="240" w:after="60" w:line="440" w:lineRule="exact"/>
      <w:jc w:val="center"/>
      <w:outlineLvl w:val="0"/>
    </w:pPr>
    <w:rPr>
      <w:rFonts w:ascii="Cambria" w:hAnsi="Cambria" w:eastAsia="Arial Unicode MS" w:cs="Times New Roman"/>
      <w:b/>
      <w:bCs/>
      <w:sz w:val="32"/>
      <w:szCs w:val="32"/>
    </w:rPr>
  </w:style>
  <w:style w:type="paragraph" w:styleId="14">
    <w:name w:val="Body Text First Indent 2"/>
    <w:basedOn w:val="8"/>
    <w:qFormat/>
    <w:uiPriority w:val="0"/>
    <w:pPr>
      <w:ind w:firstLine="420" w:firstLineChars="200"/>
    </w:pPr>
    <w:rPr>
      <w:rFonts w:ascii="Calibri" w:hAnsi="Calibri"/>
      <w:sz w:val="28"/>
    </w:rPr>
  </w:style>
  <w:style w:type="table" w:styleId="16">
    <w:name w:val="Table Grid"/>
    <w:basedOn w:val="15"/>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8">
    <w:name w:val="Strong"/>
    <w:basedOn w:val="17"/>
    <w:qFormat/>
    <w:uiPriority w:val="0"/>
    <w:rPr>
      <w:b/>
    </w:rPr>
  </w:style>
  <w:style w:type="paragraph" w:customStyle="1" w:styleId="19">
    <w:name w:val="null3"/>
    <w:qFormat/>
    <w:uiPriority w:val="0"/>
    <w:rPr>
      <w:rFonts w:hint="eastAsia" w:ascii="Calibri" w:hAnsi="Calibri" w:eastAsia="宋体" w:cs="宋体"/>
      <w:lang w:val="en-US" w:bidi="ar-SA"/>
    </w:rPr>
  </w:style>
  <w:style w:type="character" w:customStyle="1" w:styleId="20">
    <w:name w:val="正文文本 字符"/>
    <w:basedOn w:val="17"/>
    <w:link w:val="7"/>
    <w:qFormat/>
    <w:uiPriority w:val="0"/>
    <w:rPr>
      <w:rFonts w:ascii="仿宋_GB2312" w:hAnsi="Times New Roman" w:eastAsia="仿宋_GB2312" w:cs="Times New Roman"/>
      <w:sz w:val="28"/>
    </w:rPr>
  </w:style>
  <w:style w:type="character" w:customStyle="1" w:styleId="21">
    <w:name w:val="标题 字符"/>
    <w:basedOn w:val="17"/>
    <w:link w:val="13"/>
    <w:qFormat/>
    <w:uiPriority w:val="0"/>
    <w:rPr>
      <w:rFonts w:ascii="Cambria" w:hAnsi="Cambria" w:eastAsia="Arial Unicode MS" w:cs="Times New Roman"/>
      <w:b/>
      <w:bCs/>
      <w:kern w:val="2"/>
      <w:sz w:val="32"/>
      <w:szCs w:val="32"/>
    </w:rPr>
  </w:style>
  <w:style w:type="paragraph" w:styleId="22">
    <w:name w:val="List Paragraph"/>
    <w:basedOn w:val="1"/>
    <w:qFormat/>
    <w:uiPriority w:val="99"/>
    <w:pPr>
      <w:ind w:firstLine="420" w:firstLineChars="200"/>
    </w:pPr>
  </w:style>
  <w:style w:type="paragraph" w:customStyle="1" w:styleId="23">
    <w:name w:val="样式 10 磅"/>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29</Pages>
  <Words>11993</Words>
  <Characters>12075</Characters>
  <Paragraphs>1320</Paragraphs>
  <TotalTime>2</TotalTime>
  <ScaleCrop>false</ScaleCrop>
  <LinksUpToDate>false</LinksUpToDate>
  <CharactersWithSpaces>12624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陕西省政府采购综合管理平台</dc:creator>
  <cp:lastModifiedBy>叶子</cp:lastModifiedBy>
  <cp:lastPrinted>2026-08-10T07:20:00Z</cp:lastPrinted>
  <dcterms:modified xsi:type="dcterms:W3CDTF">2026-08-13T01:26:25Z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eyJoZGlkIjoiZjE1YjQ4NWY2MWE2Y2ZiNzE4NTU1MjQ3YTY1ZWQwZjAiLCJ1c2VySWQiOiIzMjkyNDM1OTcifQ==</vt:lpwstr>
  </property>
  <property fmtid="{D5CDD505-2E9C-101B-9397-08002B2CF9AE}" pid="4" name="ICV">
    <vt:lpwstr>D7FBA0CE85FE4F7FB6884EB4FB01D05D_13</vt:lpwstr>
  </property>
</Properties>
</file>