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版本号：XACH2026-070、XDZ2026-153-J-3820260714001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细柳街道GX3-41-22征成宗地配合文勘项目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XACH2026-070、XDZ2026-153-J-38</w:t>
      </w:r>
      <w:r>
        <w:br/>
      </w:r>
      <w:r>
        <w:br/>
      </w:r>
      <w:r>
        <w:br/>
      </w:r>
    </w:p>
    <w:p>
      <w:pPr>
        <w:pStyle w:val="null3"/>
        <w:jc w:val="center"/>
        <w:outlineLvl w:val="2"/>
      </w:pPr>
      <w:r>
        <w:rPr>
          <w:rFonts w:ascii="仿宋_GB2312" w:hAnsi="仿宋_GB2312" w:cs="仿宋_GB2312" w:eastAsia="仿宋_GB2312"/>
          <w:sz w:val="28"/>
          <w:b/>
        </w:rPr>
        <w:t>西安市长安区细柳街道办事处</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西安市长安区细柳街道办事处</w:t>
      </w:r>
      <w:r>
        <w:rPr>
          <w:rFonts w:ascii="仿宋_GB2312" w:hAnsi="仿宋_GB2312" w:cs="仿宋_GB2312" w:eastAsia="仿宋_GB2312"/>
        </w:rPr>
        <w:t>委托，拟对</w:t>
      </w:r>
      <w:r>
        <w:rPr>
          <w:rFonts w:ascii="仿宋_GB2312" w:hAnsi="仿宋_GB2312" w:cs="仿宋_GB2312" w:eastAsia="仿宋_GB2312"/>
        </w:rPr>
        <w:t>细柳街道GX3-41-22征成宗地配合文勘项目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XACH2026-070、XDZ2026-153-J-38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细柳街道GX3-41-22征成宗地配合文勘项目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细柳街道GX3-41-22征成宗地配合文勘项目内土方开挖区域19618.76 ㎡，该工程位于西安市高新区细柳街道，包括纬三十二路以南、经四十一路以东范围内。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4、资质证书：具备建设行政主管部门颁发的建筑工程施工总承包三级及以上资质，且具有有效的安全生产许可证；供应商需在项目电子化交易系统中按要求上传相应证明文件并进行电子签章。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经理：具备二级及以上注册建造师执业资格（建筑工程专业），具有有效的安全生产考核合格证（建安B证），在本单位注册，且未担任其他在建工程项目的项目经理；供应商需在项目电子化交易系统中按要求上传相应证明文件并进行电子签章。</w:t>
      </w:r>
    </w:p>
    <w:p>
      <w:pPr>
        <w:pStyle w:val="null3"/>
      </w:pPr>
      <w:r>
        <w:rPr>
          <w:rFonts w:ascii="仿宋_GB2312" w:hAnsi="仿宋_GB2312" w:cs="仿宋_GB2312" w:eastAsia="仿宋_GB2312"/>
        </w:rPr>
        <w:t>6、非联合体磋商：非联合体磋商声明;供应商需在项目电子化交易系统中按要求上传相应证明文件并进行电子签章。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西安市长安区细柳街道办事处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西安市长安区细柳街道府君庙甲字四号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029-85962302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文奕奕、商碧红、王文文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029-87563729、029-82286063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采购包1：830,893.83元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发改办价格〔2003〕857号以及发改价格〔2011〕534号文中规定的标准执行，按差额定率累进法收取费用，100万以下按1.0%收取。不足5000元，按照5000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西安市长安区细柳街道办事处</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西安市长安区细柳街道办事处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西安市长安区细柳街道办事处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一、符合国家、地方及行业合格标准。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联系人：文奕奕</w:t>
      </w:r>
    </w:p>
    <w:p>
      <w:pPr>
        <w:pStyle w:val="null3"/>
      </w:pPr>
      <w:r>
        <w:rPr>
          <w:rFonts w:ascii="仿宋_GB2312" w:hAnsi="仿宋_GB2312" w:cs="仿宋_GB2312" w:eastAsia="仿宋_GB2312"/>
        </w:rPr>
        <w:t>联系电话：029-87563729</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830,893.83</w:t>
      </w:r>
    </w:p>
    <w:p>
      <w:pPr>
        <w:pStyle w:val="null3"/>
      </w:pPr>
      <w:r>
        <w:rPr>
          <w:rFonts w:ascii="仿宋_GB2312" w:hAnsi="仿宋_GB2312" w:cs="仿宋_GB2312" w:eastAsia="仿宋_GB2312"/>
        </w:rPr>
        <w:t>采购包最高限价（元）: 830,893.83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细柳街道GX3-41-22征成宗地配合文勘项目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830,893.83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标的名称：细柳街道GX3-41-22征成宗地配合文勘项目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w:t>
            </w:r>
            <w:r>
              <w:rPr>
                <w:rFonts w:ascii="仿宋_GB2312" w:hAnsi="仿宋_GB2312" w:cs="仿宋_GB2312" w:eastAsia="仿宋_GB2312"/>
                <w:sz w:val="24"/>
                <w:b/>
                <w:color w:val="000000"/>
              </w:rPr>
              <w:t>概况</w:t>
            </w:r>
          </w:p>
          <w:p>
            <w:pPr>
              <w:pStyle w:val="null3"/>
            </w:pPr>
            <w:r>
              <w:rPr>
                <w:rFonts w:ascii="仿宋_GB2312" w:hAnsi="仿宋_GB2312" w:cs="仿宋_GB2312" w:eastAsia="仿宋_GB2312"/>
                <w:sz w:val="24"/>
                <w:color w:val="000000"/>
              </w:rPr>
              <w:t>细柳街道</w:t>
            </w:r>
            <w:r>
              <w:rPr>
                <w:rFonts w:ascii="仿宋_GB2312" w:hAnsi="仿宋_GB2312" w:cs="仿宋_GB2312" w:eastAsia="仿宋_GB2312"/>
                <w:sz w:val="24"/>
                <w:color w:val="000000"/>
              </w:rPr>
              <w:t>GX</w:t>
            </w:r>
            <w:r>
              <w:rPr>
                <w:rFonts w:ascii="仿宋_GB2312" w:hAnsi="仿宋_GB2312" w:cs="仿宋_GB2312" w:eastAsia="仿宋_GB2312"/>
                <w:sz w:val="24"/>
                <w:color w:val="000000"/>
              </w:rPr>
              <w:t>3-41-22征成宗地配合文勘项目内土方开挖区域19618.76 ㎡，</w:t>
            </w:r>
            <w:r>
              <w:rPr>
                <w:rFonts w:ascii="仿宋_GB2312" w:hAnsi="仿宋_GB2312" w:cs="仿宋_GB2312" w:eastAsia="仿宋_GB2312"/>
                <w:sz w:val="24"/>
                <w:color w:val="000000"/>
              </w:rPr>
              <w:t>该工程位于西安市高新区细柳街道，包括纬三十二路以南、经四十一路以东范围内。</w:t>
            </w:r>
          </w:p>
          <w:p>
            <w:pPr>
              <w:pStyle w:val="null3"/>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实施</w:t>
            </w:r>
            <w:r>
              <w:rPr>
                <w:rFonts w:ascii="仿宋_GB2312" w:hAnsi="仿宋_GB2312" w:cs="仿宋_GB2312" w:eastAsia="仿宋_GB2312"/>
                <w:sz w:val="24"/>
                <w:b/>
                <w:color w:val="000000"/>
              </w:rPr>
              <w:t>范围</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细柳街道</w:t>
            </w:r>
            <w:r>
              <w:rPr>
                <w:rFonts w:ascii="仿宋_GB2312" w:hAnsi="仿宋_GB2312" w:cs="仿宋_GB2312" w:eastAsia="仿宋_GB2312"/>
                <w:sz w:val="24"/>
                <w:color w:val="000000"/>
              </w:rPr>
              <w:t>GX3-41-22征成宗地配合文勘项目土方开挖及土方内倒。其中土方开挖31390.02m³，土方内倒31390.02m³。</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拟采用挖掘机配合推土机、渣土车对场内影响文堪作业的渣土</w:t>
            </w:r>
            <w:r>
              <w:rPr>
                <w:rFonts w:ascii="仿宋_GB2312" w:hAnsi="仿宋_GB2312" w:cs="仿宋_GB2312" w:eastAsia="仿宋_GB2312"/>
                <w:sz w:val="24"/>
                <w:color w:val="000000"/>
              </w:rPr>
              <w:t>(垃圾)进行开挖清理，土方开挖下挖深度按1.60m计算，使场地达到文勘要求，文堪完成后进行原土回填，包含但不限于绿网覆盖、治污减霾等内容。</w:t>
            </w:r>
          </w:p>
          <w:p>
            <w:pPr>
              <w:pStyle w:val="null3"/>
            </w:pPr>
            <w:r>
              <w:rPr>
                <w:rFonts w:ascii="仿宋_GB2312" w:hAnsi="仿宋_GB2312" w:cs="仿宋_GB2312" w:eastAsia="仿宋_GB2312"/>
                <w:sz w:val="24"/>
                <w:b/>
                <w:color w:val="000000"/>
              </w:rPr>
              <w:t>三、执行的法律法规、技术规范</w:t>
            </w:r>
          </w:p>
          <w:p>
            <w:pPr>
              <w:pStyle w:val="null3"/>
            </w:pPr>
            <w:r>
              <w:rPr>
                <w:rFonts w:ascii="仿宋_GB2312" w:hAnsi="仿宋_GB2312" w:cs="仿宋_GB2312" w:eastAsia="仿宋_GB2312"/>
                <w:sz w:val="24"/>
                <w:color w:val="000000"/>
              </w:rPr>
              <w:t>执行的法律法规、技术规范包括但不限于以下规定、规范、</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标准：</w:t>
            </w:r>
          </w:p>
          <w:p>
            <w:pPr>
              <w:pStyle w:val="null3"/>
              <w:ind w:firstLine="484"/>
            </w:pPr>
            <w:r>
              <w:rPr>
                <w:rFonts w:ascii="仿宋_GB2312" w:hAnsi="仿宋_GB2312" w:cs="仿宋_GB2312" w:eastAsia="仿宋_GB2312"/>
                <w:sz w:val="24"/>
                <w:color w:val="000000"/>
              </w:rPr>
              <w:t>《安全生产法》</w:t>
            </w:r>
          </w:p>
          <w:p>
            <w:pPr>
              <w:pStyle w:val="null3"/>
              <w:ind w:firstLine="484"/>
            </w:pPr>
            <w:r>
              <w:rPr>
                <w:rFonts w:ascii="仿宋_GB2312" w:hAnsi="仿宋_GB2312" w:cs="仿宋_GB2312" w:eastAsia="仿宋_GB2312"/>
                <w:sz w:val="24"/>
                <w:color w:val="000000"/>
              </w:rPr>
              <w:t>《建设工程安全生产管理条例》</w:t>
            </w:r>
          </w:p>
          <w:p>
            <w:pPr>
              <w:pStyle w:val="null3"/>
              <w:ind w:firstLine="484"/>
            </w:pPr>
            <w:r>
              <w:rPr>
                <w:rFonts w:ascii="仿宋_GB2312" w:hAnsi="仿宋_GB2312" w:cs="仿宋_GB2312" w:eastAsia="仿宋_GB2312"/>
                <w:sz w:val="24"/>
                <w:color w:val="000000"/>
              </w:rPr>
              <w:t>《西安市扬尘污染防治条例》</w:t>
            </w:r>
          </w:p>
          <w:p>
            <w:pPr>
              <w:pStyle w:val="null3"/>
              <w:ind w:firstLine="484"/>
            </w:pPr>
            <w:r>
              <w:rPr>
                <w:rFonts w:ascii="仿宋_GB2312" w:hAnsi="仿宋_GB2312" w:cs="仿宋_GB2312" w:eastAsia="仿宋_GB2312"/>
                <w:sz w:val="24"/>
                <w:color w:val="000000"/>
              </w:rPr>
              <w:t>《西安市建筑垃圾管理办法》</w:t>
            </w:r>
          </w:p>
          <w:p>
            <w:pPr>
              <w:pStyle w:val="null3"/>
              <w:ind w:firstLine="484"/>
            </w:pPr>
            <w:r>
              <w:rPr>
                <w:rFonts w:ascii="仿宋_GB2312" w:hAnsi="仿宋_GB2312" w:cs="仿宋_GB2312" w:eastAsia="仿宋_GB2312"/>
                <w:sz w:val="24"/>
                <w:color w:val="000000"/>
              </w:rPr>
              <w:t>《西安高新区治污减霾网格化管理工作实施方案》</w:t>
            </w:r>
          </w:p>
          <w:p>
            <w:pPr>
              <w:pStyle w:val="null3"/>
              <w:ind w:firstLine="484"/>
            </w:pPr>
            <w:r>
              <w:rPr>
                <w:rFonts w:ascii="仿宋_GB2312" w:hAnsi="仿宋_GB2312" w:cs="仿宋_GB2312" w:eastAsia="仿宋_GB2312"/>
                <w:sz w:val="24"/>
                <w:color w:val="000000"/>
              </w:rPr>
              <w:t>如有最新的法律法规、技术规范发布，按最新的文件执行。</w:t>
            </w:r>
          </w:p>
          <w:p>
            <w:pPr>
              <w:pStyle w:val="null3"/>
            </w:pPr>
            <w:r>
              <w:rPr>
                <w:rFonts w:ascii="仿宋_GB2312" w:hAnsi="仿宋_GB2312" w:cs="仿宋_GB2312" w:eastAsia="仿宋_GB2312"/>
                <w:sz w:val="24"/>
                <w:b/>
                <w:color w:val="000000"/>
              </w:rPr>
              <w:t>四、项目要求：</w:t>
            </w:r>
          </w:p>
          <w:p>
            <w:pPr>
              <w:pStyle w:val="null3"/>
              <w:ind w:firstLine="484"/>
            </w:pPr>
            <w:r>
              <w:rPr>
                <w:rFonts w:ascii="仿宋_GB2312" w:hAnsi="仿宋_GB2312" w:cs="仿宋_GB2312" w:eastAsia="仿宋_GB2312"/>
                <w:sz w:val="24"/>
                <w:color w:val="000000"/>
              </w:rPr>
              <w:t>1、工程质量目标:达到国家现行施工验收规范“合格”标准。</w:t>
            </w:r>
          </w:p>
          <w:p>
            <w:pPr>
              <w:pStyle w:val="null3"/>
              <w:ind w:firstLine="484"/>
            </w:pPr>
            <w:r>
              <w:rPr>
                <w:rFonts w:ascii="仿宋_GB2312" w:hAnsi="仿宋_GB2312" w:cs="仿宋_GB2312" w:eastAsia="仿宋_GB2312"/>
                <w:sz w:val="24"/>
                <w:color w:val="000000"/>
              </w:rPr>
              <w:t>2、文明施工:安全文明施工工地。</w:t>
            </w:r>
          </w:p>
          <w:p>
            <w:pPr>
              <w:pStyle w:val="null3"/>
              <w:ind w:firstLine="484"/>
            </w:pPr>
            <w:r>
              <w:rPr>
                <w:rFonts w:ascii="仿宋_GB2312" w:hAnsi="仿宋_GB2312" w:cs="仿宋_GB2312" w:eastAsia="仿宋_GB2312"/>
                <w:sz w:val="24"/>
                <w:color w:val="000000"/>
              </w:rPr>
              <w:t>3、项目范围内全部采用机械开挖、保证现场无扬尘；施工单位负责协调村内及周边关系，且施工方要具有垃圾消纳的处置能力。</w:t>
            </w:r>
          </w:p>
          <w:p>
            <w:pPr>
              <w:pStyle w:val="null3"/>
              <w:ind w:firstLine="484"/>
            </w:pPr>
            <w:r>
              <w:rPr>
                <w:rFonts w:ascii="仿宋_GB2312" w:hAnsi="仿宋_GB2312" w:cs="仿宋_GB2312" w:eastAsia="仿宋_GB2312"/>
                <w:sz w:val="24"/>
                <w:color w:val="000000"/>
              </w:rPr>
              <w:t>4、在规定时限内完成项目任务，无任何遗留问题；按照工作相关规定如期完成项目开挖清理，使场地达到文勘要求，文堪完成后进行原土回填。施工现场进行绿网覆盖，并达到陕西省、西安市关于治污减霾的相关规定，不发生安全责任事故，没有上访、打架、闹事等不稳定事件发生。</w:t>
            </w:r>
          </w:p>
          <w:p>
            <w:pPr>
              <w:pStyle w:val="null3"/>
              <w:spacing w:before="15"/>
            </w:pPr>
            <w:r>
              <w:rPr>
                <w:rFonts w:ascii="仿宋_GB2312" w:hAnsi="仿宋_GB2312" w:cs="仿宋_GB2312" w:eastAsia="仿宋_GB2312"/>
                <w:sz w:val="24"/>
                <w:b/>
              </w:rPr>
              <w:t>五</w:t>
            </w:r>
            <w:r>
              <w:rPr>
                <w:rFonts w:ascii="仿宋_GB2312" w:hAnsi="仿宋_GB2312" w:cs="仿宋_GB2312" w:eastAsia="仿宋_GB2312"/>
                <w:sz w:val="24"/>
                <w:b/>
              </w:rPr>
              <w:t>、工程实施期限</w:t>
            </w:r>
          </w:p>
          <w:p>
            <w:pPr>
              <w:pStyle w:val="null3"/>
              <w:spacing w:before="15"/>
              <w:ind w:firstLine="484"/>
            </w:pPr>
            <w:r>
              <w:rPr>
                <w:rFonts w:ascii="仿宋_GB2312" w:hAnsi="仿宋_GB2312" w:cs="仿宋_GB2312" w:eastAsia="仿宋_GB2312"/>
                <w:sz w:val="24"/>
              </w:rPr>
              <w:t>1</w:t>
            </w:r>
            <w:r>
              <w:rPr>
                <w:rFonts w:ascii="仿宋_GB2312" w:hAnsi="仿宋_GB2312" w:cs="仿宋_GB2312" w:eastAsia="仿宋_GB2312"/>
                <w:sz w:val="24"/>
              </w:rPr>
              <w:t>、成交人须在合同签订之日起</w:t>
            </w:r>
            <w:r>
              <w:rPr>
                <w:rFonts w:ascii="仿宋_GB2312" w:hAnsi="仿宋_GB2312" w:cs="仿宋_GB2312" w:eastAsia="仿宋_GB2312"/>
                <w:sz w:val="24"/>
              </w:rPr>
              <w:t>3</w:t>
            </w:r>
            <w:r>
              <w:rPr>
                <w:rFonts w:ascii="仿宋_GB2312" w:hAnsi="仿宋_GB2312" w:cs="仿宋_GB2312" w:eastAsia="仿宋_GB2312"/>
                <w:sz w:val="24"/>
              </w:rPr>
              <w:t>天内进驻并制作工程计划进度表，并经采购人书面同意；</w:t>
            </w:r>
          </w:p>
          <w:p>
            <w:pPr>
              <w:pStyle w:val="null3"/>
              <w:spacing w:before="15"/>
              <w:ind w:firstLine="484"/>
            </w:pPr>
            <w:r>
              <w:rPr>
                <w:rFonts w:ascii="仿宋_GB2312" w:hAnsi="仿宋_GB2312" w:cs="仿宋_GB2312" w:eastAsia="仿宋_GB2312"/>
                <w:sz w:val="24"/>
              </w:rPr>
              <w:t>2</w:t>
            </w:r>
            <w:r>
              <w:rPr>
                <w:rFonts w:ascii="仿宋_GB2312" w:hAnsi="仿宋_GB2312" w:cs="仿宋_GB2312" w:eastAsia="仿宋_GB2312"/>
                <w:sz w:val="24"/>
              </w:rPr>
              <w:t>、成交人同意在</w:t>
            </w:r>
            <w:r>
              <w:rPr>
                <w:rFonts w:ascii="仿宋_GB2312" w:hAnsi="仿宋_GB2312" w:cs="仿宋_GB2312" w:eastAsia="仿宋_GB2312"/>
                <w:sz w:val="24"/>
              </w:rPr>
              <w:t>5</w:t>
            </w:r>
            <w:r>
              <w:rPr>
                <w:rFonts w:ascii="仿宋_GB2312" w:hAnsi="仿宋_GB2312" w:cs="仿宋_GB2312" w:eastAsia="仿宋_GB2312"/>
                <w:sz w:val="24"/>
              </w:rPr>
              <w:t>天内开始施工；</w:t>
            </w:r>
          </w:p>
          <w:p>
            <w:pPr>
              <w:pStyle w:val="null3"/>
              <w:spacing w:before="15"/>
              <w:ind w:firstLine="484"/>
            </w:pPr>
            <w:r>
              <w:rPr>
                <w:rFonts w:ascii="仿宋_GB2312" w:hAnsi="仿宋_GB2312" w:cs="仿宋_GB2312" w:eastAsia="仿宋_GB2312"/>
                <w:sz w:val="24"/>
              </w:rPr>
              <w:t>3</w:t>
            </w:r>
            <w:r>
              <w:rPr>
                <w:rFonts w:ascii="仿宋_GB2312" w:hAnsi="仿宋_GB2312" w:cs="仿宋_GB2312" w:eastAsia="仿宋_GB2312"/>
                <w:sz w:val="24"/>
              </w:rPr>
              <w:t>、工期：双方约定自施工之日起</w:t>
            </w:r>
            <w:r>
              <w:rPr>
                <w:rFonts w:ascii="仿宋_GB2312" w:hAnsi="仿宋_GB2312" w:cs="仿宋_GB2312" w:eastAsia="仿宋_GB2312"/>
                <w:sz w:val="24"/>
              </w:rPr>
              <w:t>30</w:t>
            </w:r>
            <w:r>
              <w:rPr>
                <w:rFonts w:ascii="仿宋_GB2312" w:hAnsi="仿宋_GB2312" w:cs="仿宋_GB2312" w:eastAsia="仿宋_GB2312"/>
                <w:sz w:val="24"/>
              </w:rPr>
              <w:t>天完成约定的项目。</w:t>
            </w:r>
          </w:p>
          <w:p>
            <w:pPr>
              <w:pStyle w:val="null3"/>
              <w:spacing w:before="15"/>
              <w:ind w:firstLine="484"/>
            </w:pPr>
            <w:r>
              <w:rPr>
                <w:rFonts w:ascii="仿宋_GB2312" w:hAnsi="仿宋_GB2312" w:cs="仿宋_GB2312" w:eastAsia="仿宋_GB2312"/>
                <w:sz w:val="24"/>
              </w:rPr>
              <w:t>遇阴雨天及不可抗力因素以及非成交人施工因素影响、工期相应顺延</w:t>
            </w:r>
            <w:r>
              <w:rPr>
                <w:rFonts w:ascii="仿宋_GB2312" w:hAnsi="仿宋_GB2312" w:cs="仿宋_GB2312" w:eastAsia="仿宋_GB2312"/>
                <w:sz w:val="24"/>
              </w:rPr>
              <w:t>(</w:t>
            </w:r>
            <w:r>
              <w:rPr>
                <w:rFonts w:ascii="仿宋_GB2312" w:hAnsi="仿宋_GB2312" w:cs="仿宋_GB2312" w:eastAsia="仿宋_GB2312"/>
                <w:sz w:val="24"/>
              </w:rPr>
              <w:t>顺延工期应由采购人、成交人共同签字确认</w:t>
            </w:r>
            <w:r>
              <w:rPr>
                <w:rFonts w:ascii="仿宋_GB2312" w:hAnsi="仿宋_GB2312" w:cs="仿宋_GB2312" w:eastAsia="仿宋_GB2312"/>
                <w:sz w:val="24"/>
              </w:rPr>
              <w:t>);</w:t>
            </w:r>
          </w:p>
          <w:p>
            <w:pPr>
              <w:pStyle w:val="null3"/>
              <w:spacing w:before="15"/>
            </w:pPr>
            <w:r>
              <w:rPr>
                <w:rFonts w:ascii="仿宋_GB2312" w:hAnsi="仿宋_GB2312" w:cs="仿宋_GB2312" w:eastAsia="仿宋_GB2312"/>
                <w:sz w:val="24"/>
                <w:b/>
              </w:rPr>
              <w:t xml:space="preserve"> 六</w:t>
            </w:r>
            <w:r>
              <w:rPr>
                <w:rFonts w:ascii="仿宋_GB2312" w:hAnsi="仿宋_GB2312" w:cs="仿宋_GB2312" w:eastAsia="仿宋_GB2312"/>
                <w:sz w:val="24"/>
                <w:b/>
              </w:rPr>
              <w:t>、工程量清单</w:t>
            </w:r>
          </w:p>
          <w:tbl>
            <w:tblPr>
              <w:tblInd w:type="dxa" w:w="135"/>
              <w:tblBorders>
                <w:top w:val="none" w:color="000000" w:sz="4"/>
                <w:left w:val="none" w:color="000000" w:sz="4"/>
                <w:bottom w:val="none" w:color="000000" w:sz="4"/>
                <w:right w:val="none" w:color="000000" w:sz="4"/>
                <w:insideH w:val="none"/>
                <w:insideV w:val="none"/>
              </w:tblBorders>
            </w:tblPr>
            <w:tblGrid>
              <w:gridCol w:w="326"/>
              <w:gridCol w:w="750"/>
              <w:gridCol w:w="416"/>
              <w:gridCol w:w="588"/>
              <w:gridCol w:w="472"/>
            </w:tblGrid>
            <w:tr>
              <w:tc>
                <w:tcPr>
                  <w:tcW w:type="dxa" w:w="32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75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清单项目</w:t>
                  </w:r>
                </w:p>
              </w:tc>
              <w:tc>
                <w:tcPr>
                  <w:tcW w:type="dxa" w:w="41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5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工程量</w:t>
                  </w:r>
                </w:p>
              </w:tc>
              <w:tc>
                <w:tcPr>
                  <w:tcW w:type="dxa" w:w="47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3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土方开挖</w:t>
                  </w:r>
                </w:p>
              </w:tc>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5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31390.02</w:t>
                  </w:r>
                </w:p>
              </w:tc>
              <w:tc>
                <w:tcPr>
                  <w:tcW w:type="dxa" w:w="4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84"/>
                    <w:jc w:val="center"/>
                  </w:pPr>
                </w:p>
              </w:tc>
            </w:tr>
            <w:tr>
              <w:tc>
                <w:tcPr>
                  <w:tcW w:type="dxa" w:w="3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土方内倒</w:t>
                  </w:r>
                </w:p>
              </w:tc>
              <w:tc>
                <w:tcPr>
                  <w:tcW w:type="dxa" w:w="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5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31390.02</w:t>
                  </w:r>
                </w:p>
              </w:tc>
              <w:tc>
                <w:tcPr>
                  <w:tcW w:type="dxa" w:w="4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84"/>
                    <w:jc w:val="center"/>
                  </w:pPr>
                </w:p>
              </w:tc>
            </w:tr>
          </w:tbl>
          <w:p>
            <w:pPr>
              <w:pStyle w:val="null3"/>
              <w:jc w:val="both"/>
            </w:pPr>
            <w:r>
              <w:rPr>
                <w:rFonts w:ascii="仿宋_GB2312" w:hAnsi="仿宋_GB2312" w:cs="仿宋_GB2312" w:eastAsia="仿宋_GB2312"/>
                <w:sz w:val="24"/>
              </w:rPr>
              <w:t>注：以上工程量为暂定数量，结算时以实际数量为准。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《安全生产法》 《建设工程安全生产管理条例》 《西安市扬尘污染防治条例》 《西安市建筑垃圾管理办法》 《西安高新区治污减霾网格化管理工作实施方案》 如有最新的法律法规、技术规范发布，按最新的文件执行。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3.3.1付款方式及依据： ①付款方式：供应商完成合同工程量的80％，支付至合同暂定总价的50％，工程全部完工并由采购人验收合格并确认后，支付至合同暂定总价的80％，待结算审核完成后支付至结算金额的97%，剩余3%作为质保金，质保金在缺陷责任期（12个月）满后一次性无息支付。 ②付款依据：采购人出具的验收报告、供应商提供的等额发票、工程量确认单。 注：工程结算以财政结算审定价款据实结算。 3.3.2本项目磋商总报价为完成本项目磋商文件中所提出的工作范围及要求的全部内容，并达到国家及采购人验收标准而产生的所有费用，投标报价包括但不限于以下内容：包括人工费、材料费、机械费、措施费、管理费、利润、税金、风险、工程保险费、招标代理服务费、防污治霾费等完成本项目所产生的一切费用。任何错报、漏报由供应商自行负责。 3.3.3所属行业：建筑业。根据《工业和信息化部、国家统计局、国家发展和改革委员会、财政部关于印发中小企业划型标准规定的通知》（工信部联企业〔2011〕300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3.3.4成交人领取成交通知书时须向代理机构提交纸质版磋商响应文件：正本壹份、副本贰份、电子版（U盘）贰份。 3.3.5 因系统设定原因，本项目收取质保金，以3.3.1约定内容的付款方式为准。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具备建设行政主管部门颁发的建筑工程施工总承包三级及以上资质，且具有有效的安全生产许可证；供应商需在项目电子化交易系统中按要求上传相应证明文件并进行电子签章。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具备二级及以上注册建造师执业资格（建筑工程专业），具有有效的安全生产考核合格证（建安B证），在本单位注册，且未担任其他在建工程项目的项目经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详见6.4.2评分标准 异常低价审查</w:t>
            </w:r>
          </w:p>
        </w:tc>
        <w:tc>
          <w:tcPr>
            <w:tcW w:type="dxa" w:w="1661"/>
          </w:tcPr>
          <w:p>
            <w:pPr>
              <w:pStyle w:val="null3"/>
            </w:pPr>
            <w:r>
              <w:rPr>
                <w:rFonts w:ascii="仿宋_GB2312" w:hAnsi="仿宋_GB2312" w:cs="仿宋_GB2312" w:eastAsia="仿宋_GB2312"/>
              </w:rPr>
              <w:t>已标价工程量清单 报价一览表及分项报价表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已标价工程量清单 报价一览表及分项报价表 中小企业声明函 技术标 承诺书 技术服务合同条款及其他商务要求应答表 响应文件封面 资格证明文件 残疾人福利性单位声明函 报价函 标的清单 响应函 业绩证明文件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响应文件有磋商响应有效期且响应有效期达到磋商文件的要求；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供应商针对同一工程及服务未递交两份或多份内容不同的响应文件，未出现选择性报价；</w:t>
            </w:r>
          </w:p>
        </w:tc>
        <w:tc>
          <w:tcPr>
            <w:tcW w:type="dxa" w:w="1661"/>
          </w:tcPr>
          <w:p>
            <w:pPr>
              <w:pStyle w:val="null3"/>
            </w:pPr>
            <w:r>
              <w:rPr>
                <w:rFonts w:ascii="仿宋_GB2312" w:hAnsi="仿宋_GB2312" w:cs="仿宋_GB2312" w:eastAsia="仿宋_GB2312"/>
              </w:rPr>
              <w:t>响应文件封面 已标价工程量清单 报价一览表及分项报价表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已标价工程量清单 报价一览表及分项报价表 中小企业声明函 技术标 承诺书 技术服务合同条款及其他商务要求应答表 响应文件封面 资格证明文件 残疾人福利性单位声明函 报价函 标的清单 响应函 业绩证明文件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已标价工程量清单 报价一览表及分项报价表 中小企业声明函 技术标 承诺书 技术服务合同条款及其他商务要求应答表 响应文件封面 资格证明文件 残疾人福利性单位声明函 报价函 标的清单 响应函 业绩证明文件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已标价工程量清单 报价一览表及分项报价表 中小企业声明函 技术标 承诺书 技术服务合同条款及其他商务要求应答表 响应文件封面 资格证明文件 残疾人福利性单位声明函 报价函 标的清单 响应函 业绩证明文件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已标价工程量清单 报价一览表及分项报价表 中小企业声明函 技术标 承诺书 技术服务合同条款及其他商务要求应答表 响应文件封面 资格证明文件 残疾人福利性单位声明函 报价函 标的清单 响应函 业绩证明文件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①施工准备；②施工总体部署；③主要施工工艺及施工方法；④施工机械及工器具配备。 二、评审标准 1.完整性：方案须全面，对评审内容中的各项要求有详细描述； 2.可实施性：切合本项目实际情况，实施步骤清晰、合理； 3.针对性：方案能够紧扣项目实际情况，内容科学合理。 三、赋分标准 ①施工准备：每完全满足一项评审标准计1.5分，满分4.5分。 ②施工总体部署：每完全满足一项评审标准计1.5分，满分4.5分。 ③主要施工工艺及施工方法：每完全满足一项评审标准计1.5分，满分4.5分。 ④施工机械及工器具配备：每完全满足一项评审标准计1.5分，满分4.5分。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①人员配备清单、劳动力投入及相关资料；②岗位职责与分工。 二、评审标准 1.完整性：方案须全面，对评审内容中的各项要求有详细描述； 2.可实施性：切合本项目实际情况，实施步骤清晰、合理； 3.针对性：方案能够紧扣项目实际情况，内容科学合理。 三、赋分标准 ①人员配备清单、劳动力投入及相关资料：每完全满足一项评审标准计1.5分，满分4.5分。 ②岗位职责与分工：每完全满足一项评审标准计1.5分，满分4.5分。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一、评审内容 ①质量目标；②质量控制要点。 二、评审标准 1.完整性：方案须全面，对评审内容中的各项要求有详细描述； 2.可实施性：切合本项目实际情况，实施步骤清晰、合理； 3.针对性：方案能够紧扣项目实际情况，内容科学合理。 三、赋分标准 ①质量目标：每完全满足一项评审标准计1.5分，满分4.5分。 ②质量控制要点：每完全满足一项评审标准计1.5分，满分4.5分。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施工过程中的技术组织措施</w:t>
            </w:r>
          </w:p>
        </w:tc>
        <w:tc>
          <w:tcPr>
            <w:tcW w:type="dxa" w:w="2492"/>
          </w:tcPr>
          <w:p>
            <w:pPr>
              <w:pStyle w:val="null3"/>
            </w:pPr>
            <w:r>
              <w:rPr>
                <w:rFonts w:ascii="仿宋_GB2312" w:hAnsi="仿宋_GB2312" w:cs="仿宋_GB2312" w:eastAsia="仿宋_GB2312"/>
              </w:rPr>
              <w:t>一、评审内容 ①安全生产的技术组织措施；②文明施工的技术组织措施；③治污减霾和防尘污染的技术组织措施。 二、评审标准 1.完整性：方案须全面，对评审内容中的各项要求有详细描述； 2.可实施性：切合本项目实际情况，实施步骤清晰、合理； 3.针对性：方案能够紧扣项目实际情况，内容科学合理。 三、赋分标准 ①安全生产的技术组织措施：每完全满足一项评审标准计1.5分，满分4.5分。 ②文明施工的技术组织措施：每完全满足一项评审标准计1.5分，满分4.5分。 ③治污减霾和防尘污染的技术组织措施：每完全满足一项评审标准计1.5分，满分4.5分。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一、评审内容 ①总体实施进度安排；②进度保障措施。 二、评审标准 1.完整性：方案须全面，对评审内容中的各项要求有详细描述； 2.可实施性：切合本项目实际情况，实施步骤清晰、合理； 3.针对性：方案能够紧扣项目实际情况，内容科学合理。 三、赋分标准 ①总体实施进度安排：每完全满足一项评审标准计1.5分，满分4.5分。 ②进度保障措施：每完全满足一项评审标准计1.5分，满分4.5分。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应急措施和解决方案</w:t>
            </w:r>
          </w:p>
        </w:tc>
        <w:tc>
          <w:tcPr>
            <w:tcW w:type="dxa" w:w="2492"/>
          </w:tcPr>
          <w:p>
            <w:pPr>
              <w:pStyle w:val="null3"/>
            </w:pPr>
            <w:r>
              <w:rPr>
                <w:rFonts w:ascii="仿宋_GB2312" w:hAnsi="仿宋_GB2312" w:cs="仿宋_GB2312" w:eastAsia="仿宋_GB2312"/>
              </w:rPr>
              <w:t>一、评审内容 各类应急措施和解决方案。 二、评审标准 1.完整性：方案须全面，对评审内容中的各项要求有详细描述； 2.可实施性：切合本项目实际情况，实施步骤清晰、合理； 3.针对性：方案能够紧扣项目实际情况，内容科学合理。 三、赋分标准 ①各类应急措施和解决方案：每完全满足一项评审标准计1.5分，满分4.5分。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项目经理经验</w:t>
            </w:r>
          </w:p>
        </w:tc>
        <w:tc>
          <w:tcPr>
            <w:tcW w:type="dxa" w:w="2492"/>
          </w:tcPr>
          <w:p>
            <w:pPr>
              <w:pStyle w:val="null3"/>
            </w:pPr>
            <w:r>
              <w:rPr>
                <w:rFonts w:ascii="仿宋_GB2312" w:hAnsi="仿宋_GB2312" w:cs="仿宋_GB2312" w:eastAsia="仿宋_GB2312"/>
              </w:rPr>
              <w:t>项目经理2023年至响应文件递交截止前，有1个类似项目业绩得1分，本项最高得2分（提供项目合同及体现该人员为项目经理的证明资料，视为1个项目经验）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提供供应商2023年以来类似项目业绩合同（以合同签订时间为准），每份计1分，满分5分。（注：以上证明文件在磋商响应文件中附业绩合同扫描件并加盖公章）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（4）评审小组基于专业判断，认为供应商投标（响应）报价过低，有可能影响产品质量或者不能诚信履约的其他情形。 评审小组启动异常低价投标审查后，属于前述第1项至第4项情形的，相关供应商在30分钟内通过项目电子化交易系统进行提交，对投标（响应）价格作出解释，提供项目具体成本测算等与报价合理性相关的书面说明及必要的证明材料，包括但不限于原材料成本、人工成本、制造费用等。 评审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评审小组应当将其作为无效磋商响应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报价一览表及分项报价表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3%的扣除，用扣除后的价格参加评审。承接本项目的供应商符合相应条件时，给予3%的价格扣除，即：评标价=最后报价×（1-3%）;监狱企业与残疾人福利性单位视同小型、微型企业，享受同等价格扣除，当企业属性重复时，不重复价格扣除。 2.本项目所属行业：建筑业。根据《工业和信息化部、国家统计局、国家发展和改革委员会、财政部关于印发中小企业划型标准规定的通知》（工信部联企业〔2011〕300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w:t>
            </w:r>
          </w:p>
          <w:p>
            <w:pPr>
              <w:pStyle w:val="null3"/>
            </w:pPr>
            <w:r>
              <w:rPr>
                <w:rFonts w:ascii="仿宋_GB2312" w:hAnsi="仿宋_GB2312" w:cs="仿宋_GB2312" w:eastAsia="仿宋_GB2312"/>
              </w:rPr>
              <w:t>报价函</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详见附件：技术标</w:t>
      </w:r>
    </w:p>
    <w:p>
      <w:pPr>
        <w:pStyle w:val="null3"/>
        <w:ind w:firstLine="960"/>
      </w:pPr>
      <w:r>
        <w:rPr>
          <w:rFonts w:ascii="仿宋_GB2312" w:hAnsi="仿宋_GB2312" w:cs="仿宋_GB2312" w:eastAsia="仿宋_GB2312"/>
        </w:rPr>
        <w:t>详见附件：报价一览表及分项报价表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