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CF084">
      <w:pPr>
        <w:spacing w:line="440" w:lineRule="exact"/>
        <w:ind w:firstLine="0" w:firstLineChars="0"/>
        <w:jc w:val="left"/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eastAsia="zh-CN"/>
        </w:rPr>
        <w:t>一、项目概况</w:t>
      </w:r>
    </w:p>
    <w:p w14:paraId="1CE9AF7E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为切实保障全校教职工身心健康，落实人文关怀并满足学校工作实际需要，我校拟于2026年面向全体在职在编教职工开展年度健康体检工作。</w:t>
      </w:r>
    </w:p>
    <w:p w14:paraId="639708F5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结合近三年教职工体检的实际选择意愿与习惯，历年均有约半数人员分别选择不同层级、不同区域的体检机构进行体检。为充分尊重职工自主选择意愿、贴合职工实际需求，同时规范项目实施管理，现拟将本次体检项目划分为两个合同包，分别组织实施。此种划分方式旨在最大限度提升教职工参检意愿与体检体验，具体安排如下：</w:t>
      </w:r>
    </w:p>
    <w:p w14:paraId="4D160FD2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合同包1（160人）</w:t>
      </w:r>
    </w:p>
    <w:p w14:paraId="38400E8B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面向居住地临近学校或长期在县域范围内工作生活的教职工群体。该部分教职工日常工作重心及生活圈主要集中在当地，选择就近区域的体检机构进行体检，可有效减少往返时间成本，可便捷高效地完成各项检查，实现工作与健康管理的统筹兼顾。</w:t>
      </w:r>
    </w:p>
    <w:p w14:paraId="33480429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合同包2（160人）</w:t>
      </w:r>
    </w:p>
    <w:p w14:paraId="5BC6FD11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面向居住地在市区或日常通勤往返于市县之间的教职工群体。该部分教职工家庭住址位于市区，选择市区内的体检机构，不仅可依托更为丰富的医疗资源和专科诊疗能力，还能实现与个人居住地的就近衔接，方便教职工利用休息时间完成检查，避免往返偏远区域的不便。</w:t>
      </w:r>
    </w:p>
    <w:p w14:paraId="7B0ADA30">
      <w:pPr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两个合同包的体检基础项目保持统一标准，均涵盖临床检查、生化检验、影像学检查等常规及针对性项目，确保不同渠道体检结果的横向可比性与数据同质性，为后续健康管理提供可靠依据。</w:t>
      </w:r>
    </w:p>
    <w:p w14:paraId="6DADEB35">
      <w:pPr>
        <w:spacing w:line="440" w:lineRule="exact"/>
        <w:ind w:firstLine="0" w:firstLineChars="0"/>
        <w:jc w:val="left"/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color="auto" w:fill="FFFFFF"/>
        </w:rPr>
        <w:t>检查项目人群类别及技术要求</w:t>
      </w:r>
      <w:r>
        <w:rPr>
          <w:rFonts w:hint="eastAsia" w:ascii="宋体" w:hAnsi="宋体" w:eastAsia="宋体" w:cs="宋体"/>
          <w:b/>
          <w:bCs/>
          <w:kern w:val="0"/>
          <w:sz w:val="24"/>
        </w:rPr>
        <w:t>（合同包1、合同包2）</w:t>
      </w:r>
      <w:r>
        <w:rPr>
          <w:rFonts w:hint="eastAsia" w:ascii="宋体" w:hAnsi="宋体" w:eastAsia="宋体" w:cs="宋体"/>
          <w:b/>
          <w:bCs/>
          <w:kern w:val="0"/>
          <w:sz w:val="24"/>
          <w:lang w:eastAsia="zh-CN"/>
        </w:rPr>
        <w:t>：</w:t>
      </w:r>
    </w:p>
    <w:tbl>
      <w:tblPr>
        <w:tblStyle w:val="4"/>
        <w:tblW w:w="9195" w:type="dxa"/>
        <w:tblInd w:w="7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7919"/>
      </w:tblGrid>
      <w:tr w14:paraId="3F4F74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FFDF6">
            <w:pPr>
              <w:spacing w:line="440" w:lineRule="exact"/>
              <w:ind w:firstLine="0" w:firstLineChars="0"/>
              <w:jc w:val="center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类别</w:t>
            </w:r>
          </w:p>
        </w:tc>
        <w:tc>
          <w:tcPr>
            <w:tcW w:w="7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BAFDE">
            <w:pPr>
              <w:spacing w:line="440" w:lineRule="exact"/>
              <w:ind w:firstLine="0" w:firstLineChars="0"/>
              <w:jc w:val="center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项目名称</w:t>
            </w:r>
          </w:p>
        </w:tc>
      </w:tr>
      <w:tr w14:paraId="765E9D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7D8DF">
            <w:pPr>
              <w:spacing w:line="440" w:lineRule="exact"/>
              <w:ind w:firstLine="0" w:firstLineChars="0"/>
              <w:jc w:val="left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在职男士</w:t>
            </w:r>
          </w:p>
        </w:tc>
        <w:tc>
          <w:tcPr>
            <w:tcW w:w="7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D03DF">
            <w:pPr>
              <w:spacing w:line="440" w:lineRule="exact"/>
              <w:ind w:firstLine="480" w:firstLineChars="200"/>
              <w:jc w:val="left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血常规、尿液常规、肝功八项、血糖二项、血脂四项、肾功四项、肿瘤标志物三项（CEA、AFP、TPSA）、胸部CT平扫、心电图、腹部彩超（肝胆脾胰）、泌尿系彩超、甲状腺彩超（含颈部淋巴结）、C13呼气试验。总检+健康指导。</w:t>
            </w:r>
          </w:p>
        </w:tc>
      </w:tr>
      <w:tr w14:paraId="68C73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 w:hRule="atLeast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F71C3">
            <w:pPr>
              <w:spacing w:line="440" w:lineRule="exact"/>
              <w:ind w:firstLine="0" w:firstLineChars="0"/>
              <w:jc w:val="left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已婚女士</w:t>
            </w:r>
          </w:p>
        </w:tc>
        <w:tc>
          <w:tcPr>
            <w:tcW w:w="7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AF04A">
            <w:pPr>
              <w:spacing w:line="440" w:lineRule="exact"/>
              <w:ind w:firstLine="480" w:firstLineChars="200"/>
              <w:jc w:val="left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血常规、尿液常规、肝功八项、血糖二项、血脂四项、肾功四项、胸部正位片、心电图、腹部彩超（肝胆脾胰）、泌尿系彩超、妇科彩超（经腹）、甲状腺彩超（含颈部淋巴结）、乳腺彩超（含引流区淋巴结）、妇科检查、液基薄层细胞检测、骨密度。总检+健康指导。</w:t>
            </w:r>
          </w:p>
        </w:tc>
      </w:tr>
      <w:tr w14:paraId="3911A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1" w:hRule="atLeast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66026">
            <w:pPr>
              <w:spacing w:line="440" w:lineRule="exact"/>
              <w:ind w:firstLine="0" w:firstLineChars="0"/>
              <w:jc w:val="left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未婚女士</w:t>
            </w:r>
          </w:p>
        </w:tc>
        <w:tc>
          <w:tcPr>
            <w:tcW w:w="7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D06D3">
            <w:pPr>
              <w:spacing w:line="440" w:lineRule="exact"/>
              <w:ind w:firstLine="480" w:firstLineChars="200"/>
              <w:jc w:val="left"/>
              <w:rPr>
                <w:rFonts w:hint="eastAsia" w:ascii="宋体" w:hAnsi="宋体" w:eastAsia="宋体" w:cs="宋体"/>
                <w:bCs w:val="0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血常规、尿液常规、肝功八项、血糖二项、血脂四项、肾功四项、肿瘤标志物二项（CEA、CA153）、胸部正位片、心电图、腹部彩超（肝胆脾胰）、泌尿系彩超、妇科彩超（经腹）、甲状腺彩超（含颈部淋巴结）、乳腺彩超（含引流区淋巴结）、C13呼气试验。总检+健康指导。</w:t>
            </w:r>
          </w:p>
        </w:tc>
      </w:tr>
    </w:tbl>
    <w:p w14:paraId="56F19E40">
      <w:pPr>
        <w:rPr>
          <w:rFonts w:hint="eastAsia"/>
          <w:b/>
          <w:bCs/>
          <w:sz w:val="24"/>
          <w:szCs w:val="24"/>
          <w:lang w:val="en-US" w:eastAsia="zh-CN"/>
        </w:rPr>
      </w:pPr>
    </w:p>
    <w:p w14:paraId="4F3F97F7">
      <w:bookmarkStart w:id="0" w:name="_GoBack"/>
      <w:bookmarkEnd w:id="0"/>
      <w:r>
        <w:rPr>
          <w:rFonts w:hint="eastAsia"/>
          <w:b/>
          <w:bCs/>
          <w:sz w:val="24"/>
          <w:szCs w:val="24"/>
          <w:lang w:val="en-US" w:eastAsia="zh-CN"/>
        </w:rPr>
        <w:t>注：本章内容为实质性内容，不得负偏离。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A20E02"/>
    <w:rsid w:val="08C12683"/>
    <w:rsid w:val="23A20E02"/>
    <w:rsid w:val="2AD77A77"/>
    <w:rsid w:val="2E8C5FE4"/>
    <w:rsid w:val="4A62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924</Words>
  <Characters>949</Characters>
  <Lines>0</Lines>
  <Paragraphs>0</Paragraphs>
  <TotalTime>0</TotalTime>
  <ScaleCrop>false</ScaleCrop>
  <LinksUpToDate>false</LinksUpToDate>
  <CharactersWithSpaces>949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2026-07-02T01:56:00Z</dcterms:created>
  <dc:creator>冲仔的梦想</dc:creator>
  <cp:lastModifiedBy>冲仔的梦想</cp:lastModifiedBy>
  <dcterms:modified xsi:type="dcterms:W3CDTF">2026-07-02T02:26:40Z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37AF5529286643EB9BA576B368435012_11</vt:lpwstr>
  </property>
  <property fmtid="{D5CDD505-2E9C-101B-9397-08002B2CF9AE}" pid="4" name="KSOTemplateDocerSaveRecord">
    <vt:lpwstr>eyJoZGlkIjoiMTkzYTdiMTBiZDZlNGMwOTE2Y2YwNzYxNDg5ODNkMDIiLCJ1c2VySWQiOiI5MTI4MTEzMDIifQ==</vt:lpwstr>
  </property>
</Properties>
</file>