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版本号：SXLH-HZ-2026-002.2B120260816001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2025年农村地区散煤综合治理专项采购(二次)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SXLH-HZ-2026-002.2B1</w:t>
      </w:r>
      <w:r>
        <w:br/>
      </w:r>
      <w:r>
        <w:br/>
      </w:r>
      <w:r>
        <w:br/>
      </w:r>
    </w:p>
    <w:p>
      <w:pPr>
        <w:pStyle w:val="null3"/>
        <w:jc w:val="center"/>
        <w:outlineLvl w:val="2"/>
      </w:pPr>
      <w:r>
        <w:rPr>
          <w:rFonts w:ascii="仿宋_GB2312" w:hAnsi="仿宋_GB2312" w:cs="仿宋_GB2312" w:eastAsia="仿宋_GB2312"/>
          <w:sz w:val="28"/>
          <w:b/>
        </w:rPr>
        <w:t>汉中市汉台区商务局</w:t>
      </w:r>
    </w:p>
    <w:p>
      <w:pPr>
        <w:pStyle w:val="null3"/>
        <w:jc w:val="center"/>
        <w:outlineLvl w:val="2"/>
      </w:pPr>
      <w:r>
        <w:rPr>
          <w:rFonts w:ascii="仿宋_GB2312" w:hAnsi="仿宋_GB2312" w:cs="仿宋_GB2312" w:eastAsia="仿宋_GB2312"/>
          <w:sz w:val="28"/>
          <w:b/>
        </w:rPr>
        <w:t>陕西翎海项目管理有限公司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陕西翎海项目管理有限公司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汉中市汉台区商务局</w:t>
      </w:r>
      <w:r>
        <w:rPr>
          <w:rFonts w:ascii="仿宋_GB2312" w:hAnsi="仿宋_GB2312" w:cs="仿宋_GB2312" w:eastAsia="仿宋_GB2312"/>
        </w:rPr>
        <w:t>委托，拟对</w:t>
      </w:r>
      <w:r>
        <w:rPr>
          <w:rFonts w:ascii="仿宋_GB2312" w:hAnsi="仿宋_GB2312" w:cs="仿宋_GB2312" w:eastAsia="仿宋_GB2312"/>
        </w:rPr>
        <w:t>2025年农村地区散煤综合治理专项采购(二次)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SXLH-HZ-2026-002.2B1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2025年农村地区散煤综合治理专项采购(二次)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采购取暖器一批，面向辖区内符合要求的群众发放、安装，改善群众生活用能结构，深入推进本地区散煤综合治理工作，提升空气质量，保护环境。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采购包1（汉中市汉台区商务局2025年农村地区散煤综合治理专项采购）：属于专门面向中小企业采购。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汉中市汉台区商务局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中山街69号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汉台区商务局经办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2212347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陕西翎海项目管理有限公司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陕西省西安市灞桥区陕西省西安市灞桥区半坡国际广场6号楼1801室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18740366264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采购包1：1,924,576.50元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开户名称：陕西翎海项目管理有限公司</w:t>
            </w:r>
          </w:p>
          <w:p>
            <w:pPr>
              <w:pStyle w:val="null3"/>
            </w:pPr>
            <w:r>
              <w:rPr>
                <w:rFonts w:ascii="仿宋_GB2312" w:hAnsi="仿宋_GB2312" w:cs="仿宋_GB2312" w:eastAsia="仿宋_GB2312"/>
              </w:rPr>
              <w:t>开户银行：中国建设银行股份有限公司西安西影路东段支行</w:t>
            </w:r>
          </w:p>
          <w:p>
            <w:pPr>
              <w:pStyle w:val="null3"/>
            </w:pPr>
            <w:r>
              <w:rPr>
                <w:rFonts w:ascii="仿宋_GB2312" w:hAnsi="仿宋_GB2312" w:cs="仿宋_GB2312" w:eastAsia="仿宋_GB2312"/>
              </w:rPr>
              <w:t>银行账号：61050176004100001185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代理服务费用收取对象：中标/成交供应商代理服务费收费标准：参考国家计委关于印发招标代理服务收费管理暂行办法的通知》（计价格〔2002〕1980号）和国家发改委办公厅《关于招标代理服务收费有关问题的通知》（发改办价格〔2003〕857号）文件规定标准收取，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汉中市汉台区商务局</w:t>
      </w:r>
      <w:r>
        <w:rPr>
          <w:rFonts w:ascii="仿宋_GB2312" w:hAnsi="仿宋_GB2312" w:cs="仿宋_GB2312" w:eastAsia="仿宋_GB2312"/>
        </w:rPr>
        <w:t>和</w:t>
      </w:r>
      <w:r>
        <w:rPr>
          <w:rFonts w:ascii="仿宋_GB2312" w:hAnsi="仿宋_GB2312" w:cs="仿宋_GB2312" w:eastAsia="仿宋_GB2312"/>
        </w:rPr>
        <w:t>陕西翎海项目管理有限公司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汉中市汉台区商务局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陕西翎海项目管理有限公司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汉中市汉台区商务局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陕西翎海项目管理有限公司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质量要求：产品质量合格，且符合相应产品的国家及行业标准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联系电话：187400366264</w:t>
      </w:r>
    </w:p>
    <w:p>
      <w:pPr>
        <w:pStyle w:val="null3"/>
      </w:pPr>
      <w:r>
        <w:rPr>
          <w:rFonts w:ascii="仿宋_GB2312" w:hAnsi="仿宋_GB2312" w:cs="仿宋_GB2312" w:eastAsia="仿宋_GB2312"/>
        </w:rPr>
        <w:t>地址：陕西省西安市灞桥区半坡国际广场6号楼1801室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采购取暖器一批，面向辖区内符合要求的群众发放、安装，改善群众生活用能结构，深入推进本地区散煤综合治理工作，提升空气质量，保护环境。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1,924,576.50</w:t>
      </w:r>
    </w:p>
    <w:p>
      <w:pPr>
        <w:pStyle w:val="null3"/>
      </w:pPr>
      <w:r>
        <w:rPr>
          <w:rFonts w:ascii="仿宋_GB2312" w:hAnsi="仿宋_GB2312" w:cs="仿宋_GB2312" w:eastAsia="仿宋_GB2312"/>
        </w:rPr>
        <w:t>采购包最高限价（元）: 1,924,576.50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汉中市汉台区商务局2025年农村地区散煤综合治理专项采购</w:t>
            </w:r>
          </w:p>
        </w:tc>
        <w:tc>
          <w:tcPr>
            <w:tcW w:type="dxa" w:w="755"/>
          </w:tcPr>
          <w:p>
            <w:pPr>
              <w:pStyle w:val="null3"/>
              <w:jc w:val="right"/>
            </w:pPr>
            <w:r>
              <w:rPr>
                <w:rFonts w:ascii="仿宋_GB2312" w:hAnsi="仿宋_GB2312" w:cs="仿宋_GB2312" w:eastAsia="仿宋_GB2312"/>
              </w:rPr>
              <w:t>4,275.00</w:t>
            </w:r>
          </w:p>
        </w:tc>
        <w:tc>
          <w:tcPr>
            <w:tcW w:type="dxa" w:w="755"/>
          </w:tcPr>
          <w:p>
            <w:pPr>
              <w:pStyle w:val="null3"/>
              <w:jc w:val="right"/>
            </w:pPr>
            <w:r>
              <w:rPr>
                <w:rFonts w:ascii="仿宋_GB2312" w:hAnsi="仿宋_GB2312" w:cs="仿宋_GB2312" w:eastAsia="仿宋_GB2312"/>
              </w:rPr>
              <w:t>1,924,576.50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标的名称：汉中市汉台区商务局2025年农村地区散煤综合治理专项采购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多功能取暖烹饪一体电暖桌（嵌入式电陶炉或电磁炉）。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取暖面积：</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35㎡</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挡位控制：四面单控</w:t>
            </w:r>
            <w:r>
              <w:rPr>
                <w:rFonts w:ascii="仿宋_GB2312" w:hAnsi="仿宋_GB2312" w:cs="仿宋_GB2312" w:eastAsia="仿宋_GB2312"/>
                <w:sz w:val="24"/>
              </w:rPr>
              <w:t>5档/暖脚3档/烹调5档。</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结构形式：四面立柱发热＋底部取暖，桌面内嵌电陶炉。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防护配置：四面防烫金属防护网。</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烹饪炉：隐藏电磁炉或电</w:t>
            </w:r>
            <w:r>
              <w:rPr>
                <w:rFonts w:ascii="仿宋_GB2312" w:hAnsi="仿宋_GB2312" w:cs="仿宋_GB2312" w:eastAsia="仿宋_GB2312"/>
                <w:sz w:val="24"/>
              </w:rPr>
              <w:t>陶</w:t>
            </w:r>
            <w:r>
              <w:rPr>
                <w:rFonts w:ascii="仿宋_GB2312" w:hAnsi="仿宋_GB2312" w:cs="仿宋_GB2312" w:eastAsia="仿宋_GB2312"/>
                <w:sz w:val="24"/>
              </w:rPr>
              <w:t>炉</w:t>
            </w:r>
            <w:r>
              <w:rPr>
                <w:rFonts w:ascii="仿宋_GB2312" w:hAnsi="仿宋_GB2312" w:cs="仿宋_GB2312" w:eastAsia="仿宋_GB2312"/>
                <w:sz w:val="24"/>
              </w:rPr>
              <w:t>,</w:t>
            </w:r>
            <w:r>
              <w:rPr>
                <w:rFonts w:ascii="仿宋_GB2312" w:hAnsi="仿宋_GB2312" w:cs="仿宋_GB2312" w:eastAsia="仿宋_GB2312"/>
                <w:sz w:val="24"/>
              </w:rPr>
              <w:t>烹饪炉功率</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00W，火力可调。炉面材质：耐高温防爆微晶玻璃，耐温≥700°C。</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整机峰值功率</w:t>
            </w:r>
            <w:r>
              <w:rPr>
                <w:rFonts w:ascii="仿宋_GB2312" w:hAnsi="仿宋_GB2312" w:cs="仿宋_GB2312" w:eastAsia="仿宋_GB2312"/>
                <w:sz w:val="24"/>
              </w:rPr>
              <w:t>≥2200W。取暖功率≥</w:t>
            </w:r>
            <w:r>
              <w:rPr>
                <w:rFonts w:ascii="仿宋_GB2312" w:hAnsi="仿宋_GB2312" w:cs="仿宋_GB2312" w:eastAsia="仿宋_GB2312"/>
                <w:sz w:val="24"/>
              </w:rPr>
              <w:t>1750</w:t>
            </w:r>
            <w:r>
              <w:rPr>
                <w:rFonts w:ascii="仿宋_GB2312" w:hAnsi="仿宋_GB2312" w:cs="仿宋_GB2312" w:eastAsia="仿宋_GB2312"/>
                <w:sz w:val="24"/>
              </w:rPr>
              <w:t>W，烹饪炉功率≥1</w:t>
            </w:r>
            <w:r>
              <w:rPr>
                <w:rFonts w:ascii="仿宋_GB2312" w:hAnsi="仿宋_GB2312" w:cs="仿宋_GB2312" w:eastAsia="仿宋_GB2312"/>
                <w:sz w:val="24"/>
              </w:rPr>
              <w:t>3</w:t>
            </w:r>
            <w:r>
              <w:rPr>
                <w:rFonts w:ascii="仿宋_GB2312" w:hAnsi="仿宋_GB2312" w:cs="仿宋_GB2312" w:eastAsia="仿宋_GB2312"/>
                <w:sz w:val="24"/>
              </w:rPr>
              <w:t>00W，电</w:t>
            </w:r>
            <w:r>
              <w:rPr>
                <w:rFonts w:ascii="仿宋_GB2312" w:hAnsi="仿宋_GB2312" w:cs="仿宋_GB2312" w:eastAsia="仿宋_GB2312"/>
                <w:sz w:val="24"/>
              </w:rPr>
              <w:t>压</w:t>
            </w:r>
            <w:r>
              <w:rPr>
                <w:rFonts w:ascii="仿宋_GB2312" w:hAnsi="仿宋_GB2312" w:cs="仿宋_GB2312" w:eastAsia="仿宋_GB2312"/>
                <w:sz w:val="24"/>
              </w:rPr>
              <w:t xml:space="preserve"> </w:t>
            </w:r>
            <w:r>
              <w:rPr>
                <w:rFonts w:ascii="仿宋_GB2312" w:hAnsi="仿宋_GB2312" w:cs="仿宋_GB2312" w:eastAsia="仿宋_GB2312"/>
                <w:sz w:val="24"/>
              </w:rPr>
              <w:t>:220</w:t>
            </w:r>
            <w:r>
              <w:rPr>
                <w:rFonts w:ascii="仿宋_GB2312" w:hAnsi="仿宋_GB2312" w:cs="仿宋_GB2312" w:eastAsia="仿宋_GB2312"/>
                <w:sz w:val="24"/>
              </w:rPr>
              <w:t>V</w:t>
            </w:r>
            <w:r>
              <w:rPr>
                <w:rFonts w:ascii="仿宋_GB2312" w:hAnsi="仿宋_GB2312" w:cs="仿宋_GB2312" w:eastAsia="仿宋_GB2312"/>
                <w:sz w:val="24"/>
              </w:rPr>
              <w:t>/50Hz。</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外形尺寸：</w:t>
            </w:r>
            <w:r>
              <w:rPr>
                <w:rFonts w:ascii="仿宋_GB2312" w:hAnsi="仿宋_GB2312" w:cs="仿宋_GB2312" w:eastAsia="仿宋_GB2312"/>
                <w:sz w:val="24"/>
              </w:rPr>
              <w:t>≥800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800mm</w:t>
            </w:r>
            <w:r>
              <w:rPr>
                <w:rFonts w:ascii="仿宋_GB2312" w:hAnsi="仿宋_GB2312" w:cs="仿宋_GB2312" w:eastAsia="仿宋_GB2312"/>
                <w:sz w:val="24"/>
              </w:rPr>
              <w:t>×710</w:t>
            </w:r>
            <w:r>
              <w:rPr>
                <w:rFonts w:ascii="仿宋_GB2312" w:hAnsi="仿宋_GB2312" w:cs="仿宋_GB2312" w:eastAsia="仿宋_GB2312"/>
                <w:sz w:val="24"/>
              </w:rPr>
              <w:t>mm</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定时功能</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h定时关机，连续无操作3小时自动关机。</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发热</w:t>
            </w:r>
            <w:r>
              <w:rPr>
                <w:rFonts w:ascii="仿宋_GB2312" w:hAnsi="仿宋_GB2312" w:cs="仿宋_GB2312" w:eastAsia="仿宋_GB2312"/>
                <w:sz w:val="24"/>
              </w:rPr>
              <w:t>元件：同等或优于远红外发热管。</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取暖分区：</w:t>
            </w:r>
            <w:r>
              <w:rPr>
                <w:rFonts w:ascii="仿宋_GB2312" w:hAnsi="仿宋_GB2312" w:cs="仿宋_GB2312" w:eastAsia="仿宋_GB2312"/>
                <w:sz w:val="24"/>
              </w:rPr>
              <w:t>4面独立控温，单区≥</w:t>
            </w:r>
            <w:r>
              <w:rPr>
                <w:rFonts w:ascii="仿宋_GB2312" w:hAnsi="仿宋_GB2312" w:cs="仿宋_GB2312" w:eastAsia="仿宋_GB2312"/>
                <w:sz w:val="24"/>
              </w:rPr>
              <w:t>40</w:t>
            </w:r>
            <w:r>
              <w:rPr>
                <w:rFonts w:ascii="仿宋_GB2312" w:hAnsi="仿宋_GB2312" w:cs="仿宋_GB2312" w:eastAsia="仿宋_GB2312"/>
                <w:sz w:val="24"/>
              </w:rPr>
              <w:t>0W，合计功率≥</w:t>
            </w:r>
            <w:r>
              <w:rPr>
                <w:rFonts w:ascii="仿宋_GB2312" w:hAnsi="仿宋_GB2312" w:cs="仿宋_GB2312" w:eastAsia="仿宋_GB2312"/>
                <w:sz w:val="24"/>
              </w:rPr>
              <w:t>16</w:t>
            </w:r>
            <w:r>
              <w:rPr>
                <w:rFonts w:ascii="仿宋_GB2312" w:hAnsi="仿宋_GB2312" w:cs="仿宋_GB2312" w:eastAsia="仿宋_GB2312"/>
                <w:sz w:val="24"/>
              </w:rPr>
              <w:t>00W，每个单区可单独控制，底部脚暖≥150W。</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隔热结构：机身外壳低温防烫伤。</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操作方式：桌面触控屏＋遥控。</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桌面面板：同等或优于加厚食品级岩板，厚度</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mm，耐高温、防刮防水，易清洁。</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机身</w:t>
            </w:r>
            <w:r>
              <w:rPr>
                <w:rFonts w:ascii="仿宋_GB2312" w:hAnsi="仿宋_GB2312" w:cs="仿宋_GB2312" w:eastAsia="仿宋_GB2312"/>
                <w:sz w:val="24"/>
              </w:rPr>
              <w:t>材质</w:t>
            </w:r>
            <w:r>
              <w:rPr>
                <w:rFonts w:ascii="仿宋_GB2312" w:hAnsi="仿宋_GB2312" w:cs="仿宋_GB2312" w:eastAsia="仿宋_GB2312"/>
                <w:sz w:val="24"/>
              </w:rPr>
              <w:t>：金属材质，防锈处理。</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电源线</w:t>
            </w:r>
            <w:r>
              <w:rPr>
                <w:rFonts w:ascii="仿宋_GB2312" w:hAnsi="仿宋_GB2312" w:cs="仿宋_GB2312" w:eastAsia="仿宋_GB2312"/>
                <w:sz w:val="24"/>
              </w:rPr>
              <w:t>：国标纯铜三芯电源线，长度</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m。</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安全配置</w:t>
            </w:r>
            <w:r>
              <w:rPr>
                <w:rFonts w:ascii="仿宋_GB2312" w:hAnsi="仿宋_GB2312" w:cs="仿宋_GB2312" w:eastAsia="仿宋_GB2312"/>
                <w:sz w:val="24"/>
              </w:rPr>
              <w:t>：带童锁保护，三小时无操作自动断电。</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认证</w:t>
            </w:r>
            <w:r>
              <w:rPr>
                <w:rFonts w:ascii="仿宋_GB2312" w:hAnsi="仿宋_GB2312" w:cs="仿宋_GB2312" w:eastAsia="仿宋_GB2312"/>
                <w:sz w:val="24"/>
              </w:rPr>
              <w:t>：</w:t>
            </w:r>
            <w:r>
              <w:rPr>
                <w:rFonts w:ascii="仿宋_GB2312" w:hAnsi="仿宋_GB2312" w:cs="仿宋_GB2312" w:eastAsia="仿宋_GB2312"/>
                <w:sz w:val="24"/>
              </w:rPr>
              <w:t>3C强制认证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自签订合同之日起30日历天，质保期一年。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进度款，供货安装进度达到50%，达到付款条件起10个工作日内，支付合同总金额的30.0%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进度款，供货及安装进度达到80%，达到付款条件起100个工作日内，支付合同总金额的30.0%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进度款，供货安装完成，通过采购人验收，达到付款条件起10个工作日内，支付合同总金额的40.0%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保修范围：整机质保保修期：≥1年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中标单位在领取中标通知书后，需提供投标文件纸质版一正一副送至代理公司。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投标人应提交的相关资格证明材料.pdf 投标函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采购需求表中标注“▲”的为产品的重要技术参数，每有一项重要技术参数未响应或负偏离扣1.5分，最高扣18分。 注：投标人应提供相关“▲” 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投标人应提供采购清单中货物的合法来源渠道证明文件，提供核心产品的证明文件得14分，不提供不得分。投标人可根据自身情况提供以下资料: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供应商需针对本项目提供完整的项目实施方案。内容包含：①供货组织②对接及运输方案③安装调试方案④人员、物力调配安排⑤进度安排及保障措施⑥安全文明施工措施。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0.5分，满分1.5分；②对接及运输方案:每完全满足一个评审标准得0.5分，满分1.5分；③安装调试方案:每完全满足一个评审标准得0.5分，满分1.5分；④人员、物力调配安排：每完全满足一个评审标准得0.5分，满分1.5分；⑤进度安排及保障措施：每完全满足一个评审标准得0.5分，满分1.5分；⑥安全文明施工措施每完全满足一个评审标准得0.5分，满分1.5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0.5分，满分1分；②响应时间:每完全满足一个评审标准得0.5分，满分1分；③故障处理及补救措施:每完全满足一个评审标准得0.5分，满分1分；④备品备件准备:每完全满足一个评审标准得0.5分，满分1分；⑤售后服务体系建设:每完全满足一个评审标准得0.5分，满分1分。（以上涉及内容每出现一处存在内容前后矛盾或不一致、前后逻辑错误或混乱、引用的规范及标准错误、地点区域名称错误、不符合项目实际情形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 赋分依据：①产品性能、使用寿命及效果：每完全满足一个评审标准得1分，满分2分；②产品生产、供应环节质量管理体系及保证措施:每完全满足一个评审标准得1分，满分2分。③安装质量保证措施：每完全满足一个评审标准得0.5分，满分1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供应商自2023年1月至今具有同类项目供货业绩（以签订合同时间为准），每提供一份合格业绩证明得5分，满分10分。 备注：须提供完整业绩合同扫描件方可得分，否则不得分。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供应商负责本项目的项目负责人需具备电气类的工程师资格证，中级及以上得4分，其他不得分。 备注：需提供项目负责人的身份证、电气工程师资格证。以上两种证明材料同时提供方可得分，否则不得分。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（1）评标基准价：即最低投标报价＝评标基准价，其价格分为35分。 （2）投标报价得分=评标基准价/投标报价×35。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