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版本号：0617--2613FZ113720260528001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2026年在职教职工体检项目（二次）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0617--2613FZ1137</w:t>
      </w:r>
      <w:r>
        <w:br/>
      </w:r>
      <w:r>
        <w:br/>
      </w:r>
      <w:r>
        <w:br/>
      </w:r>
    </w:p>
    <w:p>
      <w:pPr>
        <w:pStyle w:val="null3"/>
        <w:jc w:val="center"/>
        <w:outlineLvl w:val="2"/>
      </w:pPr>
      <w:r>
        <w:rPr>
          <w:rFonts w:ascii="仿宋_GB2312" w:hAnsi="仿宋_GB2312" w:cs="仿宋_GB2312" w:eastAsia="仿宋_GB2312"/>
          <w:sz w:val="28"/>
          <w:b/>
        </w:rPr>
        <w:t>西安财经大学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西安财经大学</w:t>
      </w:r>
      <w:r>
        <w:rPr>
          <w:rFonts w:ascii="仿宋_GB2312" w:hAnsi="仿宋_GB2312" w:cs="仿宋_GB2312" w:eastAsia="仿宋_GB2312"/>
        </w:rPr>
        <w:t>委托，拟对</w:t>
      </w:r>
      <w:r>
        <w:rPr>
          <w:rFonts w:ascii="仿宋_GB2312" w:hAnsi="仿宋_GB2312" w:cs="仿宋_GB2312" w:eastAsia="仿宋_GB2312"/>
        </w:rPr>
        <w:t>2026年在职教职工体检项目（二次）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0617--2613FZ1137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2026年在职教职工体检项目（二次）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西安财经大学2026年在职教职工体检采购项目。为全校教职工共1550人（其中男职工570人，已婚女职工864人，未婚女职工116人）进行体检。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1、本项目的特定资格要求：供应商具有卫生行政部门核准登记取得的《医疗机构执业许可证》和《放射诊疗许可证》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西安财经大学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西安市长安区常宁大街360号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马闻萧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029-85781085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029-85361256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代理服务费收费标准：参照国家发改委《招标代理服务收费暂行办法》（计价格[2002]1980号）文件的计费方法，下浮48%计取代理费(包括货物、服务和工程三类)，采购代理服务收费按差额定率累进法计算。 收款账号如下： 开户名称：西北（陕西）国际招标有限公司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西安财经大学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西安财经大学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西安财经大学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西安财经大学2026年在职教职工体检采购项目。为全校教职工共1550人（其中男职工570人，已婚女职工864人，未婚女职工116人）进行体检。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2026年在职教职工体检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标的名称：2026年在职教职工体检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采购内容、服务要求：</w:t>
            </w:r>
          </w:p>
          <w:p>
            <w:pPr>
              <w:pStyle w:val="null3"/>
              <w:jc w:val="left"/>
            </w:pPr>
            <w:r>
              <w:rPr>
                <w:rFonts w:ascii="仿宋_GB2312" w:hAnsi="仿宋_GB2312" w:cs="仿宋_GB2312" w:eastAsia="仿宋_GB2312"/>
                <w:sz w:val="21"/>
              </w:rPr>
              <w:t>西安财经大学</w:t>
            </w:r>
            <w:r>
              <w:rPr>
                <w:rFonts w:ascii="仿宋_GB2312" w:hAnsi="仿宋_GB2312" w:cs="仿宋_GB2312" w:eastAsia="仿宋_GB2312"/>
                <w:sz w:val="21"/>
              </w:rPr>
              <w:t>2026年在职教职工体检采购项目。为</w:t>
            </w:r>
            <w:r>
              <w:rPr>
                <w:rFonts w:ascii="仿宋_GB2312" w:hAnsi="仿宋_GB2312" w:cs="仿宋_GB2312" w:eastAsia="仿宋_GB2312"/>
              </w:rPr>
              <w:t>全校教职工共</w:t>
            </w:r>
            <w:r>
              <w:rPr>
                <w:rFonts w:ascii="仿宋_GB2312" w:hAnsi="仿宋_GB2312" w:cs="仿宋_GB2312" w:eastAsia="仿宋_GB2312"/>
              </w:rPr>
              <w:t>1550人（其中男职工570人，已婚女职工864人，未婚女职工116人）</w:t>
            </w:r>
            <w:r>
              <w:rPr>
                <w:rFonts w:ascii="仿宋_GB2312" w:hAnsi="仿宋_GB2312" w:cs="仿宋_GB2312" w:eastAsia="仿宋_GB2312"/>
                <w:sz w:val="21"/>
              </w:rPr>
              <w:t>进行体检。具体体检项目和主要服务内容要求如下：</w:t>
            </w:r>
          </w:p>
          <w:tbl>
            <w:tblPr>
              <w:tblBorders>
                <w:top w:val="none" w:color="000000" w:sz="4"/>
                <w:left w:val="none" w:color="000000" w:sz="4"/>
                <w:bottom w:val="none" w:color="000000" w:sz="4"/>
                <w:right w:val="none" w:color="000000" w:sz="4"/>
                <w:insideH w:val="none"/>
                <w:insideV w:val="none"/>
              </w:tblBorders>
            </w:tblPr>
            <w:tblGrid>
              <w:gridCol w:w="274"/>
              <w:gridCol w:w="821"/>
              <w:gridCol w:w="684"/>
              <w:gridCol w:w="775"/>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男性体检项目</w:t>
                  </w:r>
                </w:p>
              </w:tc>
              <w:tc>
                <w:tcPr>
                  <w:tcW w:type="dxa" w:w="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已婚女性体检项目</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未婚女性体检项目</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血压、身高、体重</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血压、身高、体重</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血压、身高、体重</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腹部彩超（含前列腺）</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腹部彩超（含阴式彩超）</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腹部彩超（含子宫附件）</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8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颈部血管彩超</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甲功</w:t>
                  </w:r>
                  <w:r>
                    <w:rPr>
                      <w:rFonts w:ascii="仿宋_GB2312" w:hAnsi="仿宋_GB2312" w:cs="仿宋_GB2312" w:eastAsia="仿宋_GB2312"/>
                      <w:sz w:val="22"/>
                      <w:color w:val="000000"/>
                    </w:rPr>
                    <w:t>3项</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乳腺超声</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8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甲功</w:t>
                  </w:r>
                  <w:r>
                    <w:rPr>
                      <w:rFonts w:ascii="仿宋_GB2312" w:hAnsi="仿宋_GB2312" w:cs="仿宋_GB2312" w:eastAsia="仿宋_GB2312"/>
                      <w:sz w:val="22"/>
                      <w:color w:val="000000"/>
                    </w:rPr>
                    <w:t>3项</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乳腺超声</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胸部正位片</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十二导心电图</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十二导心电图</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十二导心电图</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r>
                    <w:rPr>
                      <w:rFonts w:ascii="仿宋_GB2312" w:hAnsi="仿宋_GB2312" w:cs="仿宋_GB2312" w:eastAsia="仿宋_GB2312"/>
                      <w:sz w:val="22"/>
                      <w:color w:val="000000"/>
                    </w:rPr>
                    <w:t>19项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r>
                    <w:rPr>
                      <w:rFonts w:ascii="仿宋_GB2312" w:hAnsi="仿宋_GB2312" w:cs="仿宋_GB2312" w:eastAsia="仿宋_GB2312"/>
                      <w:sz w:val="22"/>
                      <w:color w:val="000000"/>
                    </w:rPr>
                    <w:t>19项</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r>
                    <w:rPr>
                      <w:rFonts w:ascii="仿宋_GB2312" w:hAnsi="仿宋_GB2312" w:cs="仿宋_GB2312" w:eastAsia="仿宋_GB2312"/>
                      <w:sz w:val="22"/>
                      <w:color w:val="000000"/>
                    </w:rPr>
                    <w:t>19项</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血常规五分类</w:t>
                  </w:r>
                  <w:r>
                    <w:rPr>
                      <w:rFonts w:ascii="仿宋_GB2312" w:hAnsi="仿宋_GB2312" w:cs="仿宋_GB2312" w:eastAsia="仿宋_GB2312"/>
                      <w:sz w:val="22"/>
                      <w:color w:val="000000"/>
                    </w:rPr>
                    <w:t>18项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血常规五分类</w:t>
                  </w:r>
                  <w:r>
                    <w:rPr>
                      <w:rFonts w:ascii="仿宋_GB2312" w:hAnsi="仿宋_GB2312" w:cs="仿宋_GB2312" w:eastAsia="仿宋_GB2312"/>
                      <w:sz w:val="22"/>
                      <w:color w:val="000000"/>
                    </w:rPr>
                    <w:t>18项</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血常规五分类</w:t>
                  </w:r>
                  <w:r>
                    <w:rPr>
                      <w:rFonts w:ascii="仿宋_GB2312" w:hAnsi="仿宋_GB2312" w:cs="仿宋_GB2312" w:eastAsia="仿宋_GB2312"/>
                      <w:sz w:val="22"/>
                      <w:color w:val="000000"/>
                    </w:rPr>
                    <w:t>18项</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空腹血糖</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空腹血糖</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空腹血糖</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w:t>
                  </w:r>
                  <w:r>
                    <w:rPr>
                      <w:rFonts w:ascii="仿宋_GB2312" w:hAnsi="仿宋_GB2312" w:cs="仿宋_GB2312" w:eastAsia="仿宋_GB2312"/>
                      <w:sz w:val="22"/>
                      <w:color w:val="000000"/>
                    </w:rPr>
                    <w:t>10项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w:t>
                  </w:r>
                  <w:r>
                    <w:rPr>
                      <w:rFonts w:ascii="仿宋_GB2312" w:hAnsi="仿宋_GB2312" w:cs="仿宋_GB2312" w:eastAsia="仿宋_GB2312"/>
                      <w:sz w:val="22"/>
                      <w:color w:val="000000"/>
                    </w:rPr>
                    <w:t>10项</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w:t>
                  </w:r>
                  <w:r>
                    <w:rPr>
                      <w:rFonts w:ascii="仿宋_GB2312" w:hAnsi="仿宋_GB2312" w:cs="仿宋_GB2312" w:eastAsia="仿宋_GB2312"/>
                      <w:sz w:val="22"/>
                      <w:color w:val="000000"/>
                    </w:rPr>
                    <w:t>10项</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肾功能</w:t>
                  </w:r>
                  <w:r>
                    <w:rPr>
                      <w:rFonts w:ascii="仿宋_GB2312" w:hAnsi="仿宋_GB2312" w:cs="仿宋_GB2312" w:eastAsia="仿宋_GB2312"/>
                      <w:sz w:val="22"/>
                      <w:color w:val="000000"/>
                    </w:rPr>
                    <w:t>3项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肾功能</w:t>
                  </w:r>
                  <w:r>
                    <w:rPr>
                      <w:rFonts w:ascii="仿宋_GB2312" w:hAnsi="仿宋_GB2312" w:cs="仿宋_GB2312" w:eastAsia="仿宋_GB2312"/>
                      <w:sz w:val="22"/>
                      <w:color w:val="000000"/>
                    </w:rPr>
                    <w:t>3项</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肾功能</w:t>
                  </w:r>
                  <w:r>
                    <w:rPr>
                      <w:rFonts w:ascii="仿宋_GB2312" w:hAnsi="仿宋_GB2312" w:cs="仿宋_GB2312" w:eastAsia="仿宋_GB2312"/>
                      <w:sz w:val="22"/>
                      <w:color w:val="000000"/>
                    </w:rPr>
                    <w:t>3项</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w:t>
                  </w:r>
                  <w:r>
                    <w:rPr>
                      <w:rFonts w:ascii="仿宋_GB2312" w:hAnsi="仿宋_GB2312" w:cs="仿宋_GB2312" w:eastAsia="仿宋_GB2312"/>
                      <w:sz w:val="22"/>
                      <w:color w:val="000000"/>
                    </w:rPr>
                    <w:t>4项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w:t>
                  </w:r>
                  <w:r>
                    <w:rPr>
                      <w:rFonts w:ascii="仿宋_GB2312" w:hAnsi="仿宋_GB2312" w:cs="仿宋_GB2312" w:eastAsia="仿宋_GB2312"/>
                      <w:sz w:val="22"/>
                      <w:color w:val="000000"/>
                    </w:rPr>
                    <w:t>4项</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w:t>
                  </w:r>
                  <w:r>
                    <w:rPr>
                      <w:rFonts w:ascii="仿宋_GB2312" w:hAnsi="仿宋_GB2312" w:cs="仿宋_GB2312" w:eastAsia="仿宋_GB2312"/>
                      <w:sz w:val="22"/>
                      <w:color w:val="000000"/>
                    </w:rPr>
                    <w:t>4项</w:t>
                  </w:r>
                </w:p>
              </w:tc>
              <w:tc>
                <w:tcPr>
                  <w:tcW w:type="dxa" w:w="7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w:t>
                  </w:r>
                  <w:r>
                    <w:rPr>
                      <w:rFonts w:ascii="仿宋_GB2312" w:hAnsi="仿宋_GB2312" w:cs="仿宋_GB2312" w:eastAsia="仿宋_GB2312"/>
                      <w:sz w:val="22"/>
                      <w:color w:val="000000"/>
                    </w:rPr>
                    <w:t>13检测</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前列腺特异性抗原</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AFP</w:t>
                  </w:r>
                </w:p>
              </w:tc>
              <w:tc>
                <w:tcPr>
                  <w:tcW w:type="dxa" w:w="7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甲功</w:t>
                  </w:r>
                  <w:r>
                    <w:rPr>
                      <w:rFonts w:ascii="仿宋_GB2312" w:hAnsi="仿宋_GB2312" w:cs="仿宋_GB2312" w:eastAsia="仿宋_GB2312"/>
                      <w:sz w:val="22"/>
                      <w:color w:val="000000"/>
                    </w:rPr>
                    <w:t>3项</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w:t>
                  </w:r>
                  <w:r>
                    <w:rPr>
                      <w:rFonts w:ascii="仿宋_GB2312" w:hAnsi="仿宋_GB2312" w:cs="仿宋_GB2312" w:eastAsia="仿宋_GB2312"/>
                      <w:sz w:val="22"/>
                      <w:color w:val="000000"/>
                    </w:rPr>
                    <w:t>13检测</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w:t>
                  </w:r>
                  <w:r>
                    <w:rPr>
                      <w:rFonts w:ascii="仿宋_GB2312" w:hAnsi="仿宋_GB2312" w:cs="仿宋_GB2312" w:eastAsia="仿宋_GB2312"/>
                      <w:sz w:val="22"/>
                      <w:color w:val="000000"/>
                    </w:rPr>
                    <w:t>13检测</w:t>
                  </w:r>
                </w:p>
              </w:tc>
              <w:tc>
                <w:tcPr>
                  <w:tcW w:type="dxa" w:w="7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骨密度测定</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AFP</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CEA</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总检</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CEA</w:t>
                  </w:r>
                </w:p>
              </w:tc>
              <w:tc>
                <w:tcPr>
                  <w:tcW w:type="dxa" w:w="6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骨密度测定</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8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骨密度测定</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妇科内诊</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总检</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TCT（液基细胞检测，宫颈癌）</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总检</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rPr>
              <w:t>主要服务内容要求：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1）仪器设备包括但不限于以下内容：</w:t>
            </w:r>
          </w:p>
          <w:p>
            <w:pPr>
              <w:pStyle w:val="null3"/>
              <w:jc w:val="left"/>
            </w:pPr>
            <w:r>
              <w:rPr>
                <w:rFonts w:ascii="仿宋_GB2312" w:hAnsi="仿宋_GB2312" w:cs="仿宋_GB2312" w:eastAsia="仿宋_GB2312"/>
                <w:sz w:val="21"/>
              </w:rPr>
              <w:t>①肿瘤仪及配套试剂；</w:t>
            </w:r>
          </w:p>
          <w:p>
            <w:pPr>
              <w:pStyle w:val="null3"/>
              <w:jc w:val="left"/>
            </w:pPr>
            <w:r>
              <w:rPr>
                <w:rFonts w:ascii="仿宋_GB2312" w:hAnsi="仿宋_GB2312" w:cs="仿宋_GB2312" w:eastAsia="仿宋_GB2312"/>
                <w:sz w:val="21"/>
              </w:rPr>
              <w:t>②宫颈液基薄层细胞学检测试剂；</w:t>
            </w:r>
          </w:p>
          <w:p>
            <w:pPr>
              <w:pStyle w:val="null3"/>
              <w:jc w:val="left"/>
            </w:pPr>
            <w:r>
              <w:rPr>
                <w:rFonts w:ascii="仿宋_GB2312" w:hAnsi="仿宋_GB2312" w:cs="仿宋_GB2312" w:eastAsia="仿宋_GB2312"/>
                <w:sz w:val="21"/>
              </w:rPr>
              <w:t>③彩超仪器设备；</w:t>
            </w:r>
          </w:p>
          <w:p>
            <w:pPr>
              <w:pStyle w:val="null3"/>
              <w:jc w:val="left"/>
            </w:pPr>
            <w:r>
              <w:rPr>
                <w:rFonts w:ascii="仿宋_GB2312" w:hAnsi="仿宋_GB2312" w:cs="仿宋_GB2312" w:eastAsia="仿宋_GB2312"/>
                <w:sz w:val="21"/>
              </w:rPr>
              <w:t>④心电图仪器设备；</w:t>
            </w:r>
          </w:p>
          <w:p>
            <w:pPr>
              <w:pStyle w:val="null3"/>
              <w:jc w:val="left"/>
            </w:pPr>
            <w:r>
              <w:rPr>
                <w:rFonts w:ascii="仿宋_GB2312" w:hAnsi="仿宋_GB2312" w:cs="仿宋_GB2312" w:eastAsia="仿宋_GB2312"/>
                <w:sz w:val="21"/>
              </w:rPr>
              <w:t>⑤CT机设备；</w:t>
            </w:r>
          </w:p>
          <w:p>
            <w:pPr>
              <w:pStyle w:val="null3"/>
              <w:jc w:val="left"/>
            </w:pPr>
            <w:r>
              <w:rPr>
                <w:rFonts w:ascii="仿宋_GB2312" w:hAnsi="仿宋_GB2312" w:cs="仿宋_GB2312" w:eastAsia="仿宋_GB2312"/>
                <w:sz w:val="21"/>
              </w:rPr>
              <w:t>⑥血液检测设备；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2）医师团队</w:t>
            </w:r>
          </w:p>
          <w:p>
            <w:pPr>
              <w:pStyle w:val="null3"/>
              <w:jc w:val="left"/>
            </w:pPr>
            <w:r>
              <w:rPr>
                <w:rFonts w:ascii="仿宋_GB2312" w:hAnsi="仿宋_GB2312" w:cs="仿宋_GB2312" w:eastAsia="仿宋_GB2312"/>
                <w:sz w:val="21"/>
              </w:rPr>
              <w:t>①要求服务对象的医师团队内中级及以上职称人员占医师团队总人数80%。</w:t>
            </w:r>
          </w:p>
          <w:p>
            <w:pPr>
              <w:pStyle w:val="null3"/>
              <w:jc w:val="left"/>
            </w:pPr>
            <w:r>
              <w:rPr>
                <w:rFonts w:ascii="仿宋_GB2312" w:hAnsi="仿宋_GB2312" w:cs="仿宋_GB2312" w:eastAsia="仿宋_GB2312"/>
                <w:sz w:val="21"/>
              </w:rPr>
              <w:t>②各检查项目的科室应配备副主任及以上职称人员做为各检查项目科室的负责人员，并且在服务期内本人应在体检服务现场为我校教职工老师进行体检。</w:t>
            </w:r>
          </w:p>
          <w:p>
            <w:pPr>
              <w:pStyle w:val="null3"/>
              <w:jc w:val="left"/>
            </w:pPr>
            <w:r>
              <w:rPr>
                <w:rFonts w:ascii="仿宋_GB2312" w:hAnsi="仿宋_GB2312" w:cs="仿宋_GB2312" w:eastAsia="仿宋_GB2312"/>
                <w:sz w:val="21"/>
              </w:rPr>
              <w:t>③体检地点应设置在交通便利的地点。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商务要求：</w:t>
            </w:r>
          </w:p>
          <w:p>
            <w:pPr>
              <w:pStyle w:val="null3"/>
              <w:jc w:val="left"/>
            </w:pPr>
            <w:r>
              <w:rPr>
                <w:rFonts w:ascii="仿宋_GB2312" w:hAnsi="仿宋_GB2312" w:cs="仿宋_GB2312" w:eastAsia="仿宋_GB2312"/>
                <w:sz w:val="21"/>
              </w:rPr>
              <w:t>1.服务期限：65日历天内；</w:t>
            </w:r>
          </w:p>
          <w:p>
            <w:pPr>
              <w:pStyle w:val="null3"/>
              <w:jc w:val="both"/>
            </w:pPr>
            <w:r>
              <w:rPr>
                <w:rFonts w:ascii="仿宋_GB2312" w:hAnsi="仿宋_GB2312" w:cs="仿宋_GB2312" w:eastAsia="仿宋_GB2312"/>
                <w:sz w:val="21"/>
              </w:rPr>
              <w:t>2.报价要求：自主填报各单价及总价（总价仅作为评审依据），但不得超出本项目的采购预算及</w:t>
            </w:r>
            <w:r>
              <w:rPr>
                <w:rFonts w:ascii="仿宋_GB2312" w:hAnsi="仿宋_GB2312" w:cs="仿宋_GB2312" w:eastAsia="仿宋_GB2312"/>
                <w:sz w:val="21"/>
              </w:rPr>
              <w:t>以下单价</w:t>
            </w:r>
            <w:r>
              <w:rPr>
                <w:rFonts w:ascii="仿宋_GB2312" w:hAnsi="仿宋_GB2312" w:cs="仿宋_GB2312" w:eastAsia="仿宋_GB2312"/>
                <w:sz w:val="21"/>
              </w:rPr>
              <w:t>限价：</w:t>
            </w:r>
          </w:p>
          <w:p>
            <w:pPr>
              <w:pStyle w:val="null3"/>
              <w:jc w:val="left"/>
            </w:pPr>
            <w:r>
              <w:rPr>
                <w:rFonts w:ascii="仿宋_GB2312" w:hAnsi="仿宋_GB2312" w:cs="仿宋_GB2312" w:eastAsia="仿宋_GB2312"/>
                <w:sz w:val="21"/>
              </w:rPr>
              <w:t>①男士全部体检项目费用最高限价为人民币952元/人；</w:t>
            </w:r>
          </w:p>
          <w:p>
            <w:pPr>
              <w:pStyle w:val="null3"/>
              <w:jc w:val="left"/>
            </w:pPr>
            <w:r>
              <w:rPr>
                <w:rFonts w:ascii="仿宋_GB2312" w:hAnsi="仿宋_GB2312" w:cs="仿宋_GB2312" w:eastAsia="仿宋_GB2312"/>
                <w:sz w:val="21"/>
              </w:rPr>
              <w:t>②已婚女士全部体检项目费用最高限价为人民币1064元/人；</w:t>
            </w:r>
          </w:p>
          <w:p>
            <w:pPr>
              <w:pStyle w:val="null3"/>
              <w:jc w:val="left"/>
            </w:pPr>
            <w:r>
              <w:rPr>
                <w:rFonts w:ascii="仿宋_GB2312" w:hAnsi="仿宋_GB2312" w:cs="仿宋_GB2312" w:eastAsia="仿宋_GB2312"/>
                <w:sz w:val="21"/>
              </w:rPr>
              <w:t>③未婚女士全部体检项目费用最高限价为人民币689元/人。</w:t>
            </w:r>
          </w:p>
          <w:p>
            <w:pPr>
              <w:pStyle w:val="null3"/>
            </w:pPr>
            <w:r>
              <w:rPr>
                <w:rFonts w:ascii="仿宋_GB2312" w:hAnsi="仿宋_GB2312" w:cs="仿宋_GB2312" w:eastAsia="仿宋_GB2312"/>
                <w:sz w:val="21"/>
              </w:rPr>
              <w:t>如超限价，将按照废标处理。本项目为固定单价合同（固定单价合同按照实际体检人数量据实结算）。磋商最终报价应是完成磋商内容所需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要求的其他相关费用以本竞争性磋商文件的内容和要求作为磋商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65日历天内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进度款，①如乙方为非中小企业时： 甲方全部体检人员体检完毕之日起10个工作日内，乙方向甲方提供已完成的体检人数结算表及整体体检情况报告等相关资料，待甲方审核确认后60日内一次性向乙方办理费用的支付手续。 乙方须在甲方办理付款手续之前3个工作日内，提供等额的正式发票给甲方，以便甲方及时办理支付手续。 ②如乙方为中小企业时： 乙方为中小型企业（需提供中小型企业说明函），支付方式如下： 1）合同签订后30天内，甲方向乙方支付合同总价款40%作为预付款，乙方需提供相关收款依据。 2）甲方全部体检人员体检完毕之日起10个工作日，乙方向甲方提供已完成的体检人数结算表及整体体检情况报告等相关资料，待甲方审核确认后60日内向乙方支付合同总价款的60%。 乙方须在甲方办理付款手续之前3个工作日内，提供等额的正式发票给甲方，以便甲方及时办理支付手续。，达到付款条件起60个工作日内，支付合同总金额的100.0%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 政府采购项目电子化交易的通知”、《政府采购项目电子化交易规则》等文件的要求，做好人员配备 、设施设备、系统操作的相应准备，熟悉并正确实施相关操作流程，承担由于操作或其他因素造成的不利后果；2.中标供应商在领取中标通知书后3个工作日内向采购代理机构提供纸质版投标（或响应）文件正本1份、副本1份。纸质投标文件建议A4纸双面打印，装订成册并编制目录和页码，并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年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 以上二种形式的资料提供任何一种即可。 6）参加政府采购活动前3年内在经营活动中没有重大违法记录的书面声明。 7）法定代表人身份证明文件及法人代表授权书。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供应商具有卫生行政部门核准登记取得的《医疗机构执业许可证》和《放射诊疗许可证》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通过符合性审查供应商的报价，有可能影响服务质量或者不能诚信履约的，将要求其在评标现场合理的时间内提供书面说明，必要时提交相关证明材料；供应商不能证明其报价合理性的，磋商小组应当将其作为无效投标处理。 1.1政府采购评审中出现下列情形之一的，磋商小组应当启动异常低价投标(响应)审查程序：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投标(响应)报价低于采购项目最高限价45%的，即投标(响应)报价&lt;采购项目最高限价×45%; 1.1.4 磋商小组基于专业判断，认为供应商报价过低，有可能影响产品质量或者不能诚信 履约的其他情形。 1.2 磋商小组启动异常低价投标(响应)审查后，属于前述第1项至第4项情形的，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 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合格、有效，磋商报价是否未超过采购预算或最高限价，磋商报价有效期是否符合磋商文件的要求，是否完全满足磋商文件所要求的合同及商务条款。</w:t>
            </w:r>
          </w:p>
        </w:tc>
        <w:tc>
          <w:tcPr>
            <w:tcW w:type="dxa" w:w="1661"/>
          </w:tcPr>
          <w:p>
            <w:pPr>
              <w:pStyle w:val="null3"/>
            </w:pPr>
            <w:r>
              <w:rPr>
                <w:rFonts w:ascii="仿宋_GB2312" w:hAnsi="仿宋_GB2312" w:cs="仿宋_GB2312" w:eastAsia="仿宋_GB2312"/>
              </w:rPr>
              <w:t>响应文件封面 服务内容及服务邀请应答表.docx 磋商报价表.docx 商务应答表.docx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评审内容：针对本项目提供整体服务方案进行评审，包括但不限于①体检流程服务；②现场指引安排；③场次安排。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2、赋分标准：每一项评审内容满足每一项评审标准的得2分，最多得6分。每一项内容相对每一项评审标准存在一处漏洞或缺陷扣0.5-1分，扣完为止。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体检设备</w:t>
            </w:r>
          </w:p>
        </w:tc>
        <w:tc>
          <w:tcPr>
            <w:tcW w:type="dxa" w:w="2492"/>
          </w:tcPr>
          <w:p>
            <w:pPr>
              <w:pStyle w:val="null3"/>
            </w:pPr>
            <w:r>
              <w:rPr>
                <w:rFonts w:ascii="仿宋_GB2312" w:hAnsi="仿宋_GB2312" w:cs="仿宋_GB2312" w:eastAsia="仿宋_GB2312"/>
              </w:rPr>
              <w:t>供应商提供针对本项目拟投入的体检设备，包含但不限于：①检测仪器；②试剂耗材。（包含肿瘤仪及配套试剂、宫颈液基薄层细胞学检测试剂、彩超仪器设备、心电图仪器设备、CT机设备、血液检测设备等能满足本次采购体检服务要求的，需提供佐证材料或照片。）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2、赋分标准：每一项评审内容满足每一项评审标准的得2分，最多得6分。每一项内容相对每一项评审标准存在一处漏洞或缺陷扣0.5-1分，扣完为止。 说明：内容存在漏洞或缺陷是指出现下列任一种情形： 1）清单不完整或缺少关键内容描述； 2）欠缺科学性、合理性或可靠度不高； 3）技术成熟度低或技术不够先进；设备仪器陈旧落后； 4）其他不完善或不满足要求的情形。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评审内容：供应商有体检服务点，包括但不限于①具备独立的体检场所、具体地址、交通便利情况、面积、环境；②体检中心设有独立的妇科检查区域，人性化的女性专属通道，查体男女分区等。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2、赋分标准：每一项评审内容满足每一项评审标准的得2分，最多得6分。每一项内容相对每一项评审标准存在一处漏洞或缺陷扣0.5-1分，扣完为止。 说明：内容存在漏洞或缺陷是指出现下列任一种情形： 1）清单不完整或缺少关键内容描述； 2）欠缺科学性、合理性或可靠度不高； 3）技术成熟度低或技术不够先进；设备仪器陈旧落后； 4）其他不完善或不满足要求的情形。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评审内容：针对本项目人员体检报告的保密措施，包括但不限于①参检人员所有信息数据保密方案；②体检结果保密措施。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2、赋分标准：每一项评审内容满足每一项评审标准的得1分，最多得3分。每一项内容相对每一项评审标准存在一处漏洞或缺陷扣0.5-1分，扣完为止。 说明：内容存在漏洞或缺陷是指出现下列任一种情形： 1）清单不完整或缺少关键内容描述； 2）欠缺科学性、合理性或可靠度不高； 3）技术成熟度低或技术不够先进；设备仪器陈旧落后； 4）其他不完善或不满足要求的情形。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绿色服务</w:t>
            </w:r>
          </w:p>
        </w:tc>
        <w:tc>
          <w:tcPr>
            <w:tcW w:type="dxa" w:w="2492"/>
          </w:tcPr>
          <w:p>
            <w:pPr>
              <w:pStyle w:val="null3"/>
            </w:pPr>
            <w:r>
              <w:rPr>
                <w:rFonts w:ascii="仿宋_GB2312" w:hAnsi="仿宋_GB2312" w:cs="仿宋_GB2312" w:eastAsia="仿宋_GB2312"/>
              </w:rPr>
              <w:t>评审内容：供应商提供绿色服务，包括但不限于①后续的绿色就医通道及讲座，必要时可提供导医导诊等需求；②对体检结果有异常者跟踪随访、体检后期对体检人员的定期回访等。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2、赋分标准：每一项评审内容满足每一项评审标准的得1.5分，最多得4.5分。每一项内容相对每一项评审标准存在一处漏洞或缺陷扣0.5-1分，扣完为止。 说明：内容存在漏洞或缺陷是指出现下列任一种情形： 1）清单不完整或缺少关键内容描述； 2）欠缺科学性、合理性或可靠度不高； 3）技术成熟度低或技术不够先进；设备仪器陈旧落后； 4）其他不完善或不满足要求的情形。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早餐服务</w:t>
            </w:r>
          </w:p>
        </w:tc>
        <w:tc>
          <w:tcPr>
            <w:tcW w:type="dxa" w:w="2492"/>
          </w:tcPr>
          <w:p>
            <w:pPr>
              <w:pStyle w:val="null3"/>
            </w:pPr>
            <w:r>
              <w:rPr>
                <w:rFonts w:ascii="仿宋_GB2312" w:hAnsi="仿宋_GB2312" w:cs="仿宋_GB2312" w:eastAsia="仿宋_GB2312"/>
              </w:rPr>
              <w:t>供应商提供体检后早餐服务承诺的计1分，不提供的计0分。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供应商须提供针对本项目的应急预案包括但不限于①应急处理措施；②解决方案（包括体检者因血糖、血压引起的身体不适或其他的应对处理、供应商仪器故障或因其他人力不可抗拒因素，导致未能按时出具检测报告的补救措施等）。 1、评审标准： ①全面性:内容完整、全面，包括所有评审内容，无遗漏； ②详细性:内容详细,针对每一评审内容能够有明确具体的描述和说明； ③合理性:内容合理,准确，符合项目实际情况，有利于项目的实施。 2、赋分标准：每一项评审内容满足每一项评审标准的得2分，最多得6分。每一项内容相对每一项评审标准存在一处漏洞或缺陷扣0.5-1分，扣完为止。 说明：内容存在漏洞或缺陷是指出现下列任一种情形： 1）清单不完整或缺少关键内容描述； 2）欠缺科学性、合理性或可靠度不高； 3）技术成熟度低或技术不够先进；设备仪器陈旧落后； 4）其他不完善或不满足要求的情形。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拟投入本项目的体检服务团队，人员配备齐全，责任划分清晰，成员中：具有正高级职称，每人得2分，最高得4分;具有副高级职称，每人得1分，最高得2分; 具有中级职称，每人得0.5分，最高得4分。 注：提供人员清单、职称证书复印件，未提供证明材料不得分。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技术响应资料.docx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供应商应提供2023年1月1日至投标截止日的类似项目业绩。以合同复印件加盖公章为计分依据，提供1份合同得2分，满分10分。 注：时间以合同签订时间为准。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响应总报价得分＝（评审基准价/响应报价）×价格分值（注：满足磋商文件要求且投标价格最低的投标报价为评标基准价。）最低报价不是中标的唯一依据。报价超过采购预算按无效响应处理。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详见附件：技术响应资料.docx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