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840218">
      <w:pPr>
        <w:pStyle w:val="2"/>
        <w:rPr>
          <w:rFonts w:hint="eastAsia" w:ascii="宋体" w:hAnsi="宋体" w:eastAsia="宋体" w:cs="宋体"/>
          <w:i w:val="0"/>
          <w:iCs w:val="0"/>
        </w:rPr>
      </w:pPr>
      <w:r>
        <w:rPr>
          <w:rFonts w:hint="eastAsia" w:ascii="宋体" w:hAnsi="宋体" w:eastAsia="宋体" w:cs="宋体"/>
          <w:i w:val="0"/>
          <w:iCs w:val="0"/>
        </w:rPr>
        <w:t>拟签订采购合同文本</w:t>
      </w:r>
    </w:p>
    <w:p w14:paraId="2593F6C5">
      <w:pPr>
        <w:pStyle w:val="3"/>
        <w:spacing w:before="8"/>
        <w:ind w:left="0"/>
        <w:rPr>
          <w:rFonts w:hint="eastAsia" w:ascii="宋体" w:hAnsi="宋体" w:eastAsia="宋体" w:cs="宋体"/>
          <w:b/>
          <w:i w:val="0"/>
          <w:iCs w:val="0"/>
          <w:sz w:val="33"/>
        </w:rPr>
      </w:pPr>
    </w:p>
    <w:p w14:paraId="7371235B">
      <w:pPr>
        <w:shd w:val="clear"/>
        <w:jc w:val="center"/>
        <w:rPr>
          <w:rFonts w:ascii="Calibri" w:hAnsi="Calibri"/>
          <w:b/>
          <w:bCs/>
          <w:sz w:val="72"/>
          <w:szCs w:val="24"/>
        </w:rPr>
      </w:pPr>
    </w:p>
    <w:p w14:paraId="5BD6BC50">
      <w:pPr>
        <w:pStyle w:val="3"/>
        <w:shd w:val="clear"/>
      </w:pPr>
    </w:p>
    <w:p w14:paraId="3DA5079A">
      <w:pPr>
        <w:pageBreakBefore w:val="0"/>
        <w:shd w:val="clear"/>
        <w:kinsoku/>
        <w:overflowPunct/>
        <w:topLinePunct w:val="0"/>
        <w:bidi w:val="0"/>
        <w:spacing w:beforeAutospacing="0" w:afterAutospacing="0" w:line="360" w:lineRule="auto"/>
        <w:jc w:val="center"/>
        <w:textAlignment w:val="auto"/>
        <w:rPr>
          <w:rFonts w:hint="eastAsia" w:ascii="宋体" w:hAnsi="宋体" w:cs="宋体"/>
          <w:b/>
          <w:bCs/>
          <w:color w:val="auto"/>
          <w:spacing w:val="26"/>
          <w:sz w:val="36"/>
          <w:szCs w:val="36"/>
          <w:highlight w:val="none"/>
          <w14:shadow w14:blurRad="50800" w14:dist="38100" w14:dir="2700000" w14:sx="100000" w14:sy="100000" w14:kx="0" w14:ky="0" w14:algn="tl">
            <w14:srgbClr w14:val="000000">
              <w14:alpha w14:val="60000"/>
            </w14:srgbClr>
          </w14:shadow>
        </w:rPr>
      </w:pPr>
      <w:r>
        <w:rPr>
          <w:rFonts w:hint="eastAsia" w:ascii="宋体" w:hAnsi="宋体"/>
          <w:b/>
          <w:bCs/>
          <w:color w:val="auto"/>
          <w:sz w:val="44"/>
          <w:szCs w:val="44"/>
          <w:highlight w:val="none"/>
          <w:u w:val="single"/>
        </w:rPr>
        <w:t xml:space="preserve">                  </w:t>
      </w:r>
      <w:r>
        <w:rPr>
          <w:rFonts w:hint="eastAsia" w:ascii="宋体" w:hAnsi="宋体"/>
          <w:b/>
          <w:bCs/>
          <w:color w:val="auto"/>
          <w:sz w:val="44"/>
          <w:szCs w:val="44"/>
          <w:highlight w:val="none"/>
        </w:rPr>
        <w:t>采购项目</w:t>
      </w:r>
    </w:p>
    <w:p w14:paraId="55402504">
      <w:pPr>
        <w:pageBreakBefore w:val="0"/>
        <w:shd w:val="clear"/>
        <w:kinsoku/>
        <w:overflowPunct/>
        <w:topLinePunct w:val="0"/>
        <w:bidi w:val="0"/>
        <w:spacing w:beforeAutospacing="0" w:afterAutospacing="0" w:line="360" w:lineRule="auto"/>
        <w:jc w:val="both"/>
        <w:textAlignment w:val="auto"/>
        <w:rPr>
          <w:rFonts w:hint="eastAsia" w:ascii="宋体" w:hAnsi="宋体" w:cs="宋体"/>
          <w:b/>
          <w:bCs/>
          <w:color w:val="auto"/>
          <w:spacing w:val="26"/>
          <w:sz w:val="84"/>
          <w:szCs w:val="84"/>
          <w:highlight w:val="none"/>
          <w14:shadow w14:blurRad="50800" w14:dist="38100" w14:dir="2700000" w14:sx="100000" w14:sy="100000" w14:kx="0" w14:ky="0" w14:algn="tl">
            <w14:srgbClr w14:val="000000">
              <w14:alpha w14:val="60000"/>
            </w14:srgbClr>
          </w14:shadow>
        </w:rPr>
      </w:pPr>
    </w:p>
    <w:p w14:paraId="4E4BA2EB">
      <w:pPr>
        <w:pStyle w:val="3"/>
        <w:pageBreakBefore w:val="0"/>
        <w:shd w:val="clear"/>
        <w:kinsoku/>
        <w:overflowPunct/>
        <w:topLinePunct w:val="0"/>
        <w:bidi w:val="0"/>
        <w:spacing w:beforeAutospacing="0" w:after="0" w:afterAutospacing="0"/>
        <w:textAlignment w:val="auto"/>
        <w:rPr>
          <w:rFonts w:hint="eastAsia"/>
          <w:color w:val="auto"/>
          <w:highlight w:val="none"/>
        </w:rPr>
      </w:pPr>
    </w:p>
    <w:p w14:paraId="1BC5E210">
      <w:pPr>
        <w:pageBreakBefore w:val="0"/>
        <w:shd w:val="clear"/>
        <w:kinsoku/>
        <w:overflowPunct/>
        <w:topLinePunct w:val="0"/>
        <w:bidi w:val="0"/>
        <w:spacing w:beforeAutospacing="0" w:afterAutospacing="0" w:line="360" w:lineRule="auto"/>
        <w:jc w:val="center"/>
        <w:textAlignment w:val="auto"/>
        <w:rPr>
          <w:rFonts w:hint="eastAsia" w:ascii="宋体" w:hAnsi="宋体"/>
          <w:b/>
          <w:bCs/>
          <w:color w:val="auto"/>
          <w:sz w:val="84"/>
          <w:szCs w:val="84"/>
          <w:highlight w:val="none"/>
        </w:rPr>
      </w:pPr>
      <w:r>
        <w:rPr>
          <w:rFonts w:hint="eastAsia" w:ascii="宋体" w:hAnsi="宋体"/>
          <w:b/>
          <w:bCs/>
          <w:color w:val="auto"/>
          <w:sz w:val="84"/>
          <w:szCs w:val="84"/>
          <w:highlight w:val="none"/>
        </w:rPr>
        <w:t>采购合同</w:t>
      </w:r>
    </w:p>
    <w:p w14:paraId="6A46ED9B">
      <w:pPr>
        <w:pageBreakBefore w:val="0"/>
        <w:shd w:val="clear"/>
        <w:kinsoku/>
        <w:overflowPunct/>
        <w:topLinePunct w:val="0"/>
        <w:bidi w:val="0"/>
        <w:spacing w:beforeAutospacing="0" w:afterAutospacing="0" w:line="360" w:lineRule="auto"/>
        <w:jc w:val="center"/>
        <w:textAlignment w:val="auto"/>
        <w:rPr>
          <w:rFonts w:hint="eastAsia" w:ascii="宋体" w:hAnsi="宋体"/>
          <w:b/>
          <w:bCs/>
          <w:color w:val="auto"/>
          <w:sz w:val="32"/>
          <w:szCs w:val="32"/>
          <w:highlight w:val="none"/>
        </w:rPr>
      </w:pPr>
      <w:r>
        <w:rPr>
          <w:rFonts w:hint="eastAsia" w:ascii="宋体" w:hAnsi="宋体"/>
          <w:b/>
          <w:bCs/>
          <w:color w:val="auto"/>
          <w:sz w:val="32"/>
          <w:szCs w:val="32"/>
          <w:highlight w:val="none"/>
        </w:rPr>
        <w:t>项目编号：【           】</w:t>
      </w:r>
    </w:p>
    <w:p w14:paraId="42C19675">
      <w:pPr>
        <w:pageBreakBefore w:val="0"/>
        <w:shd w:val="clear"/>
        <w:kinsoku/>
        <w:overflowPunct/>
        <w:topLinePunct w:val="0"/>
        <w:bidi w:val="0"/>
        <w:spacing w:beforeAutospacing="0" w:afterAutospacing="0" w:line="360" w:lineRule="auto"/>
        <w:jc w:val="center"/>
        <w:textAlignment w:val="auto"/>
        <w:rPr>
          <w:rFonts w:hint="eastAsia" w:ascii="宋体" w:hAnsi="宋体" w:cs="宋体"/>
          <w:b/>
          <w:bCs/>
          <w:color w:val="auto"/>
          <w:spacing w:val="26"/>
          <w:sz w:val="36"/>
          <w:szCs w:val="36"/>
          <w:highlight w:val="none"/>
          <w14:shadow w14:blurRad="50800" w14:dist="38100" w14:dir="2700000" w14:sx="100000" w14:sy="100000" w14:kx="0" w14:ky="0" w14:algn="tl">
            <w14:srgbClr w14:val="000000">
              <w14:alpha w14:val="60000"/>
            </w14:srgbClr>
          </w14:shadow>
        </w:rPr>
      </w:pPr>
    </w:p>
    <w:p w14:paraId="45DE9EC0">
      <w:pPr>
        <w:pageBreakBefore w:val="0"/>
        <w:shd w:val="clear"/>
        <w:kinsoku/>
        <w:overflowPunct/>
        <w:topLinePunct w:val="0"/>
        <w:bidi w:val="0"/>
        <w:spacing w:beforeAutospacing="0" w:afterAutospacing="0" w:line="360" w:lineRule="auto"/>
        <w:jc w:val="center"/>
        <w:textAlignment w:val="auto"/>
        <w:rPr>
          <w:rFonts w:ascii="宋体" w:hAnsi="宋体"/>
          <w:b/>
          <w:color w:val="auto"/>
          <w:sz w:val="32"/>
          <w:szCs w:val="32"/>
          <w:highlight w:val="none"/>
        </w:rPr>
      </w:pPr>
    </w:p>
    <w:p w14:paraId="7762D092">
      <w:pPr>
        <w:pageBreakBefore w:val="0"/>
        <w:shd w:val="clear"/>
        <w:kinsoku/>
        <w:overflowPunct/>
        <w:topLinePunct w:val="0"/>
        <w:bidi w:val="0"/>
        <w:spacing w:beforeAutospacing="0" w:afterAutospacing="0" w:line="360" w:lineRule="auto"/>
        <w:jc w:val="center"/>
        <w:textAlignment w:val="auto"/>
        <w:rPr>
          <w:rFonts w:ascii="宋体" w:hAnsi="宋体"/>
          <w:b/>
          <w:color w:val="auto"/>
          <w:sz w:val="32"/>
          <w:szCs w:val="32"/>
          <w:highlight w:val="none"/>
        </w:rPr>
      </w:pPr>
    </w:p>
    <w:p w14:paraId="0C786850">
      <w:pPr>
        <w:pageBreakBefore w:val="0"/>
        <w:shd w:val="clear"/>
        <w:kinsoku/>
        <w:overflowPunct/>
        <w:topLinePunct w:val="0"/>
        <w:bidi w:val="0"/>
        <w:spacing w:beforeAutospacing="0" w:afterAutospacing="0" w:line="360" w:lineRule="auto"/>
        <w:jc w:val="left"/>
        <w:textAlignment w:val="auto"/>
        <w:rPr>
          <w:rFonts w:ascii="宋体" w:hAnsi="宋体"/>
          <w:b/>
          <w:color w:val="auto"/>
          <w:sz w:val="32"/>
          <w:szCs w:val="32"/>
          <w:highlight w:val="none"/>
        </w:rPr>
      </w:pPr>
    </w:p>
    <w:p w14:paraId="5D6F248F">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left="2200" w:leftChars="1000"/>
        <w:jc w:val="left"/>
        <w:textAlignment w:val="auto"/>
        <w:rPr>
          <w:rFonts w:hint="eastAsia" w:ascii="宋体" w:hAnsi="宋体" w:eastAsia="宋体"/>
          <w:b/>
          <w:bCs/>
          <w:color w:val="auto"/>
          <w:sz w:val="32"/>
          <w:szCs w:val="32"/>
          <w:highlight w:val="none"/>
          <w:u w:val="single"/>
          <w:lang w:val="en-US" w:eastAsia="zh-CN"/>
        </w:rPr>
      </w:pPr>
      <w:r>
        <w:rPr>
          <w:rFonts w:hint="eastAsia" w:ascii="宋体" w:hAnsi="宋体"/>
          <w:b/>
          <w:bCs/>
          <w:color w:val="auto"/>
          <w:sz w:val="32"/>
          <w:szCs w:val="32"/>
          <w:highlight w:val="none"/>
        </w:rPr>
        <w:t>采购人：</w:t>
      </w:r>
      <w:r>
        <w:rPr>
          <w:rFonts w:hint="eastAsia" w:ascii="宋体" w:hAnsi="宋体"/>
          <w:b/>
          <w:bCs/>
          <w:color w:val="auto"/>
          <w:sz w:val="32"/>
          <w:szCs w:val="32"/>
          <w:highlight w:val="none"/>
          <w:lang w:val="en-US" w:eastAsia="zh-CN"/>
        </w:rPr>
        <w:t xml:space="preserve"> </w:t>
      </w:r>
    </w:p>
    <w:p w14:paraId="1F4DE22D">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left="2200" w:leftChars="1000"/>
        <w:jc w:val="left"/>
        <w:textAlignment w:val="auto"/>
        <w:rPr>
          <w:rFonts w:hint="eastAsia" w:ascii="宋体" w:hAnsi="宋体"/>
          <w:b/>
          <w:bCs/>
          <w:color w:val="auto"/>
          <w:sz w:val="32"/>
          <w:szCs w:val="32"/>
          <w:highlight w:val="none"/>
        </w:rPr>
      </w:pPr>
      <w:r>
        <w:rPr>
          <w:rFonts w:hint="eastAsia" w:ascii="宋体" w:hAnsi="宋体"/>
          <w:b/>
          <w:bCs/>
          <w:color w:val="auto"/>
          <w:sz w:val="32"/>
          <w:szCs w:val="32"/>
          <w:highlight w:val="none"/>
        </w:rPr>
        <w:t>供货方：</w:t>
      </w:r>
    </w:p>
    <w:p w14:paraId="68F0696A">
      <w:pPr>
        <w:pageBreakBefore w:val="0"/>
        <w:shd w:val="clear"/>
        <w:kinsoku/>
        <w:overflowPunct/>
        <w:topLinePunct w:val="0"/>
        <w:bidi w:val="0"/>
        <w:spacing w:beforeAutospacing="0" w:afterAutospacing="0" w:line="360" w:lineRule="auto"/>
        <w:ind w:left="2640" w:leftChars="1200"/>
        <w:jc w:val="left"/>
        <w:textAlignment w:val="auto"/>
        <w:rPr>
          <w:rFonts w:hint="eastAsia" w:ascii="宋体" w:hAnsi="宋体" w:cs="宋体"/>
          <w:b/>
          <w:bCs/>
          <w:color w:val="auto"/>
          <w:spacing w:val="26"/>
          <w:sz w:val="36"/>
          <w:szCs w:val="36"/>
          <w:highlight w:val="none"/>
          <w14:shadow w14:blurRad="50800" w14:dist="38100" w14:dir="2700000" w14:sx="100000" w14:sy="100000" w14:kx="0" w14:ky="0" w14:algn="tl">
            <w14:srgbClr w14:val="000000">
              <w14:alpha w14:val="60000"/>
            </w14:srgbClr>
          </w14:shadow>
        </w:rPr>
      </w:pPr>
    </w:p>
    <w:p w14:paraId="5F7D508D">
      <w:pPr>
        <w:pageBreakBefore w:val="0"/>
        <w:shd w:val="clear"/>
        <w:kinsoku/>
        <w:overflowPunct/>
        <w:topLinePunct w:val="0"/>
        <w:bidi w:val="0"/>
        <w:spacing w:beforeAutospacing="0" w:afterAutospacing="0" w:line="360" w:lineRule="auto"/>
        <w:ind w:left="2640" w:leftChars="1200"/>
        <w:jc w:val="left"/>
        <w:textAlignment w:val="auto"/>
        <w:rPr>
          <w:rFonts w:hint="eastAsia" w:ascii="宋体" w:hAnsi="宋体"/>
          <w:b/>
          <w:bCs/>
          <w:color w:val="auto"/>
          <w:sz w:val="32"/>
          <w:szCs w:val="32"/>
          <w:highlight w:val="none"/>
        </w:rPr>
      </w:pPr>
      <w:r>
        <w:rPr>
          <w:rFonts w:hint="eastAsia"/>
          <w:b/>
          <w:bCs/>
          <w:color w:val="auto"/>
          <w:sz w:val="32"/>
          <w:szCs w:val="32"/>
          <w:highlight w:val="none"/>
          <w:lang w:eastAsia="zh-CN"/>
        </w:rPr>
        <w:t>二〇二</w:t>
      </w:r>
      <w:r>
        <w:rPr>
          <w:rFonts w:hint="eastAsia"/>
          <w:b/>
          <w:bCs/>
          <w:color w:val="auto"/>
          <w:sz w:val="32"/>
          <w:szCs w:val="32"/>
          <w:highlight w:val="none"/>
          <w:lang w:val="en-US" w:eastAsia="zh-CN"/>
        </w:rPr>
        <w:t>六</w:t>
      </w:r>
      <w:r>
        <w:rPr>
          <w:rFonts w:hint="eastAsia" w:ascii="宋体" w:hAnsi="宋体"/>
          <w:b/>
          <w:bCs/>
          <w:color w:val="auto"/>
          <w:sz w:val="32"/>
          <w:szCs w:val="32"/>
          <w:highlight w:val="none"/>
        </w:rPr>
        <w:t>年</w:t>
      </w:r>
      <w:r>
        <w:rPr>
          <w:rFonts w:hint="eastAsia" w:ascii="宋体" w:hAnsi="宋体"/>
          <w:b/>
          <w:bCs/>
          <w:color w:val="auto"/>
          <w:sz w:val="32"/>
          <w:szCs w:val="32"/>
          <w:highlight w:val="none"/>
          <w:u w:val="single"/>
        </w:rPr>
        <w:t xml:space="preserve">    </w:t>
      </w:r>
      <w:r>
        <w:rPr>
          <w:rFonts w:hint="eastAsia" w:ascii="宋体" w:hAnsi="宋体"/>
          <w:b/>
          <w:bCs/>
          <w:color w:val="auto"/>
          <w:sz w:val="32"/>
          <w:szCs w:val="32"/>
          <w:highlight w:val="none"/>
        </w:rPr>
        <w:t>月</w:t>
      </w:r>
      <w:r>
        <w:rPr>
          <w:rFonts w:hint="eastAsia" w:ascii="宋体" w:hAnsi="宋体"/>
          <w:b/>
          <w:bCs/>
          <w:color w:val="auto"/>
          <w:sz w:val="32"/>
          <w:szCs w:val="32"/>
          <w:highlight w:val="none"/>
          <w:u w:val="single"/>
        </w:rPr>
        <w:t xml:space="preserve">    </w:t>
      </w:r>
      <w:r>
        <w:rPr>
          <w:rFonts w:hint="eastAsia" w:ascii="宋体" w:hAnsi="宋体"/>
          <w:b/>
          <w:bCs/>
          <w:color w:val="auto"/>
          <w:sz w:val="32"/>
          <w:szCs w:val="32"/>
          <w:highlight w:val="none"/>
        </w:rPr>
        <w:t>日</w:t>
      </w:r>
    </w:p>
    <w:p w14:paraId="41465072">
      <w:pPr>
        <w:pageBreakBefore w:val="0"/>
        <w:shd w:val="clear"/>
        <w:kinsoku/>
        <w:overflowPunct/>
        <w:topLinePunct w:val="0"/>
        <w:bidi w:val="0"/>
        <w:spacing w:beforeAutospacing="0" w:afterAutospacing="0" w:line="360" w:lineRule="auto"/>
        <w:ind w:firstLine="843" w:firstLineChars="350"/>
        <w:textAlignment w:val="auto"/>
        <w:rPr>
          <w:rFonts w:hint="eastAsia" w:ascii="宋体" w:hAnsi="宋体" w:cs="宋体"/>
          <w:b/>
          <w:bCs/>
          <w:color w:val="auto"/>
          <w:sz w:val="24"/>
          <w:szCs w:val="24"/>
          <w:highlight w:val="none"/>
        </w:rPr>
      </w:pPr>
    </w:p>
    <w:p w14:paraId="4DB86116">
      <w:pPr>
        <w:shd w:val="clear"/>
        <w:spacing w:line="320" w:lineRule="exact"/>
        <w:rPr>
          <w:rFonts w:hint="eastAsia" w:ascii="宋体" w:hAnsi="宋体"/>
          <w:b/>
          <w:color w:val="auto"/>
          <w:highlight w:val="none"/>
        </w:rPr>
      </w:pPr>
    </w:p>
    <w:p w14:paraId="64586524">
      <w:pPr>
        <w:shd w:val="clear"/>
        <w:spacing w:line="320" w:lineRule="exact"/>
        <w:rPr>
          <w:rFonts w:hint="eastAsia" w:ascii="宋体" w:hAnsi="宋体"/>
          <w:b/>
          <w:color w:val="auto"/>
          <w:highlight w:val="none"/>
        </w:rPr>
      </w:pPr>
    </w:p>
    <w:p w14:paraId="1BF6335B">
      <w:pPr>
        <w:shd w:val="clear"/>
        <w:spacing w:line="320" w:lineRule="exact"/>
        <w:rPr>
          <w:rFonts w:hint="eastAsia" w:ascii="宋体" w:hAnsi="宋体"/>
          <w:b/>
          <w:color w:val="auto"/>
          <w:highlight w:val="none"/>
        </w:rPr>
      </w:pPr>
    </w:p>
    <w:p w14:paraId="5D1859ED">
      <w:pPr>
        <w:shd w:val="clear"/>
        <w:spacing w:line="320" w:lineRule="exact"/>
        <w:jc w:val="left"/>
        <w:rPr>
          <w:rFonts w:hint="eastAsia" w:ascii="宋体" w:hAnsi="宋体" w:cs="宋体"/>
          <w:b/>
          <w:color w:val="auto"/>
          <w:sz w:val="24"/>
          <w:szCs w:val="24"/>
          <w:highlight w:val="none"/>
        </w:rPr>
      </w:pPr>
      <w:r>
        <w:rPr>
          <w:rFonts w:hint="eastAsia" w:ascii="宋体" w:hAnsi="宋体"/>
          <w:b/>
          <w:color w:val="auto"/>
          <w:highlight w:val="none"/>
        </w:rPr>
        <w:t>注：本合同条款仅供参考，甲乙双方可根据实际情况进行补充。</w:t>
      </w:r>
    </w:p>
    <w:p w14:paraId="7C8504A8">
      <w:pPr>
        <w:shd w:val="clear"/>
        <w:spacing w:line="320" w:lineRule="exact"/>
        <w:rPr>
          <w:rFonts w:hint="eastAsia" w:ascii="宋体" w:hAnsi="宋体" w:cs="宋体"/>
          <w:b/>
          <w:bCs/>
          <w:color w:val="auto"/>
          <w:sz w:val="24"/>
          <w:szCs w:val="24"/>
          <w:highlight w:val="none"/>
        </w:rPr>
      </w:pPr>
      <w:r>
        <w:rPr>
          <w:rFonts w:hint="eastAsia" w:ascii="宋体" w:hAnsi="宋体" w:cs="宋体"/>
          <w:b/>
          <w:color w:val="auto"/>
          <w:sz w:val="24"/>
          <w:szCs w:val="24"/>
          <w:highlight w:val="none"/>
        </w:rPr>
        <w:t xml:space="preserve">  </w:t>
      </w:r>
      <w:r>
        <w:rPr>
          <w:rFonts w:hint="eastAsia" w:ascii="宋体" w:hAnsi="宋体" w:cs="宋体"/>
          <w:b/>
          <w:bCs/>
          <w:color w:val="auto"/>
          <w:sz w:val="24"/>
          <w:szCs w:val="24"/>
          <w:highlight w:val="none"/>
        </w:rPr>
        <w:t xml:space="preserve">        </w:t>
      </w:r>
    </w:p>
    <w:p w14:paraId="1FFB3B55">
      <w:pPr>
        <w:shd w:val="clear"/>
        <w:spacing w:line="360" w:lineRule="auto"/>
        <w:jc w:val="center"/>
        <w:rPr>
          <w:rFonts w:hint="eastAsia"/>
          <w:b/>
          <w:color w:val="auto"/>
          <w:sz w:val="44"/>
          <w:szCs w:val="44"/>
          <w:highlight w:val="none"/>
        </w:rPr>
      </w:pPr>
      <w:r>
        <w:rPr>
          <w:rFonts w:hint="eastAsia"/>
          <w:b/>
          <w:color w:val="auto"/>
          <w:sz w:val="44"/>
          <w:szCs w:val="44"/>
          <w:highlight w:val="none"/>
        </w:rPr>
        <w:t>政府采购合同</w:t>
      </w:r>
    </w:p>
    <w:p w14:paraId="5F1685B7">
      <w:pPr>
        <w:pStyle w:val="3"/>
        <w:shd w:val="clear"/>
        <w:rPr>
          <w:color w:val="auto"/>
          <w:sz w:val="28"/>
          <w:szCs w:val="28"/>
          <w:highlight w:val="none"/>
        </w:rPr>
      </w:pPr>
    </w:p>
    <w:p w14:paraId="0480220A">
      <w:pPr>
        <w:pStyle w:val="8"/>
        <w:keepNext w:val="0"/>
        <w:keepLines w:val="0"/>
        <w:pageBreakBefore w:val="0"/>
        <w:shd w:val="clear"/>
        <w:tabs>
          <w:tab w:val="left" w:pos="840"/>
        </w:tabs>
        <w:kinsoku/>
        <w:wordWrap/>
        <w:overflowPunct/>
        <w:topLinePunct w:val="0"/>
        <w:bidi w:val="0"/>
        <w:adjustRightInd w:val="0"/>
        <w:snapToGrid w:val="0"/>
        <w:spacing w:line="360" w:lineRule="auto"/>
        <w:ind w:left="0"/>
        <w:jc w:val="center"/>
        <w:rPr>
          <w:rFonts w:hint="eastAsia" w:ascii="宋体" w:hAnsi="宋体" w:eastAsia="宋体" w:cs="宋体"/>
          <w:b/>
          <w:bCs w:val="0"/>
          <w:color w:val="auto"/>
          <w:sz w:val="21"/>
          <w:szCs w:val="21"/>
          <w:highlight w:val="none"/>
        </w:rPr>
      </w:pPr>
      <w:r>
        <w:rPr>
          <w:rFonts w:hint="eastAsia" w:ascii="宋体" w:hAnsi="宋体" w:eastAsia="宋体" w:cs="宋体"/>
          <w:b/>
          <w:color w:val="auto"/>
          <w:sz w:val="28"/>
          <w:szCs w:val="28"/>
          <w:highlight w:val="none"/>
        </w:rPr>
        <w:t>一、总    则</w:t>
      </w:r>
    </w:p>
    <w:p w14:paraId="2700F92C">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b/>
          <w:bCs w:val="0"/>
          <w:color w:val="auto"/>
          <w:sz w:val="21"/>
          <w:szCs w:val="21"/>
          <w:highlight w:val="none"/>
        </w:rPr>
        <w:t xml:space="preserve">第一条  </w:t>
      </w:r>
      <w:r>
        <w:rPr>
          <w:rFonts w:hint="eastAsia" w:ascii="宋体" w:hAnsi="宋体" w:eastAsia="宋体" w:cs="宋体"/>
          <w:b w:val="0"/>
          <w:bCs/>
          <w:color w:val="auto"/>
          <w:sz w:val="21"/>
          <w:szCs w:val="21"/>
          <w:highlight w:val="none"/>
        </w:rPr>
        <w:t>合同当事人</w:t>
      </w:r>
    </w:p>
    <w:p w14:paraId="6CE05E0A">
      <w:pPr>
        <w:pStyle w:val="8"/>
        <w:keepNext w:val="0"/>
        <w:keepLines w:val="0"/>
        <w:pageBreakBefore w:val="0"/>
        <w:shd w:val="clear"/>
        <w:kinsoku/>
        <w:wordWrap/>
        <w:overflowPunct/>
        <w:topLinePunct w:val="0"/>
        <w:bidi w:val="0"/>
        <w:adjustRightInd w:val="0"/>
        <w:snapToGrid w:val="0"/>
        <w:spacing w:line="360" w:lineRule="auto"/>
        <w:ind w:left="0" w:firstLine="422" w:firstLineChars="200"/>
        <w:rPr>
          <w:rFonts w:hint="eastAsia" w:ascii="宋体" w:hAnsi="宋体" w:eastAsia="宋体" w:cs="宋体"/>
          <w:b/>
          <w:bCs/>
          <w:color w:val="auto"/>
          <w:sz w:val="21"/>
          <w:szCs w:val="21"/>
          <w:highlight w:val="none"/>
          <w:u w:val="single"/>
          <w:lang w:val="en-US" w:eastAsia="zh-CN"/>
        </w:rPr>
      </w:pPr>
      <w:r>
        <w:rPr>
          <w:rFonts w:hint="eastAsia" w:ascii="宋体" w:hAnsi="宋体" w:eastAsia="宋体" w:cs="宋体"/>
          <w:b/>
          <w:bCs/>
          <w:color w:val="auto"/>
          <w:sz w:val="21"/>
          <w:szCs w:val="21"/>
          <w:highlight w:val="none"/>
        </w:rPr>
        <w:t>甲方（采购人）：</w:t>
      </w:r>
      <w:r>
        <w:rPr>
          <w:rFonts w:hint="eastAsia" w:ascii="宋体" w:hAnsi="宋体" w:eastAsia="宋体" w:cs="宋体"/>
          <w:b/>
          <w:bCs/>
          <w:color w:val="auto"/>
          <w:sz w:val="21"/>
          <w:szCs w:val="21"/>
          <w:highlight w:val="none"/>
          <w:u w:val="single"/>
          <w:lang w:val="en-US" w:eastAsia="zh-CN"/>
        </w:rPr>
        <w:t xml:space="preserve">                      </w:t>
      </w:r>
    </w:p>
    <w:p w14:paraId="22098B3B">
      <w:pPr>
        <w:pStyle w:val="8"/>
        <w:keepNext w:val="0"/>
        <w:keepLines w:val="0"/>
        <w:pageBreakBefore w:val="0"/>
        <w:shd w:val="clear"/>
        <w:kinsoku/>
        <w:wordWrap/>
        <w:overflowPunct/>
        <w:topLinePunct w:val="0"/>
        <w:bidi w:val="0"/>
        <w:adjustRightInd w:val="0"/>
        <w:snapToGrid w:val="0"/>
        <w:spacing w:line="360" w:lineRule="auto"/>
        <w:ind w:left="0" w:firstLine="422" w:firstLineChars="200"/>
        <w:rPr>
          <w:rFonts w:hint="default" w:ascii="宋体" w:hAnsi="宋体" w:eastAsia="宋体" w:cs="宋体"/>
          <w:color w:val="auto"/>
          <w:sz w:val="21"/>
          <w:szCs w:val="21"/>
          <w:highlight w:val="none"/>
          <w:lang w:val="en-US"/>
        </w:rPr>
      </w:pPr>
      <w:r>
        <w:rPr>
          <w:rFonts w:hint="eastAsia" w:ascii="宋体" w:hAnsi="宋体" w:eastAsia="宋体" w:cs="宋体"/>
          <w:b/>
          <w:bCs/>
          <w:color w:val="auto"/>
          <w:sz w:val="21"/>
          <w:szCs w:val="21"/>
          <w:highlight w:val="none"/>
        </w:rPr>
        <w:t>乙方（</w:t>
      </w:r>
      <w:r>
        <w:rPr>
          <w:rFonts w:hint="eastAsia" w:ascii="宋体" w:hAnsi="宋体" w:eastAsia="宋体" w:cs="宋体"/>
          <w:b/>
          <w:bCs/>
          <w:color w:val="auto"/>
          <w:sz w:val="21"/>
          <w:szCs w:val="21"/>
          <w:highlight w:val="none"/>
          <w:lang w:eastAsia="zh-CN"/>
        </w:rPr>
        <w:t>成交人</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u w:val="single"/>
          <w:lang w:val="en-US" w:eastAsia="zh-CN"/>
        </w:rPr>
        <w:t xml:space="preserve">                      </w:t>
      </w:r>
    </w:p>
    <w:p w14:paraId="73F6C234">
      <w:pPr>
        <w:pStyle w:val="8"/>
        <w:keepNext w:val="0"/>
        <w:keepLines w:val="0"/>
        <w:pageBreakBefore w:val="0"/>
        <w:shd w:val="clear"/>
        <w:kinsoku/>
        <w:wordWrap/>
        <w:overflowPunct/>
        <w:topLinePunct w:val="0"/>
        <w:bidi w:val="0"/>
        <w:adjustRightInd w:val="0"/>
        <w:snapToGrid w:val="0"/>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根据《中华人民共和国</w:t>
      </w:r>
      <w:r>
        <w:rPr>
          <w:rFonts w:hint="eastAsia" w:ascii="宋体" w:hAnsi="宋体" w:eastAsia="宋体" w:cs="宋体"/>
          <w:color w:val="auto"/>
          <w:sz w:val="21"/>
          <w:szCs w:val="21"/>
          <w:highlight w:val="none"/>
          <w:lang w:eastAsia="zh-CN"/>
        </w:rPr>
        <w:t>民法典</w:t>
      </w:r>
      <w:r>
        <w:rPr>
          <w:rFonts w:hint="eastAsia" w:ascii="宋体" w:hAnsi="宋体" w:eastAsia="宋体" w:cs="宋体"/>
          <w:color w:val="auto"/>
          <w:sz w:val="21"/>
          <w:szCs w:val="21"/>
          <w:highlight w:val="none"/>
        </w:rPr>
        <w:t>》、《中华人民共和国政府采购法》及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eastAsia="zh-CN"/>
        </w:rPr>
        <w:t>项目</w:t>
      </w:r>
      <w:r>
        <w:rPr>
          <w:rFonts w:hint="eastAsia" w:ascii="宋体" w:hAnsi="宋体" w:eastAsia="宋体" w:cs="宋体"/>
          <w:color w:val="auto"/>
          <w:sz w:val="21"/>
          <w:szCs w:val="21"/>
          <w:highlight w:val="none"/>
          <w:lang w:eastAsia="zh-CN"/>
        </w:rPr>
        <w:t>竞争性磋商文件</w:t>
      </w:r>
      <w:r>
        <w:rPr>
          <w:rFonts w:hint="eastAsia" w:ascii="宋体" w:hAnsi="宋体" w:eastAsia="宋体" w:cs="宋体"/>
          <w:color w:val="auto"/>
          <w:sz w:val="21"/>
          <w:szCs w:val="21"/>
          <w:highlight w:val="none"/>
        </w:rPr>
        <w:t>的要求和</w:t>
      </w:r>
      <w:r>
        <w:rPr>
          <w:rFonts w:hint="eastAsia" w:ascii="宋体" w:hAnsi="宋体" w:eastAsia="宋体" w:cs="宋体"/>
          <w:color w:val="auto"/>
          <w:sz w:val="21"/>
          <w:szCs w:val="21"/>
          <w:highlight w:val="none"/>
          <w:lang w:eastAsia="zh-CN"/>
        </w:rPr>
        <w:t>采购</w:t>
      </w:r>
      <w:r>
        <w:rPr>
          <w:rFonts w:hint="eastAsia" w:ascii="宋体" w:hAnsi="宋体" w:eastAsia="宋体" w:cs="宋体"/>
          <w:color w:val="auto"/>
          <w:sz w:val="21"/>
          <w:szCs w:val="21"/>
          <w:highlight w:val="none"/>
        </w:rPr>
        <w:t>结果，经甲乙双方协商一致，签订本合同。双方共同遵守如下条款（技术说明及其他有关合同项目的特定信息由合同附件予以说明，合同附件及本项目的</w:t>
      </w:r>
      <w:r>
        <w:rPr>
          <w:rFonts w:hint="eastAsia" w:ascii="宋体" w:hAnsi="宋体" w:eastAsia="宋体" w:cs="宋体"/>
          <w:color w:val="auto"/>
          <w:sz w:val="21"/>
          <w:szCs w:val="21"/>
          <w:highlight w:val="none"/>
          <w:lang w:eastAsia="zh-CN"/>
        </w:rPr>
        <w:t>竞争性磋商文件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竞争性磋商响应文件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rPr>
        <w:t>通知书、在实施过程中双方共同签署的补充文件等均为本合同不可分割之一部分）。</w:t>
      </w:r>
    </w:p>
    <w:p w14:paraId="0FC42B21">
      <w:pPr>
        <w:pStyle w:val="8"/>
        <w:keepNext w:val="0"/>
        <w:keepLines w:val="0"/>
        <w:pageBreakBefore w:val="0"/>
        <w:shd w:val="clear"/>
        <w:tabs>
          <w:tab w:val="left" w:pos="840"/>
          <w:tab w:val="left" w:pos="1260"/>
          <w:tab w:val="left" w:pos="1440"/>
        </w:tabs>
        <w:kinsoku/>
        <w:wordWrap/>
        <w:overflowPunct/>
        <w:topLinePunct w:val="0"/>
        <w:bidi w:val="0"/>
        <w:adjustRightInd w:val="0"/>
        <w:snapToGrid w:val="0"/>
        <w:spacing w:line="360" w:lineRule="auto"/>
        <w:ind w:left="0" w:firstLine="422" w:firstLineChars="200"/>
        <w:rPr>
          <w:rFonts w:hint="eastAsia" w:ascii="宋体" w:hAnsi="宋体" w:eastAsia="宋体" w:cs="宋体"/>
          <w:b w:val="0"/>
          <w:bCs/>
          <w:color w:val="auto"/>
          <w:sz w:val="21"/>
          <w:szCs w:val="21"/>
          <w:highlight w:val="none"/>
        </w:rPr>
      </w:pPr>
      <w:r>
        <w:rPr>
          <w:rFonts w:hint="eastAsia" w:ascii="宋体" w:hAnsi="宋体" w:eastAsia="宋体" w:cs="宋体"/>
          <w:b/>
          <w:bCs w:val="0"/>
          <w:color w:val="auto"/>
          <w:sz w:val="21"/>
          <w:szCs w:val="21"/>
          <w:highlight w:val="none"/>
        </w:rPr>
        <w:t xml:space="preserve">第二条  </w:t>
      </w:r>
      <w:r>
        <w:rPr>
          <w:rFonts w:hint="eastAsia" w:ascii="宋体" w:hAnsi="宋体" w:eastAsia="宋体" w:cs="宋体"/>
          <w:b w:val="0"/>
          <w:bCs/>
          <w:color w:val="auto"/>
          <w:sz w:val="21"/>
          <w:szCs w:val="21"/>
          <w:highlight w:val="none"/>
        </w:rPr>
        <w:t>乙方提供服务的受益人为甲方，甲乙双方均应对履行本合同承担相应的责任。</w:t>
      </w:r>
    </w:p>
    <w:p w14:paraId="764595E7">
      <w:pPr>
        <w:pStyle w:val="8"/>
        <w:keepNext w:val="0"/>
        <w:keepLines w:val="0"/>
        <w:pageBreakBefore w:val="0"/>
        <w:shd w:val="clear"/>
        <w:tabs>
          <w:tab w:val="left" w:pos="840"/>
        </w:tabs>
        <w:kinsoku/>
        <w:wordWrap/>
        <w:overflowPunct/>
        <w:topLinePunct w:val="0"/>
        <w:bidi w:val="0"/>
        <w:adjustRightInd w:val="0"/>
        <w:snapToGrid w:val="0"/>
        <w:spacing w:line="360" w:lineRule="auto"/>
        <w:ind w:left="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二、服务事项</w:t>
      </w:r>
    </w:p>
    <w:p w14:paraId="4EFC08A7">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422" w:firstLineChars="200"/>
        <w:rPr>
          <w:rFonts w:hint="eastAsia" w:ascii="宋体" w:hAnsi="宋体" w:eastAsia="宋体" w:cs="宋体"/>
          <w:b w:val="0"/>
          <w:bCs/>
          <w:color w:val="auto"/>
          <w:sz w:val="21"/>
          <w:szCs w:val="21"/>
          <w:highlight w:val="none"/>
        </w:rPr>
      </w:pPr>
      <w:r>
        <w:rPr>
          <w:rFonts w:hint="eastAsia" w:ascii="宋体" w:hAnsi="宋体" w:eastAsia="宋体" w:cs="宋体"/>
          <w:b/>
          <w:bCs w:val="0"/>
          <w:color w:val="auto"/>
          <w:sz w:val="21"/>
          <w:szCs w:val="21"/>
          <w:highlight w:val="none"/>
        </w:rPr>
        <w:t xml:space="preserve">第三条 </w:t>
      </w:r>
      <w:r>
        <w:rPr>
          <w:rFonts w:hint="eastAsia" w:ascii="宋体" w:hAnsi="宋体" w:eastAsia="宋体" w:cs="宋体"/>
          <w:b w:val="0"/>
          <w:bCs/>
          <w:color w:val="auto"/>
          <w:sz w:val="21"/>
          <w:szCs w:val="21"/>
          <w:highlight w:val="none"/>
        </w:rPr>
        <w:t xml:space="preserve"> 服务内容</w:t>
      </w:r>
    </w:p>
    <w:p w14:paraId="6023BDDE">
      <w:pPr>
        <w:pStyle w:val="8"/>
        <w:keepNext w:val="0"/>
        <w:keepLines w:val="0"/>
        <w:pageBreakBefore w:val="0"/>
        <w:shd w:val="clear"/>
        <w:tabs>
          <w:tab w:val="left" w:pos="840"/>
          <w:tab w:val="left" w:pos="1260"/>
          <w:tab w:val="left" w:pos="1440"/>
        </w:tabs>
        <w:kinsoku/>
        <w:wordWrap/>
        <w:overflowPunct/>
        <w:topLinePunct w:val="0"/>
        <w:bidi w:val="0"/>
        <w:adjustRightInd w:val="0"/>
        <w:snapToGrid w:val="0"/>
        <w:spacing w:line="360" w:lineRule="auto"/>
        <w:ind w:left="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甲方委托乙方为甲方单位职工</w:t>
      </w:r>
      <w:r>
        <w:rPr>
          <w:rFonts w:hint="eastAsia" w:ascii="宋体" w:hAnsi="宋体" w:eastAsia="宋体" w:cs="宋体"/>
          <w:color w:val="auto"/>
          <w:sz w:val="21"/>
          <w:szCs w:val="21"/>
          <w:highlight w:val="none"/>
          <w:lang w:eastAsia="zh-CN"/>
        </w:rPr>
        <w:t>为</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人</w:t>
      </w:r>
      <w:r>
        <w:rPr>
          <w:rFonts w:hint="eastAsia" w:ascii="宋体" w:hAnsi="宋体" w:eastAsia="宋体" w:cs="宋体"/>
          <w:color w:val="auto"/>
          <w:sz w:val="21"/>
          <w:szCs w:val="21"/>
          <w:highlight w:val="none"/>
          <w:lang w:eastAsia="zh-CN"/>
        </w:rPr>
        <w:t>（其中男职工</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人，已婚女职工</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人，未婚女职工</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人</w:t>
      </w:r>
      <w:r>
        <w:rPr>
          <w:rFonts w:hint="eastAsia" w:ascii="宋体" w:hAnsi="宋体" w:eastAsia="宋体" w:cs="宋体"/>
          <w:color w:val="auto"/>
          <w:sz w:val="21"/>
          <w:szCs w:val="21"/>
          <w:highlight w:val="none"/>
          <w:lang w:eastAsia="zh-CN"/>
        </w:rPr>
        <w:t>）提供体检服务。</w:t>
      </w:r>
    </w:p>
    <w:p w14:paraId="6243E7A4">
      <w:pPr>
        <w:pStyle w:val="8"/>
        <w:keepNext w:val="0"/>
        <w:keepLines w:val="0"/>
        <w:pageBreakBefore w:val="0"/>
        <w:shd w:val="clear"/>
        <w:tabs>
          <w:tab w:val="left" w:pos="840"/>
          <w:tab w:val="left" w:pos="1260"/>
          <w:tab w:val="left" w:pos="1440"/>
        </w:tabs>
        <w:kinsoku/>
        <w:wordWrap/>
        <w:overflowPunct/>
        <w:topLinePunct w:val="0"/>
        <w:bidi w:val="0"/>
        <w:adjustRightInd w:val="0"/>
        <w:snapToGrid w:val="0"/>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乙方根据甲方参加体检职工的性别、年龄等相关情况制定体检项目目录，并按照体检项目目录展开体检。</w:t>
      </w:r>
    </w:p>
    <w:p w14:paraId="2D32C21C">
      <w:pPr>
        <w:pStyle w:val="8"/>
        <w:keepNext w:val="0"/>
        <w:keepLines w:val="0"/>
        <w:pageBreakBefore w:val="0"/>
        <w:shd w:val="clear"/>
        <w:tabs>
          <w:tab w:val="left" w:pos="840"/>
        </w:tabs>
        <w:kinsoku/>
        <w:wordWrap/>
        <w:overflowPunct/>
        <w:topLinePunct w:val="0"/>
        <w:bidi w:val="0"/>
        <w:adjustRightInd w:val="0"/>
        <w:snapToGrid w:val="0"/>
        <w:spacing w:line="360" w:lineRule="auto"/>
        <w:ind w:left="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三、服务期限及体检时间</w:t>
      </w:r>
    </w:p>
    <w:p w14:paraId="05004204">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422" w:firstLineChars="200"/>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 xml:space="preserve">第四条 </w:t>
      </w:r>
      <w:r>
        <w:rPr>
          <w:rFonts w:hint="eastAsia" w:ascii="宋体" w:hAnsi="宋体" w:eastAsia="宋体" w:cs="宋体"/>
          <w:b w:val="0"/>
          <w:bCs/>
          <w:color w:val="auto"/>
          <w:sz w:val="21"/>
          <w:szCs w:val="21"/>
          <w:highlight w:val="none"/>
        </w:rPr>
        <w:t xml:space="preserve"> 服务期</w:t>
      </w:r>
      <w:r>
        <w:rPr>
          <w:rFonts w:hint="eastAsia" w:ascii="宋体" w:hAnsi="宋体" w:eastAsia="宋体" w:cs="宋体"/>
          <w:b w:val="0"/>
          <w:bCs/>
          <w:color w:val="auto"/>
          <w:sz w:val="21"/>
          <w:szCs w:val="21"/>
          <w:highlight w:val="none"/>
          <w:lang w:eastAsia="zh-CN"/>
        </w:rPr>
        <w:t>限</w:t>
      </w:r>
    </w:p>
    <w:p w14:paraId="6CDA4B3A">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420" w:firstLineChars="200"/>
        <w:rPr>
          <w:rFonts w:hint="eastAsia" w:ascii="宋体" w:hAnsi="宋体" w:eastAsia="宋体" w:cs="宋体"/>
          <w:b/>
          <w:color w:val="auto"/>
          <w:sz w:val="21"/>
          <w:szCs w:val="21"/>
          <w:highlight w:val="none"/>
          <w:lang w:val="en-US" w:eastAsia="zh-CN"/>
        </w:rPr>
      </w:pPr>
      <w:r>
        <w:rPr>
          <w:rFonts w:hint="eastAsia" w:ascii="宋体" w:hAnsi="宋体" w:eastAsia="宋体" w:cs="宋体"/>
          <w:color w:val="auto"/>
          <w:sz w:val="21"/>
          <w:szCs w:val="21"/>
          <w:highlight w:val="none"/>
          <w:u w:val="none"/>
          <w:lang w:val="en-US" w:eastAsia="zh-CN"/>
        </w:rPr>
        <w:t>65日历天内</w:t>
      </w:r>
      <w:r>
        <w:rPr>
          <w:rFonts w:hint="eastAsia" w:ascii="宋体" w:hAnsi="宋体" w:cs="宋体"/>
          <w:color w:val="auto"/>
          <w:sz w:val="21"/>
          <w:szCs w:val="21"/>
          <w:highlight w:val="none"/>
          <w:u w:val="none"/>
          <w:lang w:val="en-US" w:eastAsia="zh-CN"/>
        </w:rPr>
        <w:t>。</w:t>
      </w:r>
    </w:p>
    <w:p w14:paraId="4847CBFB">
      <w:pPr>
        <w:pStyle w:val="8"/>
        <w:keepNext w:val="0"/>
        <w:keepLines w:val="0"/>
        <w:pageBreakBefore w:val="0"/>
        <w:numPr>
          <w:ilvl w:val="0"/>
          <w:numId w:val="0"/>
        </w:numPr>
        <w:shd w:val="clear"/>
        <w:tabs>
          <w:tab w:val="left" w:pos="840"/>
        </w:tabs>
        <w:kinsoku/>
        <w:wordWrap/>
        <w:overflowPunct/>
        <w:topLinePunct w:val="0"/>
        <w:bidi w:val="0"/>
        <w:adjustRightInd w:val="0"/>
        <w:snapToGrid w:val="0"/>
        <w:spacing w:line="360" w:lineRule="auto"/>
        <w:ind w:left="0" w:firstLine="422" w:firstLineChars="200"/>
        <w:rPr>
          <w:rFonts w:hint="eastAsia" w:ascii="宋体" w:hAnsi="宋体" w:eastAsia="宋体" w:cs="宋体"/>
          <w:b w:val="0"/>
          <w:bCs/>
          <w:color w:val="auto"/>
          <w:sz w:val="21"/>
          <w:szCs w:val="21"/>
          <w:highlight w:val="none"/>
        </w:rPr>
      </w:pPr>
      <w:r>
        <w:rPr>
          <w:rFonts w:hint="eastAsia" w:ascii="宋体" w:hAnsi="宋体" w:eastAsia="宋体" w:cs="宋体"/>
          <w:b/>
          <w:bCs w:val="0"/>
          <w:color w:val="auto"/>
          <w:sz w:val="21"/>
          <w:szCs w:val="21"/>
          <w:highlight w:val="none"/>
          <w:lang w:eastAsia="zh-CN"/>
        </w:rPr>
        <w:t>第五条</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体检时间</w:t>
      </w:r>
    </w:p>
    <w:p w14:paraId="39B2D2FD">
      <w:pPr>
        <w:pStyle w:val="8"/>
        <w:keepNext w:val="0"/>
        <w:keepLines w:val="0"/>
        <w:pageBreakBefore w:val="0"/>
        <w:numPr>
          <w:ilvl w:val="0"/>
          <w:numId w:val="0"/>
        </w:numPr>
        <w:shd w:val="clear"/>
        <w:tabs>
          <w:tab w:val="left" w:pos="840"/>
        </w:tabs>
        <w:kinsoku/>
        <w:wordWrap/>
        <w:overflowPunct/>
        <w:topLinePunct w:val="0"/>
        <w:bidi w:val="0"/>
        <w:adjustRightInd w:val="0"/>
        <w:snapToGrid w:val="0"/>
        <w:spacing w:line="360" w:lineRule="auto"/>
        <w:ind w:left="0" w:firstLine="420" w:firstLineChars="200"/>
        <w:rPr>
          <w:rFonts w:hint="eastAsia" w:ascii="宋体" w:hAnsi="宋体" w:eastAsia="宋体" w:cs="宋体"/>
          <w:b/>
          <w:color w:val="auto"/>
          <w:sz w:val="21"/>
          <w:szCs w:val="21"/>
          <w:highlight w:val="none"/>
        </w:rPr>
      </w:pPr>
      <w:r>
        <w:rPr>
          <w:rFonts w:hint="eastAsia" w:ascii="宋体" w:hAnsi="宋体" w:eastAsia="宋体" w:cs="宋体"/>
          <w:b w:val="0"/>
          <w:bCs/>
          <w:color w:val="auto"/>
          <w:sz w:val="21"/>
          <w:szCs w:val="21"/>
          <w:highlight w:val="none"/>
          <w:u w:val="none"/>
        </w:rPr>
        <w:t>具体体检时间由双方协商确定。</w:t>
      </w:r>
    </w:p>
    <w:p w14:paraId="162F5681">
      <w:pPr>
        <w:pStyle w:val="8"/>
        <w:keepNext w:val="0"/>
        <w:keepLines w:val="0"/>
        <w:pageBreakBefore w:val="0"/>
        <w:shd w:val="clear"/>
        <w:tabs>
          <w:tab w:val="left" w:pos="840"/>
        </w:tabs>
        <w:kinsoku/>
        <w:wordWrap/>
        <w:overflowPunct/>
        <w:topLinePunct w:val="0"/>
        <w:bidi w:val="0"/>
        <w:adjustRightInd w:val="0"/>
        <w:snapToGrid w:val="0"/>
        <w:spacing w:line="360" w:lineRule="auto"/>
        <w:ind w:left="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四、双方权利义务</w:t>
      </w:r>
    </w:p>
    <w:p w14:paraId="3455C776">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422" w:firstLineChars="200"/>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 xml:space="preserve">第六条  </w:t>
      </w:r>
      <w:r>
        <w:rPr>
          <w:rFonts w:hint="eastAsia" w:ascii="宋体" w:hAnsi="宋体" w:eastAsia="宋体" w:cs="宋体"/>
          <w:b w:val="0"/>
          <w:bCs/>
          <w:color w:val="auto"/>
          <w:sz w:val="21"/>
          <w:szCs w:val="21"/>
          <w:highlight w:val="none"/>
        </w:rPr>
        <w:t>甲方权利</w:t>
      </w:r>
    </w:p>
    <w:p w14:paraId="334B9210">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甲方有权利要求乙方设体检专场以保证体检服务按时保质保量完成。</w:t>
      </w:r>
    </w:p>
    <w:p w14:paraId="0DB4CF70">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甲方体检职工有权利在体检当天收到乙方专人分发的每份价值不低于人民币</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元的免费冷热丰富的早餐。</w:t>
      </w:r>
    </w:p>
    <w:p w14:paraId="5C9820AA">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甲方体检人员在体检当天可以享有不少于</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个免费车位。</w:t>
      </w:r>
    </w:p>
    <w:p w14:paraId="27FB8A1B">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甲方有权在每批体检后的</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天内收到由</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盖章的以个人为单位的密封体检报告。</w:t>
      </w:r>
    </w:p>
    <w:p w14:paraId="51412804">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甲方有权利要求乙方建立体检个人的健康档案，健康档案包括纸质文档和电子文档。电子文档由乙方应于每批体检结束后将体检的所有数据（包括化验单、检查结果、人员信息、专家意见等）用数据库Excel表格录入，并跟进参加体检人员的数据对比、病情分析，及时掌握员工身体状况变化，同时，电子文档可供甲方对参检人员的健康资料、体检情况、病种等随时调用、筛选、统计归类。</w:t>
      </w:r>
    </w:p>
    <w:p w14:paraId="48DEEB50">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甲方有权要求乙方在服务期间赔偿由于乙方责任造成甲方的一切损失。</w:t>
      </w:r>
    </w:p>
    <w:p w14:paraId="71320C3F">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乙方未按服务项目要求完成或完成不彻底，甲方有权要求重新安排体检，且有权减扣合同付款金额直至终止合约，由此造成的一切后果由乙方承担。</w:t>
      </w:r>
    </w:p>
    <w:p w14:paraId="790E1159">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在体检过程中有怀疑病情时，甲方有权要求乙方增加完成一些额外体检项目。额外体检的项目所需费用另行结算。</w:t>
      </w:r>
    </w:p>
    <w:p w14:paraId="7C88403A">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422" w:firstLineChars="200"/>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 xml:space="preserve">第七条  </w:t>
      </w:r>
      <w:r>
        <w:rPr>
          <w:rFonts w:hint="eastAsia" w:ascii="宋体" w:hAnsi="宋体" w:eastAsia="宋体" w:cs="宋体"/>
          <w:b w:val="0"/>
          <w:bCs/>
          <w:color w:val="auto"/>
          <w:sz w:val="21"/>
          <w:szCs w:val="21"/>
          <w:highlight w:val="none"/>
        </w:rPr>
        <w:t>甲方义务</w:t>
      </w:r>
    </w:p>
    <w:p w14:paraId="32563BBF">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jc w:val="left"/>
        <w:rPr>
          <w:rStyle w:val="9"/>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甲方有义务将参加体检职工的单位名称、所属部门、姓名、性别、年龄等相关资料及体检单位联系人的姓名和联系方式提前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天提供给乙方。</w:t>
      </w:r>
    </w:p>
    <w:p w14:paraId="554E8D14">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leftChars="0"/>
        <w:jc w:val="left"/>
        <w:rPr>
          <w:rStyle w:val="9"/>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甲方必须配合乙方落实每日体检人数，并按照每日体检计划人数、时段安排单位人员体检。</w:t>
      </w:r>
    </w:p>
    <w:p w14:paraId="66B009E8">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leftChars="0"/>
        <w:jc w:val="left"/>
        <w:rPr>
          <w:rStyle w:val="9"/>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在体检现场，甲方体检人员应配合乙方医务人员的指导</w:t>
      </w:r>
      <w:r>
        <w:rPr>
          <w:rStyle w:val="9"/>
          <w:rFonts w:hint="eastAsia" w:ascii="宋体" w:hAnsi="宋体" w:eastAsia="宋体" w:cs="宋体"/>
          <w:color w:val="auto"/>
          <w:sz w:val="21"/>
          <w:szCs w:val="21"/>
          <w:highlight w:val="none"/>
        </w:rPr>
        <w:t>。</w:t>
      </w:r>
    </w:p>
    <w:p w14:paraId="72810AE0">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left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甲方应按合同约定，及时向乙方办理支付体检费用手续。结算时按实际体检人数、每人体检项目和体检项目收费标准计算出实际体检费用</w:t>
      </w:r>
      <w:r>
        <w:rPr>
          <w:rStyle w:val="9"/>
          <w:rFonts w:hint="eastAsia" w:ascii="宋体" w:hAnsi="宋体" w:eastAsia="宋体" w:cs="宋体"/>
          <w:color w:val="auto"/>
          <w:sz w:val="21"/>
          <w:szCs w:val="21"/>
          <w:highlight w:val="none"/>
        </w:rPr>
        <w:t>。</w:t>
      </w:r>
    </w:p>
    <w:p w14:paraId="677D55D1">
      <w:pPr>
        <w:pStyle w:val="8"/>
        <w:keepNext w:val="0"/>
        <w:keepLines w:val="0"/>
        <w:pageBreakBefore w:val="0"/>
        <w:numPr>
          <w:ilvl w:val="0"/>
          <w:numId w:val="0"/>
        </w:numPr>
        <w:shd w:val="clear"/>
        <w:tabs>
          <w:tab w:val="left" w:pos="840"/>
        </w:tabs>
        <w:kinsoku/>
        <w:wordWrap/>
        <w:overflowPunct/>
        <w:topLinePunct w:val="0"/>
        <w:bidi w:val="0"/>
        <w:adjustRightInd w:val="0"/>
        <w:snapToGrid w:val="0"/>
        <w:spacing w:line="360" w:lineRule="auto"/>
        <w:ind w:left="0" w:firstLine="422" w:firstLineChars="200"/>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lang w:eastAsia="zh-CN"/>
        </w:rPr>
        <w:t>第八条</w:t>
      </w:r>
      <w:r>
        <w:rPr>
          <w:rFonts w:hint="eastAsia" w:ascii="宋体" w:hAnsi="宋体" w:eastAsia="宋体" w:cs="宋体"/>
          <w:b/>
          <w:bCs w:val="0"/>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乙方权利</w:t>
      </w:r>
    </w:p>
    <w:p w14:paraId="132D8756">
      <w:pPr>
        <w:pStyle w:val="8"/>
        <w:keepNext w:val="0"/>
        <w:keepLines w:val="0"/>
        <w:pageBreakBefore w:val="0"/>
        <w:numPr>
          <w:ilvl w:val="0"/>
          <w:numId w:val="0"/>
        </w:numPr>
        <w:shd w:val="clear"/>
        <w:tabs>
          <w:tab w:val="left" w:pos="840"/>
        </w:tabs>
        <w:kinsoku/>
        <w:wordWrap/>
        <w:overflowPunct/>
        <w:topLinePunct w:val="0"/>
        <w:bidi w:val="0"/>
        <w:adjustRightInd w:val="0"/>
        <w:snapToGrid w:val="0"/>
        <w:spacing w:line="360" w:lineRule="auto"/>
        <w:ind w:left="0" w:firstLine="420" w:firstLineChars="200"/>
        <w:rPr>
          <w:rStyle w:val="9"/>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乙方有权督促甲方将参加体检职工的单位名称、所属部门、姓名、性别、年龄等相关资料及体检单位联系人的姓名和联系方式提前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天提供给乙方。</w:t>
      </w:r>
    </w:p>
    <w:p w14:paraId="5D75ECC3">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firstLine="420" w:firstLineChars="200"/>
        <w:jc w:val="left"/>
        <w:rPr>
          <w:rStyle w:val="9"/>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乙方有权利要求甲方配合落实每日体检计划人数。</w:t>
      </w:r>
    </w:p>
    <w:p w14:paraId="3B22C552">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firstLine="420" w:firstLineChars="200"/>
        <w:jc w:val="left"/>
        <w:rPr>
          <w:rStyle w:val="9"/>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乙方医务人员有权利在体检现场要求甲方体检人员配合体检指导</w:t>
      </w:r>
      <w:r>
        <w:rPr>
          <w:rStyle w:val="9"/>
          <w:rFonts w:hint="eastAsia" w:ascii="宋体" w:hAnsi="宋体" w:eastAsia="宋体" w:cs="宋体"/>
          <w:color w:val="auto"/>
          <w:sz w:val="21"/>
          <w:szCs w:val="21"/>
          <w:highlight w:val="none"/>
        </w:rPr>
        <w:t>。</w:t>
      </w:r>
    </w:p>
    <w:p w14:paraId="44DB6279">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firstLine="420" w:firstLineChars="200"/>
        <w:jc w:val="left"/>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乙方有权要求甲方按合同约定，及时办理支付体检费用手续。结算时按实际体检人数、每人体检项目和体检项目收费标准计算出实际体检费用</w:t>
      </w:r>
      <w:r>
        <w:rPr>
          <w:rStyle w:val="9"/>
          <w:rFonts w:hint="eastAsia" w:ascii="宋体" w:hAnsi="宋体" w:eastAsia="宋体" w:cs="宋体"/>
          <w:color w:val="auto"/>
          <w:sz w:val="21"/>
          <w:szCs w:val="21"/>
          <w:highlight w:val="none"/>
        </w:rPr>
        <w:t>。</w:t>
      </w:r>
    </w:p>
    <w:p w14:paraId="6D10626C">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422" w:firstLineChars="200"/>
        <w:rPr>
          <w:rFonts w:hint="eastAsia" w:ascii="宋体" w:hAnsi="宋体" w:eastAsia="宋体" w:cs="宋体"/>
          <w:b/>
          <w:bCs w:val="0"/>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bCs w:val="0"/>
          <w:color w:val="auto"/>
          <w:sz w:val="21"/>
          <w:szCs w:val="21"/>
          <w:highlight w:val="none"/>
        </w:rPr>
        <w:t xml:space="preserve">九条  </w:t>
      </w:r>
      <w:r>
        <w:rPr>
          <w:rFonts w:hint="eastAsia" w:ascii="宋体" w:hAnsi="宋体" w:eastAsia="宋体" w:cs="宋体"/>
          <w:b w:val="0"/>
          <w:bCs/>
          <w:color w:val="auto"/>
          <w:sz w:val="21"/>
          <w:szCs w:val="21"/>
          <w:highlight w:val="none"/>
        </w:rPr>
        <w:t>乙方义务</w:t>
      </w:r>
    </w:p>
    <w:p w14:paraId="239E91B3">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乙方须设</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体检专场，每天能安排检查</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人左右，每周安排</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人左右，且每天体检须在当天</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开始，</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前完成。</w:t>
      </w:r>
    </w:p>
    <w:p w14:paraId="6DFDFF5B">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乙方须提供每份价值不低于人民币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元的免费冷热丰富的早餐，并派专人负责分发。</w:t>
      </w:r>
    </w:p>
    <w:p w14:paraId="34C33CC1">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在乙方的体检中心范围内须有清晰准确的体检引导标志牌及体检导诊员。</w:t>
      </w:r>
    </w:p>
    <w:p w14:paraId="5F7D6FD3">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乙方需为当天参与体检人员提供不少于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个免费车位。</w:t>
      </w:r>
    </w:p>
    <w:p w14:paraId="70F288E9">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乙方投入的</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仪器不得少于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仪器不得少于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仪器不得少于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台，医护人员不少于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名，其中副主任级别以上医生不少于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名。</w:t>
      </w:r>
    </w:p>
    <w:p w14:paraId="6A8E5AB1">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拍摄胸部正位片若发现情况异常，必须免费提供胶片。体检中发现特殊情况时，如检出急性传染病、恶性肿瘤等应立即通知</w:t>
      </w:r>
      <w:r>
        <w:rPr>
          <w:rFonts w:hint="eastAsia" w:ascii="宋体" w:hAnsi="宋体" w:eastAsia="宋体" w:cs="宋体"/>
          <w:color w:val="auto"/>
          <w:sz w:val="21"/>
          <w:szCs w:val="21"/>
          <w:highlight w:val="none"/>
          <w:lang w:eastAsia="zh-CN"/>
        </w:rPr>
        <w:t>甲方负责人</w:t>
      </w:r>
      <w:r>
        <w:rPr>
          <w:rFonts w:hint="eastAsia" w:ascii="宋体" w:hAnsi="宋体" w:eastAsia="宋体" w:cs="宋体"/>
          <w:color w:val="auto"/>
          <w:sz w:val="21"/>
          <w:szCs w:val="21"/>
          <w:highlight w:val="none"/>
        </w:rPr>
        <w:t>。对当场发觉可疑病例要免费对其进行复查，并将复查名单及内容通知其及</w:t>
      </w:r>
      <w:r>
        <w:rPr>
          <w:rFonts w:hint="eastAsia" w:ascii="宋体" w:hAnsi="宋体" w:eastAsia="宋体" w:cs="宋体"/>
          <w:color w:val="auto"/>
          <w:sz w:val="21"/>
          <w:szCs w:val="21"/>
          <w:highlight w:val="none"/>
          <w:lang w:eastAsia="zh-CN"/>
        </w:rPr>
        <w:t>甲方负责人。</w:t>
      </w:r>
    </w:p>
    <w:p w14:paraId="188B5E59">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乙方须将体检全部数据，包括化验单、检查结果制成体检表格，个人的体检总评报告应由具有副主任级或以上的医生填写体检结论（包括体检结果、健康评价、健康处方及建议），由</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盖章</w:t>
      </w:r>
      <w:r>
        <w:rPr>
          <w:rFonts w:hint="eastAsia" w:ascii="宋体" w:hAnsi="宋体" w:eastAsia="宋体" w:cs="宋体"/>
          <w:color w:val="auto"/>
          <w:sz w:val="21"/>
          <w:szCs w:val="21"/>
          <w:highlight w:val="none"/>
          <w:lang w:eastAsia="zh-CN"/>
        </w:rPr>
        <w:t>出具</w:t>
      </w:r>
      <w:r>
        <w:rPr>
          <w:rFonts w:hint="eastAsia" w:ascii="宋体" w:hAnsi="宋体" w:eastAsia="宋体" w:cs="宋体"/>
          <w:color w:val="auto"/>
          <w:sz w:val="21"/>
          <w:szCs w:val="21"/>
          <w:highlight w:val="none"/>
        </w:rPr>
        <w:t>，并将个人体检结果用信封密封，在每批体检后的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天内送达甲方</w:t>
      </w:r>
      <w:r>
        <w:rPr>
          <w:rFonts w:hint="eastAsia" w:ascii="宋体" w:hAnsi="宋体" w:eastAsia="宋体" w:cs="宋体"/>
          <w:color w:val="auto"/>
          <w:sz w:val="21"/>
          <w:szCs w:val="21"/>
          <w:highlight w:val="none"/>
          <w:lang w:eastAsia="zh-CN"/>
        </w:rPr>
        <w:t>。</w:t>
      </w:r>
    </w:p>
    <w:p w14:paraId="58A7548C">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体检全部结束后，乙方应根据参检单位、参检人员的体检情况，写出分析报告并提出相关建议（附上各病种异常率、疾病发病率的人员统计等）</w:t>
      </w:r>
      <w:r>
        <w:rPr>
          <w:rFonts w:hint="eastAsia" w:ascii="宋体" w:hAnsi="宋体" w:eastAsia="宋体" w:cs="宋体"/>
          <w:color w:val="auto"/>
          <w:sz w:val="21"/>
          <w:szCs w:val="21"/>
          <w:highlight w:val="none"/>
          <w:lang w:eastAsia="zh-CN"/>
        </w:rPr>
        <w:t>。</w:t>
      </w:r>
    </w:p>
    <w:p w14:paraId="7DDD76ED">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乙方应甲方要求建立体检个人的健康档案，健康档案包括纸质文档和电子文档。电子文档由乙方应于每批体检结束后将体检的所有数据（包括化验单、检查结果、人员信息、专家意见等）用数据库Excel表格录入，并跟进参加体检人员的数据对比、病情分析，及时掌握员工身体状况变化，同时，电子文档可供甲方对参检人员的健康资料、体检情况、病种等随时调用、筛选、统计归类，并可进行动态跟踪</w:t>
      </w:r>
    </w:p>
    <w:p w14:paraId="4E6A22E7">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乙方在服务期间由于自身责任造成甲方的一切损失，由乙方负责赔偿</w:t>
      </w:r>
    </w:p>
    <w:p w14:paraId="7D58269C">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乙方未按服务项目要求完成或完成不彻底，须按要求重新安排体检，且甲方有权减扣合同付款金额直至终止合约，由此造成的一切后果由乙方承担。</w:t>
      </w:r>
    </w:p>
    <w:p w14:paraId="7D6F87AB">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w:t>
      </w:r>
      <w:r>
        <w:rPr>
          <w:rFonts w:hint="eastAsia" w:ascii="宋体" w:hAnsi="宋体" w:eastAsia="宋体" w:cs="宋体"/>
          <w:color w:val="auto"/>
          <w:sz w:val="21"/>
          <w:szCs w:val="21"/>
          <w:highlight w:val="none"/>
        </w:rPr>
        <w:t>在体检过程中有怀疑病情时，甲方有权要求乙方增加完成一些额外体检项目，乙方应予以支持。额外体检的项目所需费用另行结算。</w:t>
      </w:r>
    </w:p>
    <w:p w14:paraId="5B893153">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乙方负责做好体检资料的制作、管理和发放(包括体检表，早餐券，体检须知)，甲方人员不慎遗失体检表或因工作调动等原因造成甲方漏报体检人员，乙方应予及时补发。</w:t>
      </w:r>
    </w:p>
    <w:p w14:paraId="21652ACB">
      <w:pPr>
        <w:pStyle w:val="8"/>
        <w:keepNext w:val="0"/>
        <w:keepLines w:val="0"/>
        <w:pageBreakBefore w:val="0"/>
        <w:numPr>
          <w:ilvl w:val="0"/>
          <w:numId w:val="1"/>
        </w:numPr>
        <w:shd w:val="clear"/>
        <w:tabs>
          <w:tab w:val="left" w:pos="840"/>
        </w:tabs>
        <w:kinsoku/>
        <w:wordWrap/>
        <w:overflowPunct/>
        <w:topLinePunct w:val="0"/>
        <w:bidi w:val="0"/>
        <w:adjustRightInd w:val="0"/>
        <w:snapToGrid w:val="0"/>
        <w:spacing w:line="360" w:lineRule="auto"/>
        <w:ind w:left="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服务金额及付款方式</w:t>
      </w:r>
    </w:p>
    <w:p w14:paraId="12D5B23E">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422" w:firstLineChars="200"/>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 xml:space="preserve">第十条  </w:t>
      </w:r>
      <w:r>
        <w:rPr>
          <w:rFonts w:hint="eastAsia" w:ascii="宋体" w:hAnsi="宋体" w:eastAsia="宋体" w:cs="宋体"/>
          <w:b w:val="0"/>
          <w:bCs/>
          <w:color w:val="auto"/>
          <w:sz w:val="21"/>
          <w:szCs w:val="21"/>
          <w:highlight w:val="none"/>
        </w:rPr>
        <w:t>服务金额</w:t>
      </w:r>
    </w:p>
    <w:p w14:paraId="60503A8D">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firstLine="422" w:firstLineChars="200"/>
        <w:jc w:val="left"/>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t>该项目体检费用总额为人民币（大写）</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元整（￥</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元</w:t>
      </w:r>
      <w:r>
        <w:rPr>
          <w:rFonts w:hint="eastAsia" w:ascii="宋体" w:hAnsi="宋体" w:eastAsia="宋体" w:cs="宋体"/>
          <w:b/>
          <w:bCs/>
          <w:color w:val="auto"/>
          <w:sz w:val="21"/>
          <w:szCs w:val="21"/>
          <w:highlight w:val="none"/>
          <w:lang w:eastAsia="zh-CN"/>
        </w:rPr>
        <w:t>）。</w:t>
      </w:r>
    </w:p>
    <w:p w14:paraId="5000DF9B">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firstLine="422" w:firstLineChars="20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本项目为固定单价合同（固定单价合同按照实际体检人数量据实结算）。</w:t>
      </w:r>
    </w:p>
    <w:p w14:paraId="1B7D8306">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firstLine="422" w:firstLineChars="20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①男士全部体检项目费用</w:t>
      </w:r>
      <w:r>
        <w:rPr>
          <w:rFonts w:hint="eastAsia" w:ascii="宋体" w:hAnsi="宋体" w:cs="宋体"/>
          <w:b/>
          <w:bCs/>
          <w:color w:val="auto"/>
          <w:sz w:val="21"/>
          <w:szCs w:val="21"/>
          <w:highlight w:val="none"/>
          <w:lang w:val="en-US" w:eastAsia="zh-CN"/>
        </w:rPr>
        <w:t>单价</w:t>
      </w:r>
      <w:r>
        <w:rPr>
          <w:rFonts w:hint="eastAsia" w:ascii="宋体" w:hAnsi="宋体" w:eastAsia="宋体" w:cs="宋体"/>
          <w:b/>
          <w:bCs/>
          <w:color w:val="auto"/>
          <w:sz w:val="21"/>
          <w:szCs w:val="21"/>
          <w:highlight w:val="none"/>
          <w:lang w:val="en-US" w:eastAsia="zh-CN"/>
        </w:rPr>
        <w:t>为人民币</w:t>
      </w:r>
      <w:r>
        <w:rPr>
          <w:rFonts w:hint="eastAsia" w:ascii="宋体" w:hAnsi="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元/人；</w:t>
      </w:r>
    </w:p>
    <w:p w14:paraId="73947509">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firstLine="422" w:firstLineChars="20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②已婚女士全部体检项目费用</w:t>
      </w:r>
      <w:r>
        <w:rPr>
          <w:rFonts w:hint="eastAsia" w:ascii="宋体" w:hAnsi="宋体" w:cs="宋体"/>
          <w:b/>
          <w:bCs/>
          <w:color w:val="auto"/>
          <w:sz w:val="21"/>
          <w:szCs w:val="21"/>
          <w:highlight w:val="none"/>
          <w:lang w:val="en-US" w:eastAsia="zh-CN"/>
        </w:rPr>
        <w:t>单价</w:t>
      </w:r>
      <w:r>
        <w:rPr>
          <w:rFonts w:hint="eastAsia" w:ascii="宋体" w:hAnsi="宋体" w:eastAsia="宋体" w:cs="宋体"/>
          <w:b/>
          <w:bCs/>
          <w:color w:val="auto"/>
          <w:sz w:val="21"/>
          <w:szCs w:val="21"/>
          <w:highlight w:val="none"/>
          <w:lang w:val="en-US" w:eastAsia="zh-CN"/>
        </w:rPr>
        <w:t>为人民币</w:t>
      </w:r>
      <w:r>
        <w:rPr>
          <w:rFonts w:hint="eastAsia" w:ascii="宋体" w:hAnsi="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元/人；</w:t>
      </w:r>
    </w:p>
    <w:p w14:paraId="7C3DA986">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firstLine="422" w:firstLineChars="20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③未婚女士全部体检项目费用</w:t>
      </w:r>
      <w:r>
        <w:rPr>
          <w:rFonts w:hint="eastAsia" w:ascii="宋体" w:hAnsi="宋体" w:cs="宋体"/>
          <w:b/>
          <w:bCs/>
          <w:color w:val="auto"/>
          <w:sz w:val="21"/>
          <w:szCs w:val="21"/>
          <w:highlight w:val="none"/>
          <w:lang w:val="en-US" w:eastAsia="zh-CN"/>
        </w:rPr>
        <w:t>单价</w:t>
      </w:r>
      <w:r>
        <w:rPr>
          <w:rFonts w:hint="eastAsia" w:ascii="宋体" w:hAnsi="宋体" w:eastAsia="宋体" w:cs="宋体"/>
          <w:b/>
          <w:bCs/>
          <w:color w:val="auto"/>
          <w:sz w:val="21"/>
          <w:szCs w:val="21"/>
          <w:highlight w:val="none"/>
          <w:lang w:val="en-US" w:eastAsia="zh-CN"/>
        </w:rPr>
        <w:t>为人民币</w:t>
      </w:r>
      <w:r>
        <w:rPr>
          <w:rFonts w:hint="eastAsia" w:ascii="宋体" w:hAnsi="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元/人。</w:t>
      </w:r>
    </w:p>
    <w:p w14:paraId="2F38A3ED">
      <w:pPr>
        <w:pStyle w:val="8"/>
        <w:keepNext w:val="0"/>
        <w:keepLines w:val="0"/>
        <w:pageBreakBefore w:val="0"/>
        <w:widowControl/>
        <w:numPr>
          <w:ilvl w:val="0"/>
          <w:numId w:val="0"/>
        </w:numPr>
        <w:shd w:val="clear"/>
        <w:kinsoku/>
        <w:wordWrap/>
        <w:overflowPunct/>
        <w:topLinePunct w:val="0"/>
        <w:bidi w:val="0"/>
        <w:adjustRightInd w:val="0"/>
        <w:snapToGrid w:val="0"/>
        <w:spacing w:line="360" w:lineRule="auto"/>
        <w:ind w:left="0" w:firstLine="422" w:firstLineChars="20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合同中的全部费用包括但不限于：体检服务所发生的劳务费用、管理费用、运输费用、人员工资、材料费用、水电费用、风险费用、招标代理服务费、利润、税金以及本次服务的体检项目所需的一次性消耗品、检查仪器、人员、运输等所有费用等在内的一切费用。</w:t>
      </w:r>
    </w:p>
    <w:p w14:paraId="33F96B84">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422" w:firstLineChars="200"/>
        <w:rPr>
          <w:rFonts w:hint="eastAsia" w:ascii="宋体" w:hAnsi="宋体" w:eastAsia="宋体" w:cs="宋体"/>
          <w:b/>
          <w:bCs w:val="0"/>
          <w:color w:val="auto"/>
          <w:sz w:val="21"/>
          <w:szCs w:val="21"/>
          <w:highlight w:val="none"/>
          <w:lang w:eastAsia="zh-CN"/>
        </w:rPr>
      </w:pPr>
      <w:r>
        <w:rPr>
          <w:rFonts w:hint="eastAsia" w:ascii="宋体" w:hAnsi="宋体" w:eastAsia="宋体" w:cs="宋体"/>
          <w:b/>
          <w:bCs w:val="0"/>
          <w:color w:val="auto"/>
          <w:sz w:val="21"/>
          <w:szCs w:val="21"/>
          <w:highlight w:val="none"/>
        </w:rPr>
        <w:t xml:space="preserve">第十一条  </w:t>
      </w:r>
      <w:r>
        <w:rPr>
          <w:rFonts w:hint="eastAsia" w:ascii="宋体" w:hAnsi="宋体" w:eastAsia="宋体" w:cs="宋体"/>
          <w:b w:val="0"/>
          <w:bCs/>
          <w:color w:val="auto"/>
          <w:sz w:val="21"/>
          <w:szCs w:val="21"/>
          <w:highlight w:val="none"/>
        </w:rPr>
        <w:t>付款方式</w:t>
      </w:r>
      <w:r>
        <w:rPr>
          <w:rFonts w:hint="eastAsia" w:ascii="宋体" w:hAnsi="宋体" w:eastAsia="宋体" w:cs="宋体"/>
          <w:b w:val="0"/>
          <w:bCs/>
          <w:color w:val="auto"/>
          <w:sz w:val="21"/>
          <w:szCs w:val="21"/>
          <w:highlight w:val="none"/>
          <w:lang w:eastAsia="zh-CN"/>
        </w:rPr>
        <w:t>及结算方式</w:t>
      </w:r>
    </w:p>
    <w:p w14:paraId="6CE0ADDC">
      <w:pPr>
        <w:pStyle w:val="10"/>
        <w:keepNext w:val="0"/>
        <w:keepLines w:val="0"/>
        <w:pageBreakBefore w:val="0"/>
        <w:shd w:val="clear"/>
        <w:kinsoku/>
        <w:wordWrap/>
        <w:overflowPunct/>
        <w:topLinePunct w:val="0"/>
        <w:bidi w:val="0"/>
        <w:adjustRightInd w:val="0"/>
        <w:snapToGrid w:val="0"/>
        <w:spacing w:line="360" w:lineRule="auto"/>
        <w:ind w:left="0" w:firstLine="422" w:firstLineChars="20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1.付款方式：</w:t>
      </w:r>
    </w:p>
    <w:p w14:paraId="0DB284A5">
      <w:pPr>
        <w:pStyle w:val="10"/>
        <w:keepNext w:val="0"/>
        <w:keepLines w:val="0"/>
        <w:pageBreakBefore w:val="0"/>
        <w:shd w:val="clear"/>
        <w:kinsoku/>
        <w:wordWrap/>
        <w:overflowPunct/>
        <w:topLinePunct w:val="0"/>
        <w:bidi w:val="0"/>
        <w:adjustRightInd w:val="0"/>
        <w:snapToGrid w:val="0"/>
        <w:spacing w:line="360" w:lineRule="auto"/>
        <w:ind w:left="0" w:firstLine="422" w:firstLineChars="20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①</w:t>
      </w:r>
      <w:r>
        <w:rPr>
          <w:rFonts w:hint="eastAsia" w:ascii="宋体" w:hAnsi="宋体" w:eastAsia="宋体" w:cs="宋体"/>
          <w:b/>
          <w:bCs/>
          <w:color w:val="auto"/>
          <w:sz w:val="21"/>
          <w:szCs w:val="21"/>
          <w:highlight w:val="none"/>
          <w:lang w:val="en-US" w:eastAsia="zh-CN"/>
        </w:rPr>
        <w:t>如乙方为非中小企业时：</w:t>
      </w:r>
    </w:p>
    <w:p w14:paraId="02C8744F">
      <w:pPr>
        <w:pStyle w:val="10"/>
        <w:keepNext w:val="0"/>
        <w:keepLines w:val="0"/>
        <w:pageBreakBefore w:val="0"/>
        <w:shd w:val="clear"/>
        <w:kinsoku/>
        <w:wordWrap/>
        <w:overflowPunct/>
        <w:topLinePunct w:val="0"/>
        <w:bidi w:val="0"/>
        <w:adjustRightInd w:val="0"/>
        <w:snapToGrid w:val="0"/>
        <w:spacing w:line="360" w:lineRule="auto"/>
        <w:ind w:left="0"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甲方全部体检人员</w:t>
      </w:r>
      <w:r>
        <w:rPr>
          <w:rFonts w:hint="eastAsia" w:ascii="宋体" w:hAnsi="宋体" w:eastAsia="宋体" w:cs="宋体"/>
          <w:b/>
          <w:bCs/>
          <w:color w:val="auto"/>
          <w:sz w:val="21"/>
          <w:szCs w:val="21"/>
          <w:highlight w:val="none"/>
        </w:rPr>
        <w:t>体检完毕之日起</w:t>
      </w:r>
      <w:r>
        <w:rPr>
          <w:rFonts w:hint="eastAsia" w:ascii="宋体" w:hAnsi="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rPr>
        <w:t>个工作日内，</w:t>
      </w:r>
      <w:r>
        <w:rPr>
          <w:rFonts w:hint="eastAsia" w:ascii="宋体" w:hAnsi="宋体" w:eastAsia="宋体" w:cs="宋体"/>
          <w:b/>
          <w:bCs/>
          <w:color w:val="auto"/>
          <w:sz w:val="21"/>
          <w:szCs w:val="21"/>
          <w:highlight w:val="none"/>
          <w:lang w:eastAsia="zh-CN"/>
        </w:rPr>
        <w:t>乙方</w:t>
      </w:r>
      <w:r>
        <w:rPr>
          <w:rFonts w:hint="eastAsia" w:ascii="宋体" w:hAnsi="宋体" w:eastAsia="宋体" w:cs="宋体"/>
          <w:b/>
          <w:bCs/>
          <w:color w:val="auto"/>
          <w:sz w:val="21"/>
          <w:szCs w:val="21"/>
          <w:highlight w:val="none"/>
        </w:rPr>
        <w:t>向</w:t>
      </w:r>
      <w:r>
        <w:rPr>
          <w:rFonts w:hint="eastAsia" w:ascii="宋体" w:hAnsi="宋体" w:eastAsia="宋体" w:cs="宋体"/>
          <w:b/>
          <w:bCs/>
          <w:color w:val="auto"/>
          <w:sz w:val="21"/>
          <w:szCs w:val="21"/>
          <w:highlight w:val="none"/>
          <w:lang w:eastAsia="zh-CN"/>
        </w:rPr>
        <w:t>甲方</w:t>
      </w:r>
      <w:r>
        <w:rPr>
          <w:rFonts w:hint="eastAsia" w:ascii="宋体" w:hAnsi="宋体" w:eastAsia="宋体" w:cs="宋体"/>
          <w:b/>
          <w:bCs/>
          <w:color w:val="auto"/>
          <w:sz w:val="21"/>
          <w:szCs w:val="21"/>
          <w:highlight w:val="none"/>
        </w:rPr>
        <w:t>提供</w:t>
      </w:r>
      <w:r>
        <w:rPr>
          <w:rFonts w:hint="eastAsia" w:ascii="宋体" w:hAnsi="宋体" w:eastAsia="宋体" w:cs="宋体"/>
          <w:b/>
          <w:bCs/>
          <w:color w:val="auto"/>
          <w:sz w:val="21"/>
          <w:szCs w:val="21"/>
          <w:highlight w:val="none"/>
          <w:lang w:eastAsia="zh-CN"/>
        </w:rPr>
        <w:t>已</w:t>
      </w:r>
      <w:r>
        <w:rPr>
          <w:rFonts w:hint="eastAsia" w:ascii="宋体" w:hAnsi="宋体" w:eastAsia="宋体" w:cs="宋体"/>
          <w:b/>
          <w:bCs/>
          <w:color w:val="auto"/>
          <w:sz w:val="21"/>
          <w:szCs w:val="21"/>
          <w:highlight w:val="none"/>
        </w:rPr>
        <w:t>完成的体检人数结算表及整体体检情况报告</w:t>
      </w:r>
      <w:r>
        <w:rPr>
          <w:rFonts w:hint="eastAsia" w:ascii="宋体" w:hAnsi="宋体" w:eastAsia="宋体" w:cs="宋体"/>
          <w:b/>
          <w:bCs/>
          <w:color w:val="auto"/>
          <w:sz w:val="21"/>
          <w:szCs w:val="21"/>
          <w:highlight w:val="none"/>
          <w:lang w:eastAsia="zh-CN"/>
        </w:rPr>
        <w:t>等相关资料</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eastAsia="zh-CN"/>
        </w:rPr>
        <w:t>待甲方</w:t>
      </w:r>
      <w:r>
        <w:rPr>
          <w:rFonts w:hint="eastAsia" w:ascii="宋体" w:hAnsi="宋体" w:eastAsia="宋体" w:cs="宋体"/>
          <w:b/>
          <w:bCs/>
          <w:color w:val="auto"/>
          <w:sz w:val="21"/>
          <w:szCs w:val="21"/>
          <w:highlight w:val="none"/>
        </w:rPr>
        <w:t>审核确认后</w:t>
      </w:r>
      <w:r>
        <w:rPr>
          <w:rFonts w:hint="eastAsia" w:ascii="宋体" w:hAnsi="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rPr>
        <w:t>日内一次性向</w:t>
      </w:r>
      <w:r>
        <w:rPr>
          <w:rFonts w:hint="eastAsia" w:ascii="宋体" w:hAnsi="宋体" w:eastAsia="宋体" w:cs="宋体"/>
          <w:b/>
          <w:bCs/>
          <w:color w:val="auto"/>
          <w:sz w:val="21"/>
          <w:szCs w:val="21"/>
          <w:highlight w:val="none"/>
          <w:lang w:eastAsia="zh-CN"/>
        </w:rPr>
        <w:t>乙方</w:t>
      </w:r>
      <w:r>
        <w:rPr>
          <w:rFonts w:hint="eastAsia" w:ascii="宋体" w:hAnsi="宋体" w:eastAsia="宋体" w:cs="宋体"/>
          <w:b/>
          <w:bCs/>
          <w:color w:val="auto"/>
          <w:sz w:val="21"/>
          <w:szCs w:val="21"/>
          <w:highlight w:val="none"/>
        </w:rPr>
        <w:t>办理费用的支付手续。</w:t>
      </w:r>
    </w:p>
    <w:p w14:paraId="1F431F32">
      <w:pPr>
        <w:pStyle w:val="10"/>
        <w:keepNext w:val="0"/>
        <w:keepLines w:val="0"/>
        <w:pageBreakBefore w:val="0"/>
        <w:shd w:val="clear"/>
        <w:kinsoku/>
        <w:wordWrap/>
        <w:overflowPunct/>
        <w:topLinePunct w:val="0"/>
        <w:bidi w:val="0"/>
        <w:adjustRightInd w:val="0"/>
        <w:snapToGrid w:val="0"/>
        <w:spacing w:line="360" w:lineRule="auto"/>
        <w:ind w:left="0"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乙方</w:t>
      </w:r>
      <w:r>
        <w:rPr>
          <w:rFonts w:hint="eastAsia" w:ascii="宋体" w:hAnsi="宋体" w:eastAsia="宋体" w:cs="宋体"/>
          <w:b/>
          <w:bCs/>
          <w:color w:val="auto"/>
          <w:sz w:val="21"/>
          <w:szCs w:val="21"/>
          <w:highlight w:val="none"/>
        </w:rPr>
        <w:t>须在</w:t>
      </w:r>
      <w:r>
        <w:rPr>
          <w:rFonts w:hint="eastAsia" w:ascii="宋体" w:hAnsi="宋体" w:eastAsia="宋体" w:cs="宋体"/>
          <w:b/>
          <w:bCs/>
          <w:color w:val="auto"/>
          <w:sz w:val="21"/>
          <w:szCs w:val="21"/>
          <w:highlight w:val="none"/>
          <w:lang w:eastAsia="zh-CN"/>
        </w:rPr>
        <w:t>甲方</w:t>
      </w:r>
      <w:r>
        <w:rPr>
          <w:rFonts w:hint="eastAsia" w:ascii="宋体" w:hAnsi="宋体" w:eastAsia="宋体" w:cs="宋体"/>
          <w:b/>
          <w:bCs/>
          <w:color w:val="auto"/>
          <w:sz w:val="21"/>
          <w:szCs w:val="21"/>
          <w:highlight w:val="none"/>
        </w:rPr>
        <w:t>办理付款手续之前</w:t>
      </w:r>
      <w:r>
        <w:rPr>
          <w:rFonts w:hint="eastAsia" w:ascii="宋体" w:hAnsi="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rPr>
        <w:t>个工作日内，提供等额的正式发票给</w:t>
      </w:r>
      <w:r>
        <w:rPr>
          <w:rFonts w:hint="eastAsia" w:ascii="宋体" w:hAnsi="宋体" w:eastAsia="宋体" w:cs="宋体"/>
          <w:b/>
          <w:bCs/>
          <w:color w:val="auto"/>
          <w:sz w:val="21"/>
          <w:szCs w:val="21"/>
          <w:highlight w:val="none"/>
          <w:lang w:eastAsia="zh-CN"/>
        </w:rPr>
        <w:t>甲方</w:t>
      </w:r>
      <w:r>
        <w:rPr>
          <w:rFonts w:hint="eastAsia" w:ascii="宋体" w:hAnsi="宋体" w:eastAsia="宋体" w:cs="宋体"/>
          <w:b/>
          <w:bCs/>
          <w:color w:val="auto"/>
          <w:sz w:val="21"/>
          <w:szCs w:val="21"/>
          <w:highlight w:val="none"/>
        </w:rPr>
        <w:t>，以便</w:t>
      </w:r>
      <w:r>
        <w:rPr>
          <w:rFonts w:hint="eastAsia" w:ascii="宋体" w:hAnsi="宋体" w:eastAsia="宋体" w:cs="宋体"/>
          <w:b/>
          <w:bCs/>
          <w:color w:val="auto"/>
          <w:sz w:val="21"/>
          <w:szCs w:val="21"/>
          <w:highlight w:val="none"/>
          <w:lang w:eastAsia="zh-CN"/>
        </w:rPr>
        <w:t>甲方</w:t>
      </w:r>
      <w:r>
        <w:rPr>
          <w:rFonts w:hint="eastAsia" w:ascii="宋体" w:hAnsi="宋体" w:eastAsia="宋体" w:cs="宋体"/>
          <w:b/>
          <w:bCs/>
          <w:color w:val="auto"/>
          <w:sz w:val="21"/>
          <w:szCs w:val="21"/>
          <w:highlight w:val="none"/>
        </w:rPr>
        <w:t>及时办理支付手续。</w:t>
      </w:r>
    </w:p>
    <w:p w14:paraId="2CC9E28F">
      <w:pPr>
        <w:pStyle w:val="10"/>
        <w:keepNext w:val="0"/>
        <w:keepLines w:val="0"/>
        <w:pageBreakBefore w:val="0"/>
        <w:shd w:val="clear"/>
        <w:kinsoku/>
        <w:wordWrap/>
        <w:overflowPunct/>
        <w:topLinePunct w:val="0"/>
        <w:bidi w:val="0"/>
        <w:adjustRightInd w:val="0"/>
        <w:snapToGrid w:val="0"/>
        <w:spacing w:line="360" w:lineRule="auto"/>
        <w:ind w:left="0" w:firstLine="422" w:firstLineChars="20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②</w:t>
      </w:r>
      <w:r>
        <w:rPr>
          <w:rFonts w:hint="eastAsia" w:ascii="宋体" w:hAnsi="宋体" w:eastAsia="宋体" w:cs="宋体"/>
          <w:b/>
          <w:bCs/>
          <w:color w:val="auto"/>
          <w:sz w:val="21"/>
          <w:szCs w:val="21"/>
          <w:highlight w:val="none"/>
          <w:lang w:val="en-US" w:eastAsia="zh-CN"/>
        </w:rPr>
        <w:t>如乙方为中小企业时：</w:t>
      </w:r>
    </w:p>
    <w:p w14:paraId="711D37AD">
      <w:pPr>
        <w:pStyle w:val="10"/>
        <w:keepNext w:val="0"/>
        <w:keepLines w:val="0"/>
        <w:pageBreakBefore w:val="0"/>
        <w:shd w:val="clear"/>
        <w:kinsoku/>
        <w:wordWrap/>
        <w:overflowPunct/>
        <w:topLinePunct w:val="0"/>
        <w:bidi w:val="0"/>
        <w:adjustRightInd w:val="0"/>
        <w:snapToGrid w:val="0"/>
        <w:spacing w:line="360" w:lineRule="auto"/>
        <w:ind w:left="0" w:firstLine="422" w:firstLineChars="20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乙方为中小型企业（需提供中小型企业说明函），支付方式如下：</w:t>
      </w:r>
    </w:p>
    <w:p w14:paraId="6F1F36EB">
      <w:pPr>
        <w:pStyle w:val="10"/>
        <w:keepNext w:val="0"/>
        <w:keepLines w:val="0"/>
        <w:pageBreakBefore w:val="0"/>
        <w:shd w:val="clear"/>
        <w:kinsoku/>
        <w:wordWrap/>
        <w:overflowPunct/>
        <w:topLinePunct w:val="0"/>
        <w:bidi w:val="0"/>
        <w:adjustRightInd w:val="0"/>
        <w:snapToGrid w:val="0"/>
        <w:spacing w:line="360" w:lineRule="auto"/>
        <w:ind w:left="0" w:firstLine="422" w:firstLineChars="20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1）合同签订后30天内，甲方向乙方支付合同总价款40%作为预付款，乙方需提供相关收款依据。</w:t>
      </w:r>
    </w:p>
    <w:p w14:paraId="6D8130B5">
      <w:pPr>
        <w:pStyle w:val="10"/>
        <w:keepNext w:val="0"/>
        <w:keepLines w:val="0"/>
        <w:pageBreakBefore w:val="0"/>
        <w:shd w:val="clear"/>
        <w:kinsoku/>
        <w:wordWrap/>
        <w:overflowPunct/>
        <w:topLinePunct w:val="0"/>
        <w:bidi w:val="0"/>
        <w:adjustRightInd w:val="0"/>
        <w:snapToGrid w:val="0"/>
        <w:spacing w:line="360" w:lineRule="auto"/>
        <w:ind w:left="0"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2）甲方全部体检人员体检完毕之日起</w:t>
      </w:r>
      <w:r>
        <w:rPr>
          <w:rFonts w:hint="eastAsia" w:ascii="宋体" w:hAnsi="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lang w:val="en-US" w:eastAsia="zh-CN"/>
        </w:rPr>
        <w:t>个工作日，</w:t>
      </w:r>
      <w:r>
        <w:rPr>
          <w:rFonts w:hint="eastAsia" w:ascii="宋体" w:hAnsi="宋体" w:eastAsia="宋体" w:cs="宋体"/>
          <w:b/>
          <w:bCs/>
          <w:color w:val="auto"/>
          <w:sz w:val="21"/>
          <w:szCs w:val="21"/>
          <w:highlight w:val="none"/>
          <w:lang w:eastAsia="zh-CN"/>
        </w:rPr>
        <w:t>乙方</w:t>
      </w:r>
      <w:r>
        <w:rPr>
          <w:rFonts w:hint="eastAsia" w:ascii="宋体" w:hAnsi="宋体" w:eastAsia="宋体" w:cs="宋体"/>
          <w:b/>
          <w:bCs/>
          <w:color w:val="auto"/>
          <w:sz w:val="21"/>
          <w:szCs w:val="21"/>
          <w:highlight w:val="none"/>
        </w:rPr>
        <w:t>向</w:t>
      </w:r>
      <w:r>
        <w:rPr>
          <w:rFonts w:hint="eastAsia" w:ascii="宋体" w:hAnsi="宋体" w:eastAsia="宋体" w:cs="宋体"/>
          <w:b/>
          <w:bCs/>
          <w:color w:val="auto"/>
          <w:sz w:val="21"/>
          <w:szCs w:val="21"/>
          <w:highlight w:val="none"/>
          <w:lang w:eastAsia="zh-CN"/>
        </w:rPr>
        <w:t>甲方</w:t>
      </w:r>
      <w:r>
        <w:rPr>
          <w:rFonts w:hint="eastAsia" w:ascii="宋体" w:hAnsi="宋体" w:eastAsia="宋体" w:cs="宋体"/>
          <w:b/>
          <w:bCs/>
          <w:color w:val="auto"/>
          <w:sz w:val="21"/>
          <w:szCs w:val="21"/>
          <w:highlight w:val="none"/>
        </w:rPr>
        <w:t>提供</w:t>
      </w:r>
      <w:r>
        <w:rPr>
          <w:rFonts w:hint="eastAsia" w:ascii="宋体" w:hAnsi="宋体" w:eastAsia="宋体" w:cs="宋体"/>
          <w:b/>
          <w:bCs/>
          <w:color w:val="auto"/>
          <w:sz w:val="21"/>
          <w:szCs w:val="21"/>
          <w:highlight w:val="none"/>
          <w:lang w:eastAsia="zh-CN"/>
        </w:rPr>
        <w:t>已</w:t>
      </w:r>
      <w:r>
        <w:rPr>
          <w:rFonts w:hint="eastAsia" w:ascii="宋体" w:hAnsi="宋体" w:eastAsia="宋体" w:cs="宋体"/>
          <w:b/>
          <w:bCs/>
          <w:color w:val="auto"/>
          <w:sz w:val="21"/>
          <w:szCs w:val="21"/>
          <w:highlight w:val="none"/>
        </w:rPr>
        <w:t>完成的体检人数结算表及整体体检情况报告</w:t>
      </w:r>
      <w:r>
        <w:rPr>
          <w:rFonts w:hint="eastAsia" w:ascii="宋体" w:hAnsi="宋体" w:eastAsia="宋体" w:cs="宋体"/>
          <w:b/>
          <w:bCs/>
          <w:color w:val="auto"/>
          <w:sz w:val="21"/>
          <w:szCs w:val="21"/>
          <w:highlight w:val="none"/>
          <w:lang w:eastAsia="zh-CN"/>
        </w:rPr>
        <w:t>等相关资料</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eastAsia="zh-CN"/>
        </w:rPr>
        <w:t>待甲方</w:t>
      </w:r>
      <w:r>
        <w:rPr>
          <w:rFonts w:hint="eastAsia" w:ascii="宋体" w:hAnsi="宋体" w:eastAsia="宋体" w:cs="宋体"/>
          <w:b/>
          <w:bCs/>
          <w:color w:val="auto"/>
          <w:sz w:val="21"/>
          <w:szCs w:val="21"/>
          <w:highlight w:val="none"/>
        </w:rPr>
        <w:t>审核确认后</w:t>
      </w:r>
      <w:r>
        <w:rPr>
          <w:rFonts w:hint="eastAsia" w:ascii="宋体" w:hAnsi="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rPr>
        <w:t>日内向</w:t>
      </w:r>
      <w:r>
        <w:rPr>
          <w:rFonts w:hint="eastAsia" w:ascii="宋体" w:hAnsi="宋体" w:eastAsia="宋体" w:cs="宋体"/>
          <w:b/>
          <w:bCs/>
          <w:color w:val="auto"/>
          <w:sz w:val="21"/>
          <w:szCs w:val="21"/>
          <w:highlight w:val="none"/>
          <w:lang w:eastAsia="zh-CN"/>
        </w:rPr>
        <w:t>乙方</w:t>
      </w:r>
      <w:r>
        <w:rPr>
          <w:rFonts w:hint="eastAsia" w:ascii="宋体" w:hAnsi="宋体" w:eastAsia="宋体" w:cs="宋体"/>
          <w:b/>
          <w:bCs/>
          <w:color w:val="auto"/>
          <w:sz w:val="21"/>
          <w:szCs w:val="21"/>
          <w:highlight w:val="none"/>
          <w:lang w:val="en-US" w:eastAsia="zh-CN"/>
        </w:rPr>
        <w:t>支付合同总价款的60%</w:t>
      </w:r>
      <w:r>
        <w:rPr>
          <w:rFonts w:hint="eastAsia" w:ascii="宋体" w:hAnsi="宋体" w:eastAsia="宋体" w:cs="宋体"/>
          <w:b/>
          <w:bCs/>
          <w:color w:val="auto"/>
          <w:sz w:val="21"/>
          <w:szCs w:val="21"/>
          <w:highlight w:val="none"/>
        </w:rPr>
        <w:t>。</w:t>
      </w:r>
    </w:p>
    <w:p w14:paraId="48EF1810">
      <w:pPr>
        <w:pStyle w:val="10"/>
        <w:keepNext w:val="0"/>
        <w:keepLines w:val="0"/>
        <w:pageBreakBefore w:val="0"/>
        <w:shd w:val="clear"/>
        <w:kinsoku/>
        <w:wordWrap/>
        <w:overflowPunct/>
        <w:topLinePunct w:val="0"/>
        <w:bidi w:val="0"/>
        <w:adjustRightInd w:val="0"/>
        <w:snapToGrid w:val="0"/>
        <w:spacing w:line="360" w:lineRule="auto"/>
        <w:ind w:left="0" w:firstLine="422" w:firstLineChars="20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eastAsia="zh-CN"/>
        </w:rPr>
        <w:t>乙方</w:t>
      </w:r>
      <w:r>
        <w:rPr>
          <w:rFonts w:hint="eastAsia" w:ascii="宋体" w:hAnsi="宋体" w:eastAsia="宋体" w:cs="宋体"/>
          <w:b/>
          <w:bCs/>
          <w:color w:val="auto"/>
          <w:sz w:val="21"/>
          <w:szCs w:val="21"/>
          <w:highlight w:val="none"/>
        </w:rPr>
        <w:t>须在</w:t>
      </w:r>
      <w:r>
        <w:rPr>
          <w:rFonts w:hint="eastAsia" w:ascii="宋体" w:hAnsi="宋体" w:eastAsia="宋体" w:cs="宋体"/>
          <w:b/>
          <w:bCs/>
          <w:color w:val="auto"/>
          <w:sz w:val="21"/>
          <w:szCs w:val="21"/>
          <w:highlight w:val="none"/>
          <w:lang w:eastAsia="zh-CN"/>
        </w:rPr>
        <w:t>甲方</w:t>
      </w:r>
      <w:r>
        <w:rPr>
          <w:rFonts w:hint="eastAsia" w:ascii="宋体" w:hAnsi="宋体" w:eastAsia="宋体" w:cs="宋体"/>
          <w:b/>
          <w:bCs/>
          <w:color w:val="auto"/>
          <w:sz w:val="21"/>
          <w:szCs w:val="21"/>
          <w:highlight w:val="none"/>
        </w:rPr>
        <w:t>办理付款手续之前</w:t>
      </w:r>
      <w:r>
        <w:rPr>
          <w:rFonts w:hint="eastAsia" w:ascii="宋体" w:hAnsi="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rPr>
        <w:t>个工作日内，提供等额的正式发票给</w:t>
      </w:r>
      <w:r>
        <w:rPr>
          <w:rFonts w:hint="eastAsia" w:ascii="宋体" w:hAnsi="宋体" w:eastAsia="宋体" w:cs="宋体"/>
          <w:b/>
          <w:bCs/>
          <w:color w:val="auto"/>
          <w:sz w:val="21"/>
          <w:szCs w:val="21"/>
          <w:highlight w:val="none"/>
          <w:lang w:eastAsia="zh-CN"/>
        </w:rPr>
        <w:t>甲方</w:t>
      </w:r>
      <w:r>
        <w:rPr>
          <w:rFonts w:hint="eastAsia" w:ascii="宋体" w:hAnsi="宋体" w:eastAsia="宋体" w:cs="宋体"/>
          <w:b/>
          <w:bCs/>
          <w:color w:val="auto"/>
          <w:sz w:val="21"/>
          <w:szCs w:val="21"/>
          <w:highlight w:val="none"/>
        </w:rPr>
        <w:t>，以便</w:t>
      </w:r>
      <w:r>
        <w:rPr>
          <w:rFonts w:hint="eastAsia" w:ascii="宋体" w:hAnsi="宋体" w:eastAsia="宋体" w:cs="宋体"/>
          <w:b/>
          <w:bCs/>
          <w:color w:val="auto"/>
          <w:sz w:val="21"/>
          <w:szCs w:val="21"/>
          <w:highlight w:val="none"/>
          <w:lang w:eastAsia="zh-CN"/>
        </w:rPr>
        <w:t>甲方</w:t>
      </w:r>
      <w:r>
        <w:rPr>
          <w:rFonts w:hint="eastAsia" w:ascii="宋体" w:hAnsi="宋体" w:eastAsia="宋体" w:cs="宋体"/>
          <w:b/>
          <w:bCs/>
          <w:color w:val="auto"/>
          <w:sz w:val="21"/>
          <w:szCs w:val="21"/>
          <w:highlight w:val="none"/>
        </w:rPr>
        <w:t>及时办理支付手续。</w:t>
      </w:r>
    </w:p>
    <w:p w14:paraId="2D5302B4">
      <w:pPr>
        <w:pStyle w:val="10"/>
        <w:keepNext w:val="0"/>
        <w:keepLines w:val="0"/>
        <w:pageBreakBefore w:val="0"/>
        <w:shd w:val="clear"/>
        <w:kinsoku/>
        <w:wordWrap/>
        <w:overflowPunct/>
        <w:topLinePunct w:val="0"/>
        <w:bidi w:val="0"/>
        <w:adjustRightInd w:val="0"/>
        <w:snapToGrid w:val="0"/>
        <w:spacing w:line="360" w:lineRule="auto"/>
        <w:ind w:left="0"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lang w:eastAsia="zh-CN"/>
        </w:rPr>
        <w:t>乙方</w:t>
      </w:r>
      <w:r>
        <w:rPr>
          <w:rFonts w:hint="eastAsia" w:ascii="宋体" w:hAnsi="宋体" w:eastAsia="宋体" w:cs="宋体"/>
          <w:b/>
          <w:bCs/>
          <w:color w:val="auto"/>
          <w:sz w:val="21"/>
          <w:szCs w:val="21"/>
          <w:highlight w:val="none"/>
        </w:rPr>
        <w:t>凭以下有效文件与</w:t>
      </w:r>
      <w:r>
        <w:rPr>
          <w:rFonts w:hint="eastAsia" w:ascii="宋体" w:hAnsi="宋体" w:eastAsia="宋体" w:cs="宋体"/>
          <w:b/>
          <w:bCs/>
          <w:color w:val="auto"/>
          <w:sz w:val="21"/>
          <w:szCs w:val="21"/>
          <w:highlight w:val="none"/>
          <w:lang w:eastAsia="zh-CN"/>
        </w:rPr>
        <w:t>甲方进行</w:t>
      </w:r>
      <w:r>
        <w:rPr>
          <w:rFonts w:hint="eastAsia" w:ascii="宋体" w:hAnsi="宋体" w:eastAsia="宋体" w:cs="宋体"/>
          <w:b/>
          <w:bCs/>
          <w:color w:val="auto"/>
          <w:sz w:val="21"/>
          <w:szCs w:val="21"/>
          <w:highlight w:val="none"/>
        </w:rPr>
        <w:t>结算：</w:t>
      </w:r>
    </w:p>
    <w:p w14:paraId="68A71EB7">
      <w:pPr>
        <w:pStyle w:val="10"/>
        <w:keepNext w:val="0"/>
        <w:keepLines w:val="0"/>
        <w:pageBreakBefore w:val="0"/>
        <w:shd w:val="clear"/>
        <w:kinsoku/>
        <w:wordWrap/>
        <w:overflowPunct/>
        <w:topLinePunct w:val="0"/>
        <w:bidi w:val="0"/>
        <w:adjustRightInd w:val="0"/>
        <w:snapToGrid w:val="0"/>
        <w:spacing w:line="360" w:lineRule="auto"/>
        <w:ind w:left="0"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①</w:t>
      </w:r>
      <w:r>
        <w:rPr>
          <w:rFonts w:hint="eastAsia" w:ascii="宋体" w:hAnsi="宋体" w:eastAsia="宋体" w:cs="宋体"/>
          <w:b/>
          <w:bCs/>
          <w:color w:val="auto"/>
          <w:sz w:val="21"/>
          <w:szCs w:val="21"/>
          <w:highlight w:val="none"/>
          <w:lang w:eastAsia="zh-CN"/>
        </w:rPr>
        <w:t>甲乙双方签订的</w:t>
      </w:r>
      <w:r>
        <w:rPr>
          <w:rFonts w:hint="eastAsia" w:ascii="宋体" w:hAnsi="宋体" w:eastAsia="宋体" w:cs="宋体"/>
          <w:b/>
          <w:bCs/>
          <w:color w:val="auto"/>
          <w:sz w:val="21"/>
          <w:szCs w:val="21"/>
          <w:highlight w:val="none"/>
        </w:rPr>
        <w:t>合同；</w:t>
      </w:r>
    </w:p>
    <w:p w14:paraId="2E6B6B0D">
      <w:pPr>
        <w:pStyle w:val="10"/>
        <w:keepNext w:val="0"/>
        <w:keepLines w:val="0"/>
        <w:pageBreakBefore w:val="0"/>
        <w:shd w:val="clear"/>
        <w:kinsoku/>
        <w:wordWrap/>
        <w:overflowPunct/>
        <w:topLinePunct w:val="0"/>
        <w:bidi w:val="0"/>
        <w:adjustRightInd w:val="0"/>
        <w:snapToGrid w:val="0"/>
        <w:spacing w:line="360" w:lineRule="auto"/>
        <w:ind w:left="0"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②</w:t>
      </w:r>
      <w:r>
        <w:rPr>
          <w:rFonts w:hint="eastAsia" w:ascii="宋体" w:hAnsi="宋体" w:eastAsia="宋体" w:cs="宋体"/>
          <w:b/>
          <w:bCs/>
          <w:color w:val="auto"/>
          <w:sz w:val="21"/>
          <w:szCs w:val="21"/>
          <w:highlight w:val="none"/>
          <w:lang w:eastAsia="zh-CN"/>
        </w:rPr>
        <w:t>乙方</w:t>
      </w:r>
      <w:r>
        <w:rPr>
          <w:rFonts w:hint="eastAsia" w:ascii="宋体" w:hAnsi="宋体" w:eastAsia="宋体" w:cs="宋体"/>
          <w:b/>
          <w:bCs/>
          <w:color w:val="auto"/>
          <w:sz w:val="21"/>
          <w:szCs w:val="21"/>
          <w:highlight w:val="none"/>
        </w:rPr>
        <w:t>开具的正式发票；</w:t>
      </w:r>
    </w:p>
    <w:p w14:paraId="08792A66">
      <w:pPr>
        <w:pStyle w:val="10"/>
        <w:keepNext w:val="0"/>
        <w:keepLines w:val="0"/>
        <w:pageBreakBefore w:val="0"/>
        <w:shd w:val="clear"/>
        <w:kinsoku/>
        <w:wordWrap/>
        <w:overflowPunct/>
        <w:topLinePunct w:val="0"/>
        <w:bidi w:val="0"/>
        <w:adjustRightInd w:val="0"/>
        <w:snapToGrid w:val="0"/>
        <w:spacing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eastAsia="zh-CN"/>
        </w:rPr>
        <w:t>③本项目竞争性磋商文件、答疑文件、乙方的竞争性磋商响应文件、成交</w:t>
      </w:r>
      <w:r>
        <w:rPr>
          <w:rFonts w:hint="eastAsia" w:ascii="宋体" w:hAnsi="宋体" w:eastAsia="宋体" w:cs="宋体"/>
          <w:b/>
          <w:bCs/>
          <w:color w:val="auto"/>
          <w:sz w:val="21"/>
          <w:szCs w:val="21"/>
          <w:highlight w:val="none"/>
        </w:rPr>
        <w:t>通知书</w:t>
      </w:r>
      <w:r>
        <w:rPr>
          <w:rFonts w:hint="eastAsia" w:ascii="宋体" w:hAnsi="宋体" w:eastAsia="宋体" w:cs="宋体"/>
          <w:b/>
          <w:bCs/>
          <w:color w:val="auto"/>
          <w:sz w:val="21"/>
          <w:szCs w:val="21"/>
          <w:highlight w:val="none"/>
          <w:lang w:eastAsia="zh-CN"/>
        </w:rPr>
        <w:t>及相关资料</w:t>
      </w:r>
      <w:r>
        <w:rPr>
          <w:rFonts w:hint="eastAsia" w:ascii="宋体" w:hAnsi="宋体" w:eastAsia="宋体" w:cs="宋体"/>
          <w:b/>
          <w:bCs/>
          <w:color w:val="auto"/>
          <w:sz w:val="21"/>
          <w:szCs w:val="21"/>
          <w:highlight w:val="none"/>
        </w:rPr>
        <w:t>。</w:t>
      </w:r>
    </w:p>
    <w:p w14:paraId="39E20741">
      <w:pPr>
        <w:pStyle w:val="8"/>
        <w:keepNext w:val="0"/>
        <w:keepLines w:val="0"/>
        <w:pageBreakBefore w:val="0"/>
        <w:numPr>
          <w:ilvl w:val="0"/>
          <w:numId w:val="1"/>
        </w:numPr>
        <w:shd w:val="clear"/>
        <w:tabs>
          <w:tab w:val="left" w:pos="840"/>
        </w:tabs>
        <w:kinsoku/>
        <w:wordWrap/>
        <w:overflowPunct/>
        <w:topLinePunct w:val="0"/>
        <w:bidi w:val="0"/>
        <w:adjustRightInd w:val="0"/>
        <w:snapToGrid w:val="0"/>
        <w:spacing w:line="360" w:lineRule="auto"/>
        <w:ind w:left="0" w:leftChars="0" w:firstLine="0" w:firstLineChars="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违约责任</w:t>
      </w:r>
    </w:p>
    <w:p w14:paraId="1ACE56C1">
      <w:pPr>
        <w:pStyle w:val="10"/>
        <w:keepNext w:val="0"/>
        <w:keepLines w:val="0"/>
        <w:pageBreakBefore w:val="0"/>
        <w:shd w:val="clear"/>
        <w:kinsoku/>
        <w:wordWrap/>
        <w:overflowPunct/>
        <w:topLinePunct w:val="0"/>
        <w:bidi w:val="0"/>
        <w:adjustRightInd w:val="0"/>
        <w:snapToGrid w:val="0"/>
        <w:spacing w:line="360" w:lineRule="auto"/>
        <w:ind w:left="0" w:firstLine="422" w:firstLineChars="200"/>
        <w:jc w:val="lef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第十二条</w:t>
      </w:r>
      <w:r>
        <w:rPr>
          <w:rFonts w:hint="eastAsia" w:ascii="宋体" w:hAnsi="宋体" w:eastAsia="宋体" w:cs="宋体"/>
          <w:color w:val="auto"/>
          <w:sz w:val="21"/>
          <w:szCs w:val="21"/>
          <w:highlight w:val="none"/>
        </w:rPr>
        <w:t xml:space="preserve">  双方在合同期内，不得单方面无故终止合同，否则按违约处理。违约方须按体检服务费总价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%支付违约金给对方。</w:t>
      </w:r>
    </w:p>
    <w:p w14:paraId="0B4F675C">
      <w:pPr>
        <w:pStyle w:val="10"/>
        <w:keepNext w:val="0"/>
        <w:keepLines w:val="0"/>
        <w:pageBreakBefore w:val="0"/>
        <w:shd w:val="clear"/>
        <w:kinsoku/>
        <w:wordWrap/>
        <w:overflowPunct/>
        <w:topLinePunct w:val="0"/>
        <w:bidi w:val="0"/>
        <w:adjustRightInd w:val="0"/>
        <w:snapToGrid w:val="0"/>
        <w:spacing w:line="360" w:lineRule="auto"/>
        <w:ind w:left="0" w:firstLine="422" w:firstLineChars="200"/>
        <w:jc w:val="lef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第十三条</w:t>
      </w:r>
      <w:r>
        <w:rPr>
          <w:rFonts w:hint="eastAsia" w:ascii="宋体" w:hAnsi="宋体" w:eastAsia="宋体" w:cs="宋体"/>
          <w:color w:val="auto"/>
          <w:sz w:val="21"/>
          <w:szCs w:val="21"/>
          <w:highlight w:val="none"/>
        </w:rPr>
        <w:t xml:space="preserve">  乙方每年在收到甲方体检通知之日起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个工作日内未做好体检准备工作并开始进行体检或乙方违反本合同规定，所提供的服务未达到合同要求的，甲方书面提出整改通知，累计提出达</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次，甲方有权单方面终止合同，由此造成甲方经济损失的，乙方应给予体检服务费总价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的赔偿。</w:t>
      </w:r>
    </w:p>
    <w:p w14:paraId="3570B812">
      <w:pPr>
        <w:pStyle w:val="10"/>
        <w:keepNext w:val="0"/>
        <w:keepLines w:val="0"/>
        <w:pageBreakBefore w:val="0"/>
        <w:shd w:val="clear"/>
        <w:kinsoku/>
        <w:wordWrap/>
        <w:overflowPunct/>
        <w:topLinePunct w:val="0"/>
        <w:bidi w:val="0"/>
        <w:adjustRightInd w:val="0"/>
        <w:snapToGrid w:val="0"/>
        <w:spacing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第十四条</w:t>
      </w:r>
      <w:r>
        <w:rPr>
          <w:rFonts w:hint="eastAsia" w:ascii="宋体" w:hAnsi="宋体" w:eastAsia="宋体" w:cs="宋体"/>
          <w:color w:val="auto"/>
          <w:sz w:val="21"/>
          <w:szCs w:val="21"/>
          <w:highlight w:val="none"/>
        </w:rPr>
        <w:t xml:space="preserve">  甲方应按合同规定的期限向乙方办理支付体检服务费手续，每逾期1天，乙方可向甲方加收体检服务费总价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‰的违约金，违约金累计不得超过体检服务费总价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%。但由于财政资金拨款不到位而导致甲方逾期付款的，甲方不承担违约责任，并且此情况不能成为乙方拖延体检服务的理由。</w:t>
      </w:r>
    </w:p>
    <w:p w14:paraId="475D147B">
      <w:pPr>
        <w:pStyle w:val="8"/>
        <w:keepNext w:val="0"/>
        <w:keepLines w:val="0"/>
        <w:pageBreakBefore w:val="0"/>
        <w:numPr>
          <w:ilvl w:val="0"/>
          <w:numId w:val="0"/>
        </w:numPr>
        <w:shd w:val="clear"/>
        <w:tabs>
          <w:tab w:val="left" w:pos="840"/>
        </w:tabs>
        <w:kinsoku/>
        <w:wordWrap/>
        <w:overflowPunct/>
        <w:topLinePunct w:val="0"/>
        <w:bidi w:val="0"/>
        <w:adjustRightInd w:val="0"/>
        <w:snapToGrid w:val="0"/>
        <w:spacing w:line="360" w:lineRule="auto"/>
        <w:ind w:leftChars="0"/>
        <w:jc w:val="center"/>
        <w:rPr>
          <w:rFonts w:hint="eastAsia" w:ascii="宋体" w:hAnsi="宋体" w:eastAsia="宋体" w:cs="宋体"/>
          <w:b/>
          <w:color w:val="auto"/>
          <w:sz w:val="21"/>
          <w:szCs w:val="21"/>
          <w:highlight w:val="none"/>
        </w:rPr>
      </w:pPr>
      <w:r>
        <w:rPr>
          <w:rFonts w:hint="eastAsia" w:ascii="宋体" w:hAnsi="宋体" w:cs="宋体"/>
          <w:b/>
          <w:color w:val="auto"/>
          <w:sz w:val="28"/>
          <w:szCs w:val="28"/>
          <w:highlight w:val="none"/>
          <w:lang w:val="en-US" w:eastAsia="zh-CN"/>
        </w:rPr>
        <w:t>七、</w:t>
      </w:r>
      <w:r>
        <w:rPr>
          <w:rFonts w:hint="eastAsia" w:ascii="宋体" w:hAnsi="宋体" w:eastAsia="宋体" w:cs="宋体"/>
          <w:b/>
          <w:color w:val="auto"/>
          <w:sz w:val="28"/>
          <w:szCs w:val="28"/>
          <w:highlight w:val="none"/>
        </w:rPr>
        <w:t>不可抗力</w:t>
      </w:r>
    </w:p>
    <w:p w14:paraId="0CA4A024">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第十五条</w:t>
      </w:r>
      <w:r>
        <w:rPr>
          <w:rFonts w:hint="eastAsia" w:ascii="宋体" w:hAnsi="宋体" w:eastAsia="宋体" w:cs="宋体"/>
          <w:color w:val="auto"/>
          <w:sz w:val="21"/>
          <w:szCs w:val="21"/>
          <w:highlight w:val="none"/>
        </w:rPr>
        <w:t xml:space="preserve">  由于不可预见、不可避免、不可克服等不可抗力的原因，一方不能履行合同义务的，应当在不可抗力发生之日起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天内以书面形式通知对方，证明不可抗力事件的存在。</w:t>
      </w:r>
    </w:p>
    <w:p w14:paraId="10F040EF">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第十六条</w:t>
      </w:r>
      <w:r>
        <w:rPr>
          <w:rFonts w:hint="eastAsia" w:ascii="宋体" w:hAnsi="宋体" w:eastAsia="宋体" w:cs="宋体"/>
          <w:color w:val="auto"/>
          <w:sz w:val="21"/>
          <w:szCs w:val="21"/>
          <w:highlight w:val="none"/>
        </w:rPr>
        <w:t xml:space="preserve">  不可抗力事件发生后，甲方和乙方应当积极寻求以合理的方式履行本合同。如不可抗力无法消除，致使合同目的无法实现的，双方均有权解除合同，且均不互相索赔。</w:t>
      </w:r>
    </w:p>
    <w:p w14:paraId="7B768826">
      <w:pPr>
        <w:pStyle w:val="8"/>
        <w:keepNext w:val="0"/>
        <w:keepLines w:val="0"/>
        <w:pageBreakBefore w:val="0"/>
        <w:shd w:val="clear"/>
        <w:tabs>
          <w:tab w:val="left" w:pos="840"/>
        </w:tabs>
        <w:kinsoku/>
        <w:wordWrap/>
        <w:overflowPunct/>
        <w:topLinePunct w:val="0"/>
        <w:bidi w:val="0"/>
        <w:adjustRightInd w:val="0"/>
        <w:snapToGrid w:val="0"/>
        <w:spacing w:line="360" w:lineRule="auto"/>
        <w:ind w:left="0"/>
        <w:jc w:val="center"/>
        <w:rPr>
          <w:rFonts w:hint="eastAsia" w:ascii="宋体" w:hAnsi="宋体" w:eastAsia="宋体" w:cs="宋体"/>
          <w:b/>
          <w:color w:val="auto"/>
          <w:sz w:val="21"/>
          <w:szCs w:val="21"/>
          <w:highlight w:val="none"/>
        </w:rPr>
      </w:pPr>
      <w:r>
        <w:rPr>
          <w:rFonts w:hint="eastAsia" w:ascii="宋体" w:hAnsi="宋体" w:eastAsia="宋体" w:cs="宋体"/>
          <w:b/>
          <w:color w:val="auto"/>
          <w:sz w:val="28"/>
          <w:szCs w:val="28"/>
          <w:highlight w:val="none"/>
        </w:rPr>
        <w:t>八、合同终止</w:t>
      </w:r>
    </w:p>
    <w:p w14:paraId="6588E2DD">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422" w:firstLineChars="200"/>
        <w:rPr>
          <w:rFonts w:hint="eastAsia" w:ascii="宋体" w:hAnsi="宋体" w:eastAsia="宋体" w:cs="宋体"/>
          <w:color w:val="auto"/>
          <w:sz w:val="21"/>
          <w:szCs w:val="21"/>
          <w:highlight w:val="none"/>
          <w:lang w:eastAsia="zh-CN"/>
        </w:rPr>
      </w:pPr>
      <w:r>
        <w:rPr>
          <w:rFonts w:hint="eastAsia" w:ascii="宋体" w:hAnsi="宋体" w:eastAsia="宋体" w:cs="宋体"/>
          <w:b/>
          <w:color w:val="auto"/>
          <w:sz w:val="21"/>
          <w:szCs w:val="21"/>
          <w:highlight w:val="none"/>
        </w:rPr>
        <w:t>第十七条</w:t>
      </w:r>
      <w:r>
        <w:rPr>
          <w:rFonts w:hint="eastAsia" w:ascii="宋体" w:hAnsi="宋体" w:eastAsia="宋体" w:cs="宋体"/>
          <w:color w:val="auto"/>
          <w:sz w:val="21"/>
          <w:szCs w:val="21"/>
          <w:highlight w:val="none"/>
        </w:rPr>
        <w:t xml:space="preserve">  如果一方严重违反合同，并在收到对方违约通知书后在</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天内仍未能改正违约的，另一方可立即终止本合同。违约方应负责由此给履约方造成的损失</w:t>
      </w:r>
      <w:r>
        <w:rPr>
          <w:rFonts w:hint="eastAsia" w:ascii="宋体" w:hAnsi="宋体" w:eastAsia="宋体" w:cs="宋体"/>
          <w:color w:val="auto"/>
          <w:sz w:val="21"/>
          <w:szCs w:val="21"/>
          <w:highlight w:val="none"/>
          <w:lang w:eastAsia="zh-CN"/>
        </w:rPr>
        <w:t>。</w:t>
      </w:r>
    </w:p>
    <w:p w14:paraId="74A9A3F4">
      <w:pPr>
        <w:pStyle w:val="8"/>
        <w:keepNext w:val="0"/>
        <w:keepLines w:val="0"/>
        <w:pageBreakBefore w:val="0"/>
        <w:numPr>
          <w:ilvl w:val="0"/>
          <w:numId w:val="0"/>
        </w:numPr>
        <w:shd w:val="clear"/>
        <w:tabs>
          <w:tab w:val="left" w:pos="840"/>
        </w:tabs>
        <w:kinsoku/>
        <w:wordWrap/>
        <w:overflowPunct/>
        <w:topLinePunct w:val="0"/>
        <w:bidi w:val="0"/>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eastAsia="zh-CN"/>
        </w:rPr>
        <w:t>九、</w:t>
      </w:r>
      <w:r>
        <w:rPr>
          <w:rFonts w:hint="eastAsia" w:ascii="宋体" w:hAnsi="宋体" w:eastAsia="宋体" w:cs="宋体"/>
          <w:b/>
          <w:color w:val="auto"/>
          <w:sz w:val="28"/>
          <w:szCs w:val="28"/>
          <w:highlight w:val="none"/>
        </w:rPr>
        <w:t>争议及解决办法</w:t>
      </w:r>
    </w:p>
    <w:p w14:paraId="7B669DD0">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第十八条</w:t>
      </w:r>
      <w:r>
        <w:rPr>
          <w:rFonts w:hint="eastAsia" w:ascii="宋体" w:hAnsi="宋体" w:eastAsia="宋体" w:cs="宋体"/>
          <w:color w:val="auto"/>
          <w:sz w:val="21"/>
          <w:szCs w:val="21"/>
          <w:highlight w:val="none"/>
        </w:rPr>
        <w:t xml:space="preserve">  本合同发生争议，由双方协商或由政府采购监管部门调解解决，协商或调解不成时按以下第</w:t>
      </w:r>
      <w:r>
        <w:rPr>
          <w:rFonts w:hint="eastAsia" w:ascii="宋体" w:hAnsi="宋体" w:eastAsia="宋体" w:cs="宋体"/>
          <w:color w:val="auto"/>
          <w:sz w:val="21"/>
          <w:szCs w:val="21"/>
          <w:highlight w:val="none"/>
          <w:u w:val="single"/>
          <w:lang w:val="en-US" w:eastAsia="zh-CN"/>
        </w:rPr>
        <w:t>2</w:t>
      </w:r>
      <w:r>
        <w:rPr>
          <w:rFonts w:hint="eastAsia" w:ascii="宋体" w:hAnsi="宋体" w:eastAsia="宋体" w:cs="宋体"/>
          <w:color w:val="auto"/>
          <w:sz w:val="21"/>
          <w:szCs w:val="21"/>
          <w:highlight w:val="none"/>
        </w:rPr>
        <w:t>种方式解决：</w:t>
      </w:r>
    </w:p>
    <w:p w14:paraId="6D256CA2">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735" w:firstLineChars="3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西安市</w:t>
      </w:r>
      <w:r>
        <w:rPr>
          <w:rFonts w:hint="eastAsia" w:ascii="宋体" w:hAnsi="宋体" w:eastAsia="宋体" w:cs="宋体"/>
          <w:color w:val="auto"/>
          <w:sz w:val="21"/>
          <w:szCs w:val="21"/>
          <w:highlight w:val="none"/>
        </w:rPr>
        <w:t>仲裁委员会仲裁；</w:t>
      </w:r>
    </w:p>
    <w:p w14:paraId="4F62A7A5">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735" w:firstLineChars="3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2.向甲方所在地人民法院提起诉讼。</w:t>
      </w:r>
    </w:p>
    <w:p w14:paraId="0B5782BA">
      <w:pPr>
        <w:pStyle w:val="8"/>
        <w:keepNext w:val="0"/>
        <w:keepLines w:val="0"/>
        <w:pageBreakBefore w:val="0"/>
        <w:shd w:val="clear"/>
        <w:tabs>
          <w:tab w:val="left" w:pos="840"/>
        </w:tabs>
        <w:kinsoku/>
        <w:wordWrap/>
        <w:overflowPunct/>
        <w:topLinePunct w:val="0"/>
        <w:bidi w:val="0"/>
        <w:adjustRightInd w:val="0"/>
        <w:snapToGrid w:val="0"/>
        <w:spacing w:line="360" w:lineRule="auto"/>
        <w:ind w:left="0"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第十九条</w:t>
      </w:r>
      <w:r>
        <w:rPr>
          <w:rFonts w:hint="eastAsia" w:ascii="宋体" w:hAnsi="宋体" w:eastAsia="宋体" w:cs="宋体"/>
          <w:color w:val="auto"/>
          <w:sz w:val="21"/>
          <w:szCs w:val="21"/>
          <w:highlight w:val="none"/>
        </w:rPr>
        <w:t xml:space="preserve"> 在仲裁期间，除有争议部分的事项外，合同其他部分仍应继续履行。</w:t>
      </w:r>
    </w:p>
    <w:p w14:paraId="72A68172">
      <w:pPr>
        <w:pStyle w:val="8"/>
        <w:keepNext w:val="0"/>
        <w:keepLines w:val="0"/>
        <w:pageBreakBefore w:val="0"/>
        <w:shd w:val="clear"/>
        <w:tabs>
          <w:tab w:val="left" w:pos="840"/>
        </w:tabs>
        <w:kinsoku/>
        <w:wordWrap/>
        <w:overflowPunct/>
        <w:topLinePunct w:val="0"/>
        <w:bidi w:val="0"/>
        <w:adjustRightInd w:val="0"/>
        <w:snapToGrid w:val="0"/>
        <w:spacing w:line="360" w:lineRule="auto"/>
        <w:ind w:left="0"/>
        <w:jc w:val="center"/>
        <w:rPr>
          <w:rFonts w:hint="eastAsia" w:ascii="宋体" w:hAnsi="宋体" w:eastAsia="宋体" w:cs="宋体"/>
          <w:b/>
          <w:color w:val="auto"/>
          <w:sz w:val="21"/>
          <w:szCs w:val="21"/>
          <w:highlight w:val="none"/>
        </w:rPr>
      </w:pPr>
      <w:r>
        <w:rPr>
          <w:rFonts w:hint="eastAsia" w:ascii="宋体" w:hAnsi="宋体" w:eastAsia="宋体" w:cs="宋体"/>
          <w:b/>
          <w:color w:val="auto"/>
          <w:sz w:val="28"/>
          <w:szCs w:val="28"/>
          <w:highlight w:val="none"/>
        </w:rPr>
        <w:t>十、其   他</w:t>
      </w:r>
    </w:p>
    <w:p w14:paraId="178B0A55">
      <w:pPr>
        <w:pStyle w:val="11"/>
        <w:keepNext w:val="0"/>
        <w:keepLines w:val="0"/>
        <w:pageBreakBefore w:val="0"/>
        <w:shd w:val="clear"/>
        <w:tabs>
          <w:tab w:val="left" w:pos="1080"/>
          <w:tab w:val="left" w:pos="1320"/>
        </w:tabs>
        <w:kinsoku/>
        <w:wordWrap/>
        <w:overflowPunct/>
        <w:topLinePunct w:val="0"/>
        <w:bidi w:val="0"/>
        <w:adjustRightInd w:val="0"/>
        <w:snapToGrid w:val="0"/>
        <w:spacing w:before="0" w:beforeAutospacing="0" w:after="0" w:afterAutospacing="0" w:line="360" w:lineRule="auto"/>
        <w:ind w:left="0" w:firstLine="422"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第二十条</w:t>
      </w:r>
      <w:r>
        <w:rPr>
          <w:rFonts w:hint="eastAsia" w:ascii="宋体" w:hAnsi="宋体" w:eastAsia="宋体" w:cs="宋体"/>
          <w:color w:val="auto"/>
          <w:sz w:val="21"/>
          <w:szCs w:val="21"/>
          <w:highlight w:val="none"/>
        </w:rPr>
        <w:t xml:space="preserve">  本合同所有附件均为合同的有效组成部分，合同与附件之间内容应认为是互为补充和解释，但如有模棱两可或互相矛盾之处,以时间在后的文件为准。 </w:t>
      </w:r>
    </w:p>
    <w:p w14:paraId="0B51CE98">
      <w:pPr>
        <w:pStyle w:val="11"/>
        <w:keepNext w:val="0"/>
        <w:keepLines w:val="0"/>
        <w:pageBreakBefore w:val="0"/>
        <w:shd w:val="clear"/>
        <w:tabs>
          <w:tab w:val="left" w:pos="1080"/>
          <w:tab w:val="left" w:pos="1320"/>
        </w:tabs>
        <w:kinsoku/>
        <w:wordWrap/>
        <w:overflowPunct/>
        <w:topLinePunct w:val="0"/>
        <w:bidi w:val="0"/>
        <w:adjustRightInd w:val="0"/>
        <w:snapToGrid w:val="0"/>
        <w:spacing w:before="0" w:beforeAutospacing="0" w:after="0" w:afterAutospacing="0" w:line="360" w:lineRule="auto"/>
        <w:ind w:left="0" w:firstLine="422"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第二十一条</w:t>
      </w:r>
      <w:r>
        <w:rPr>
          <w:rFonts w:hint="eastAsia" w:ascii="宋体" w:hAnsi="宋体" w:eastAsia="宋体" w:cs="宋体"/>
          <w:color w:val="auto"/>
          <w:sz w:val="21"/>
          <w:szCs w:val="21"/>
          <w:highlight w:val="none"/>
        </w:rPr>
        <w:t xml:space="preserve">  双方可对本合同条款进行补充，以书面形式签订补充协议，补充协议与本合同具有同等法律效力。</w:t>
      </w:r>
    </w:p>
    <w:p w14:paraId="2CFC82C9">
      <w:pPr>
        <w:pStyle w:val="11"/>
        <w:keepNext w:val="0"/>
        <w:keepLines w:val="0"/>
        <w:pageBreakBefore w:val="0"/>
        <w:shd w:val="clear"/>
        <w:tabs>
          <w:tab w:val="left" w:pos="1080"/>
          <w:tab w:val="left" w:pos="1320"/>
        </w:tabs>
        <w:kinsoku/>
        <w:wordWrap/>
        <w:overflowPunct/>
        <w:topLinePunct w:val="0"/>
        <w:bidi w:val="0"/>
        <w:adjustRightInd w:val="0"/>
        <w:snapToGrid w:val="0"/>
        <w:spacing w:before="0" w:beforeAutospacing="0" w:after="0" w:afterAutospacing="0" w:line="360" w:lineRule="auto"/>
        <w:ind w:left="0" w:firstLine="422"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第二十二条</w:t>
      </w:r>
      <w:r>
        <w:rPr>
          <w:rFonts w:hint="eastAsia" w:ascii="宋体" w:hAnsi="宋体" w:eastAsia="宋体" w:cs="宋体"/>
          <w:color w:val="auto"/>
          <w:sz w:val="21"/>
          <w:szCs w:val="21"/>
          <w:highlight w:val="none"/>
        </w:rPr>
        <w:t xml:space="preserve">  本合同一式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份，具有同等效力，甲、乙双方各执</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份，政府采购监管部门一份，采购代理机构一份。合同自双方签字盖章之日起生效。</w:t>
      </w:r>
    </w:p>
    <w:p w14:paraId="531F39D0">
      <w:pPr>
        <w:pStyle w:val="11"/>
        <w:shd w:val="clear"/>
        <w:tabs>
          <w:tab w:val="left" w:pos="1080"/>
          <w:tab w:val="left" w:pos="1320"/>
        </w:tabs>
        <w:adjustRightInd w:val="0"/>
        <w:spacing w:before="0" w:beforeAutospacing="0" w:after="0" w:afterAutospacing="0" w:line="360" w:lineRule="auto"/>
        <w:ind w:firstLine="480" w:firstLineChars="200"/>
        <w:textAlignment w:val="baseline"/>
        <w:rPr>
          <w:rFonts w:hint="eastAsia" w:ascii="宋体" w:hAnsi="宋体" w:eastAsia="宋体"/>
          <w:color w:val="auto"/>
          <w:highlight w:val="none"/>
        </w:rPr>
      </w:pPr>
    </w:p>
    <w:tbl>
      <w:tblPr>
        <w:tblStyle w:val="5"/>
        <w:tblW w:w="0" w:type="auto"/>
        <w:jc w:val="center"/>
        <w:tblLayout w:type="fixed"/>
        <w:tblCellMar>
          <w:top w:w="0" w:type="dxa"/>
          <w:left w:w="108" w:type="dxa"/>
          <w:bottom w:w="0" w:type="dxa"/>
          <w:right w:w="108" w:type="dxa"/>
        </w:tblCellMar>
      </w:tblPr>
      <w:tblGrid>
        <w:gridCol w:w="1390"/>
        <w:gridCol w:w="3146"/>
        <w:gridCol w:w="1390"/>
        <w:gridCol w:w="3146"/>
      </w:tblGrid>
      <w:tr w14:paraId="3926F0D2">
        <w:tblPrEx>
          <w:tblCellMar>
            <w:top w:w="0" w:type="dxa"/>
            <w:left w:w="108" w:type="dxa"/>
            <w:bottom w:w="0" w:type="dxa"/>
            <w:right w:w="108" w:type="dxa"/>
          </w:tblCellMar>
        </w:tblPrEx>
        <w:trPr>
          <w:trHeight w:val="567" w:hRule="atLeast"/>
          <w:jc w:val="center"/>
        </w:trPr>
        <w:tc>
          <w:tcPr>
            <w:tcW w:w="1390" w:type="dxa"/>
            <w:noWrap w:val="0"/>
            <w:vAlign w:val="top"/>
          </w:tcPr>
          <w:p w14:paraId="30765C8B">
            <w:pPr>
              <w:pStyle w:val="8"/>
              <w:shd w:val="clear"/>
              <w:spacing w:line="360" w:lineRule="auto"/>
              <w:rPr>
                <w:rFonts w:ascii="宋体" w:hAnsi="宋体" w:eastAsia="宋体" w:cs="Arial"/>
                <w:b/>
                <w:color w:val="auto"/>
                <w:sz w:val="21"/>
                <w:szCs w:val="21"/>
                <w:highlight w:val="none"/>
              </w:rPr>
            </w:pPr>
            <w:r>
              <w:rPr>
                <w:rFonts w:hint="eastAsia" w:ascii="宋体" w:hAnsi="宋体" w:eastAsia="宋体" w:cs="Arial"/>
                <w:b/>
                <w:color w:val="auto"/>
                <w:sz w:val="21"/>
                <w:szCs w:val="21"/>
                <w:highlight w:val="none"/>
              </w:rPr>
              <w:t>甲方：</w:t>
            </w:r>
          </w:p>
        </w:tc>
        <w:tc>
          <w:tcPr>
            <w:tcW w:w="3146" w:type="dxa"/>
            <w:noWrap w:val="0"/>
            <w:vAlign w:val="top"/>
          </w:tcPr>
          <w:p w14:paraId="0DC88594">
            <w:pPr>
              <w:pStyle w:val="8"/>
              <w:shd w:val="clear"/>
              <w:spacing w:line="360" w:lineRule="auto"/>
              <w:jc w:val="right"/>
              <w:rPr>
                <w:rFonts w:ascii="宋体" w:hAnsi="宋体" w:eastAsia="宋体" w:cs="Arial"/>
                <w:color w:val="auto"/>
                <w:sz w:val="21"/>
                <w:szCs w:val="21"/>
                <w:highlight w:val="none"/>
              </w:rPr>
            </w:pPr>
            <w:r>
              <w:rPr>
                <w:rFonts w:hint="eastAsia" w:ascii="宋体" w:hAnsi="宋体" w:eastAsia="宋体" w:cs="Arial"/>
                <w:color w:val="auto"/>
                <w:sz w:val="21"/>
                <w:szCs w:val="21"/>
                <w:highlight w:val="none"/>
              </w:rPr>
              <w:t>（盖章）</w:t>
            </w:r>
          </w:p>
        </w:tc>
        <w:tc>
          <w:tcPr>
            <w:tcW w:w="1390" w:type="dxa"/>
            <w:noWrap w:val="0"/>
            <w:vAlign w:val="top"/>
          </w:tcPr>
          <w:p w14:paraId="3339A2DD">
            <w:pPr>
              <w:pStyle w:val="8"/>
              <w:shd w:val="clear"/>
              <w:spacing w:line="360" w:lineRule="auto"/>
              <w:rPr>
                <w:rFonts w:ascii="宋体" w:hAnsi="宋体" w:eastAsia="宋体" w:cs="Arial"/>
                <w:b/>
                <w:color w:val="auto"/>
                <w:sz w:val="21"/>
                <w:szCs w:val="21"/>
                <w:highlight w:val="none"/>
              </w:rPr>
            </w:pPr>
            <w:r>
              <w:rPr>
                <w:rFonts w:hint="eastAsia" w:ascii="宋体" w:hAnsi="宋体" w:eastAsia="宋体" w:cs="Arial"/>
                <w:b/>
                <w:color w:val="auto"/>
                <w:sz w:val="21"/>
                <w:szCs w:val="21"/>
                <w:highlight w:val="none"/>
              </w:rPr>
              <w:t>乙方：</w:t>
            </w:r>
          </w:p>
        </w:tc>
        <w:tc>
          <w:tcPr>
            <w:tcW w:w="3146" w:type="dxa"/>
            <w:noWrap w:val="0"/>
            <w:vAlign w:val="top"/>
          </w:tcPr>
          <w:p w14:paraId="60890061">
            <w:pPr>
              <w:pStyle w:val="8"/>
              <w:shd w:val="clear"/>
              <w:spacing w:line="360" w:lineRule="auto"/>
              <w:jc w:val="right"/>
              <w:rPr>
                <w:rFonts w:ascii="宋体" w:hAnsi="宋体" w:eastAsia="宋体" w:cs="Arial"/>
                <w:color w:val="auto"/>
                <w:sz w:val="21"/>
                <w:szCs w:val="21"/>
                <w:highlight w:val="none"/>
              </w:rPr>
            </w:pPr>
            <w:r>
              <w:rPr>
                <w:rFonts w:hint="eastAsia" w:ascii="宋体" w:hAnsi="宋体" w:eastAsia="宋体" w:cs="Arial"/>
                <w:color w:val="auto"/>
                <w:sz w:val="21"/>
                <w:szCs w:val="21"/>
                <w:highlight w:val="none"/>
              </w:rPr>
              <w:t>（盖章）</w:t>
            </w:r>
          </w:p>
        </w:tc>
      </w:tr>
      <w:tr w14:paraId="22B8174D">
        <w:tblPrEx>
          <w:tblCellMar>
            <w:top w:w="0" w:type="dxa"/>
            <w:left w:w="108" w:type="dxa"/>
            <w:bottom w:w="0" w:type="dxa"/>
            <w:right w:w="108" w:type="dxa"/>
          </w:tblCellMar>
        </w:tblPrEx>
        <w:trPr>
          <w:trHeight w:val="567" w:hRule="atLeast"/>
          <w:jc w:val="center"/>
        </w:trPr>
        <w:tc>
          <w:tcPr>
            <w:tcW w:w="1390" w:type="dxa"/>
            <w:noWrap w:val="0"/>
            <w:vAlign w:val="top"/>
          </w:tcPr>
          <w:p w14:paraId="4B6B2525">
            <w:pPr>
              <w:pStyle w:val="8"/>
              <w:shd w:val="clear"/>
              <w:spacing w:line="360" w:lineRule="auto"/>
              <w:rPr>
                <w:rFonts w:ascii="宋体" w:hAnsi="宋体" w:eastAsia="宋体" w:cs="Arial"/>
                <w:b/>
                <w:color w:val="auto"/>
                <w:sz w:val="21"/>
                <w:szCs w:val="21"/>
                <w:highlight w:val="none"/>
              </w:rPr>
            </w:pPr>
            <w:r>
              <w:rPr>
                <w:rFonts w:hint="eastAsia" w:ascii="宋体" w:hAnsi="宋体" w:eastAsia="宋体" w:cs="Arial"/>
                <w:b/>
                <w:color w:val="auto"/>
                <w:sz w:val="21"/>
                <w:szCs w:val="21"/>
                <w:highlight w:val="none"/>
              </w:rPr>
              <w:t>签约代表：</w:t>
            </w:r>
          </w:p>
        </w:tc>
        <w:tc>
          <w:tcPr>
            <w:tcW w:w="3146" w:type="dxa"/>
            <w:noWrap w:val="0"/>
            <w:vAlign w:val="top"/>
          </w:tcPr>
          <w:p w14:paraId="5C1A507A">
            <w:pPr>
              <w:pStyle w:val="8"/>
              <w:shd w:val="clear"/>
              <w:spacing w:line="360" w:lineRule="auto"/>
              <w:rPr>
                <w:rFonts w:ascii="宋体" w:hAnsi="宋体" w:eastAsia="宋体" w:cs="Arial"/>
                <w:color w:val="auto"/>
                <w:sz w:val="21"/>
                <w:szCs w:val="21"/>
                <w:highlight w:val="none"/>
              </w:rPr>
            </w:pPr>
          </w:p>
        </w:tc>
        <w:tc>
          <w:tcPr>
            <w:tcW w:w="1390" w:type="dxa"/>
            <w:noWrap w:val="0"/>
            <w:vAlign w:val="top"/>
          </w:tcPr>
          <w:p w14:paraId="2911B9EC">
            <w:pPr>
              <w:pStyle w:val="8"/>
              <w:shd w:val="clear"/>
              <w:spacing w:line="360" w:lineRule="auto"/>
              <w:rPr>
                <w:rFonts w:ascii="宋体" w:hAnsi="宋体" w:eastAsia="宋体" w:cs="Arial"/>
                <w:b/>
                <w:color w:val="auto"/>
                <w:sz w:val="21"/>
                <w:szCs w:val="21"/>
                <w:highlight w:val="none"/>
              </w:rPr>
            </w:pPr>
            <w:r>
              <w:rPr>
                <w:rFonts w:hint="eastAsia" w:ascii="宋体" w:hAnsi="宋体" w:eastAsia="宋体" w:cs="Arial"/>
                <w:b/>
                <w:color w:val="auto"/>
                <w:sz w:val="21"/>
                <w:szCs w:val="21"/>
                <w:highlight w:val="none"/>
              </w:rPr>
              <w:t>签约代表：</w:t>
            </w:r>
          </w:p>
        </w:tc>
        <w:tc>
          <w:tcPr>
            <w:tcW w:w="3146" w:type="dxa"/>
            <w:noWrap w:val="0"/>
            <w:vAlign w:val="top"/>
          </w:tcPr>
          <w:p w14:paraId="75C3807A">
            <w:pPr>
              <w:pStyle w:val="8"/>
              <w:shd w:val="clear"/>
              <w:spacing w:line="360" w:lineRule="auto"/>
              <w:rPr>
                <w:rFonts w:ascii="宋体" w:hAnsi="宋体" w:eastAsia="宋体" w:cs="Arial"/>
                <w:color w:val="auto"/>
                <w:sz w:val="21"/>
                <w:szCs w:val="21"/>
                <w:highlight w:val="none"/>
              </w:rPr>
            </w:pPr>
          </w:p>
        </w:tc>
      </w:tr>
      <w:tr w14:paraId="09E4423C">
        <w:tblPrEx>
          <w:tblCellMar>
            <w:top w:w="0" w:type="dxa"/>
            <w:left w:w="108" w:type="dxa"/>
            <w:bottom w:w="0" w:type="dxa"/>
            <w:right w:w="108" w:type="dxa"/>
          </w:tblCellMar>
        </w:tblPrEx>
        <w:trPr>
          <w:trHeight w:val="567" w:hRule="atLeast"/>
          <w:jc w:val="center"/>
        </w:trPr>
        <w:tc>
          <w:tcPr>
            <w:tcW w:w="1390" w:type="dxa"/>
            <w:noWrap w:val="0"/>
            <w:vAlign w:val="top"/>
          </w:tcPr>
          <w:p w14:paraId="4276D5D0">
            <w:pPr>
              <w:pStyle w:val="8"/>
              <w:shd w:val="clear"/>
              <w:spacing w:line="360" w:lineRule="auto"/>
              <w:rPr>
                <w:rFonts w:ascii="宋体" w:hAnsi="宋体" w:eastAsia="宋体" w:cs="Arial"/>
                <w:b/>
                <w:color w:val="auto"/>
                <w:sz w:val="21"/>
                <w:szCs w:val="21"/>
                <w:highlight w:val="none"/>
              </w:rPr>
            </w:pPr>
            <w:r>
              <w:rPr>
                <w:rFonts w:hint="eastAsia" w:ascii="宋体" w:hAnsi="宋体" w:eastAsia="宋体" w:cs="Arial"/>
                <w:b/>
                <w:color w:val="auto"/>
                <w:sz w:val="21"/>
                <w:szCs w:val="21"/>
                <w:highlight w:val="none"/>
              </w:rPr>
              <w:t>地    址：</w:t>
            </w:r>
          </w:p>
        </w:tc>
        <w:tc>
          <w:tcPr>
            <w:tcW w:w="3146" w:type="dxa"/>
            <w:noWrap w:val="0"/>
            <w:vAlign w:val="top"/>
          </w:tcPr>
          <w:p w14:paraId="2250F406">
            <w:pPr>
              <w:pStyle w:val="8"/>
              <w:shd w:val="clear"/>
              <w:spacing w:line="360" w:lineRule="auto"/>
              <w:rPr>
                <w:rFonts w:ascii="宋体" w:hAnsi="宋体" w:eastAsia="宋体" w:cs="Arial"/>
                <w:color w:val="auto"/>
                <w:sz w:val="21"/>
                <w:szCs w:val="21"/>
                <w:highlight w:val="none"/>
              </w:rPr>
            </w:pPr>
          </w:p>
        </w:tc>
        <w:tc>
          <w:tcPr>
            <w:tcW w:w="1390" w:type="dxa"/>
            <w:noWrap w:val="0"/>
            <w:vAlign w:val="top"/>
          </w:tcPr>
          <w:p w14:paraId="4BB8EEDF">
            <w:pPr>
              <w:pStyle w:val="8"/>
              <w:shd w:val="clear"/>
              <w:spacing w:line="360" w:lineRule="auto"/>
              <w:rPr>
                <w:rFonts w:ascii="宋体" w:hAnsi="宋体" w:eastAsia="宋体" w:cs="Arial"/>
                <w:b/>
                <w:color w:val="auto"/>
                <w:sz w:val="21"/>
                <w:szCs w:val="21"/>
                <w:highlight w:val="none"/>
              </w:rPr>
            </w:pPr>
            <w:r>
              <w:rPr>
                <w:rFonts w:hint="eastAsia" w:ascii="宋体" w:hAnsi="宋体" w:eastAsia="宋体" w:cs="Arial"/>
                <w:b/>
                <w:color w:val="auto"/>
                <w:sz w:val="21"/>
                <w:szCs w:val="21"/>
                <w:highlight w:val="none"/>
              </w:rPr>
              <w:t>地    址：</w:t>
            </w:r>
          </w:p>
        </w:tc>
        <w:tc>
          <w:tcPr>
            <w:tcW w:w="3146" w:type="dxa"/>
            <w:noWrap w:val="0"/>
            <w:vAlign w:val="top"/>
          </w:tcPr>
          <w:p w14:paraId="0FF10302">
            <w:pPr>
              <w:pStyle w:val="8"/>
              <w:shd w:val="clear"/>
              <w:spacing w:line="360" w:lineRule="auto"/>
              <w:rPr>
                <w:rFonts w:ascii="宋体" w:hAnsi="宋体" w:eastAsia="宋体" w:cs="Arial"/>
                <w:color w:val="auto"/>
                <w:sz w:val="21"/>
                <w:szCs w:val="21"/>
                <w:highlight w:val="none"/>
              </w:rPr>
            </w:pPr>
          </w:p>
        </w:tc>
      </w:tr>
      <w:tr w14:paraId="26BBB5DF">
        <w:tblPrEx>
          <w:tblCellMar>
            <w:top w:w="0" w:type="dxa"/>
            <w:left w:w="108" w:type="dxa"/>
            <w:bottom w:w="0" w:type="dxa"/>
            <w:right w:w="108" w:type="dxa"/>
          </w:tblCellMar>
        </w:tblPrEx>
        <w:trPr>
          <w:trHeight w:val="567" w:hRule="atLeast"/>
          <w:jc w:val="center"/>
        </w:trPr>
        <w:tc>
          <w:tcPr>
            <w:tcW w:w="1390" w:type="dxa"/>
            <w:noWrap w:val="0"/>
            <w:vAlign w:val="top"/>
          </w:tcPr>
          <w:p w14:paraId="15BB1DA7">
            <w:pPr>
              <w:pStyle w:val="8"/>
              <w:shd w:val="clear"/>
              <w:spacing w:line="360" w:lineRule="auto"/>
              <w:rPr>
                <w:rFonts w:ascii="宋体" w:hAnsi="宋体" w:eastAsia="宋体" w:cs="Arial"/>
                <w:b/>
                <w:color w:val="auto"/>
                <w:sz w:val="21"/>
                <w:szCs w:val="21"/>
                <w:highlight w:val="none"/>
              </w:rPr>
            </w:pPr>
            <w:r>
              <w:rPr>
                <w:rFonts w:hint="eastAsia" w:ascii="宋体" w:hAnsi="宋体" w:eastAsia="宋体" w:cs="Arial"/>
                <w:b/>
                <w:color w:val="auto"/>
                <w:sz w:val="21"/>
                <w:szCs w:val="21"/>
                <w:highlight w:val="none"/>
              </w:rPr>
              <w:t>电    话：</w:t>
            </w:r>
          </w:p>
        </w:tc>
        <w:tc>
          <w:tcPr>
            <w:tcW w:w="3146" w:type="dxa"/>
            <w:noWrap w:val="0"/>
            <w:vAlign w:val="top"/>
          </w:tcPr>
          <w:p w14:paraId="5EABDC48">
            <w:pPr>
              <w:pStyle w:val="8"/>
              <w:shd w:val="clear"/>
              <w:spacing w:line="360" w:lineRule="auto"/>
              <w:rPr>
                <w:rFonts w:ascii="宋体" w:hAnsi="宋体" w:eastAsia="宋体" w:cs="Arial"/>
                <w:color w:val="auto"/>
                <w:sz w:val="21"/>
                <w:szCs w:val="21"/>
                <w:highlight w:val="none"/>
              </w:rPr>
            </w:pPr>
          </w:p>
        </w:tc>
        <w:tc>
          <w:tcPr>
            <w:tcW w:w="1390" w:type="dxa"/>
            <w:noWrap w:val="0"/>
            <w:vAlign w:val="top"/>
          </w:tcPr>
          <w:p w14:paraId="2F5E0C76">
            <w:pPr>
              <w:pStyle w:val="8"/>
              <w:shd w:val="clear"/>
              <w:spacing w:line="360" w:lineRule="auto"/>
              <w:rPr>
                <w:rFonts w:ascii="宋体" w:hAnsi="宋体" w:eastAsia="宋体" w:cs="Arial"/>
                <w:b/>
                <w:color w:val="auto"/>
                <w:sz w:val="21"/>
                <w:szCs w:val="21"/>
                <w:highlight w:val="none"/>
              </w:rPr>
            </w:pPr>
            <w:r>
              <w:rPr>
                <w:rFonts w:hint="eastAsia" w:ascii="宋体" w:hAnsi="宋体" w:eastAsia="宋体" w:cs="Arial"/>
                <w:b/>
                <w:color w:val="auto"/>
                <w:sz w:val="21"/>
                <w:szCs w:val="21"/>
                <w:highlight w:val="none"/>
              </w:rPr>
              <w:t>电    话：</w:t>
            </w:r>
          </w:p>
        </w:tc>
        <w:tc>
          <w:tcPr>
            <w:tcW w:w="3146" w:type="dxa"/>
            <w:noWrap w:val="0"/>
            <w:vAlign w:val="top"/>
          </w:tcPr>
          <w:p w14:paraId="79038571">
            <w:pPr>
              <w:pStyle w:val="8"/>
              <w:shd w:val="clear"/>
              <w:spacing w:line="360" w:lineRule="auto"/>
              <w:rPr>
                <w:rFonts w:ascii="宋体" w:hAnsi="宋体" w:eastAsia="宋体" w:cs="Arial"/>
                <w:color w:val="auto"/>
                <w:sz w:val="21"/>
                <w:szCs w:val="21"/>
                <w:highlight w:val="none"/>
              </w:rPr>
            </w:pPr>
          </w:p>
        </w:tc>
      </w:tr>
      <w:tr w14:paraId="3FCE4E93">
        <w:tblPrEx>
          <w:tblCellMar>
            <w:top w:w="0" w:type="dxa"/>
            <w:left w:w="108" w:type="dxa"/>
            <w:bottom w:w="0" w:type="dxa"/>
            <w:right w:w="108" w:type="dxa"/>
          </w:tblCellMar>
        </w:tblPrEx>
        <w:trPr>
          <w:trHeight w:val="567" w:hRule="atLeast"/>
          <w:jc w:val="center"/>
        </w:trPr>
        <w:tc>
          <w:tcPr>
            <w:tcW w:w="1390" w:type="dxa"/>
            <w:noWrap w:val="0"/>
            <w:vAlign w:val="top"/>
          </w:tcPr>
          <w:p w14:paraId="6E9FDE82">
            <w:pPr>
              <w:pStyle w:val="8"/>
              <w:shd w:val="clear"/>
              <w:spacing w:line="360" w:lineRule="auto"/>
              <w:rPr>
                <w:rFonts w:ascii="宋体" w:hAnsi="宋体" w:eastAsia="宋体" w:cs="Arial"/>
                <w:b/>
                <w:color w:val="auto"/>
                <w:sz w:val="21"/>
                <w:szCs w:val="21"/>
                <w:highlight w:val="none"/>
              </w:rPr>
            </w:pPr>
            <w:r>
              <w:rPr>
                <w:rFonts w:hint="eastAsia" w:ascii="宋体" w:hAnsi="宋体" w:eastAsia="宋体" w:cs="Arial"/>
                <w:b/>
                <w:color w:val="auto"/>
                <w:sz w:val="21"/>
                <w:szCs w:val="21"/>
                <w:highlight w:val="none"/>
              </w:rPr>
              <w:t>传    真：</w:t>
            </w:r>
          </w:p>
        </w:tc>
        <w:tc>
          <w:tcPr>
            <w:tcW w:w="3146" w:type="dxa"/>
            <w:noWrap w:val="0"/>
            <w:vAlign w:val="top"/>
          </w:tcPr>
          <w:p w14:paraId="546B0D3C">
            <w:pPr>
              <w:pStyle w:val="8"/>
              <w:shd w:val="clear"/>
              <w:spacing w:line="360" w:lineRule="auto"/>
              <w:rPr>
                <w:rFonts w:ascii="宋体" w:hAnsi="宋体" w:eastAsia="宋体" w:cs="Arial"/>
                <w:color w:val="auto"/>
                <w:sz w:val="21"/>
                <w:szCs w:val="21"/>
                <w:highlight w:val="none"/>
              </w:rPr>
            </w:pPr>
          </w:p>
        </w:tc>
        <w:tc>
          <w:tcPr>
            <w:tcW w:w="1390" w:type="dxa"/>
            <w:noWrap w:val="0"/>
            <w:vAlign w:val="top"/>
          </w:tcPr>
          <w:p w14:paraId="2B3C42ED">
            <w:pPr>
              <w:pStyle w:val="8"/>
              <w:shd w:val="clear"/>
              <w:spacing w:line="360" w:lineRule="auto"/>
              <w:rPr>
                <w:rFonts w:ascii="宋体" w:hAnsi="宋体" w:eastAsia="宋体" w:cs="Arial"/>
                <w:b/>
                <w:color w:val="auto"/>
                <w:sz w:val="21"/>
                <w:szCs w:val="21"/>
                <w:highlight w:val="none"/>
              </w:rPr>
            </w:pPr>
            <w:r>
              <w:rPr>
                <w:rFonts w:hint="eastAsia" w:ascii="宋体" w:hAnsi="宋体" w:eastAsia="宋体" w:cs="Arial"/>
                <w:b/>
                <w:color w:val="auto"/>
                <w:sz w:val="21"/>
                <w:szCs w:val="21"/>
                <w:highlight w:val="none"/>
              </w:rPr>
              <w:t>传    真：</w:t>
            </w:r>
          </w:p>
        </w:tc>
        <w:tc>
          <w:tcPr>
            <w:tcW w:w="3146" w:type="dxa"/>
            <w:noWrap w:val="0"/>
            <w:vAlign w:val="top"/>
          </w:tcPr>
          <w:p w14:paraId="27A05C9E">
            <w:pPr>
              <w:pStyle w:val="8"/>
              <w:shd w:val="clear"/>
              <w:spacing w:line="360" w:lineRule="auto"/>
              <w:rPr>
                <w:rFonts w:ascii="宋体" w:hAnsi="宋体" w:eastAsia="宋体" w:cs="Arial"/>
                <w:color w:val="auto"/>
                <w:sz w:val="21"/>
                <w:szCs w:val="21"/>
                <w:highlight w:val="none"/>
              </w:rPr>
            </w:pPr>
          </w:p>
        </w:tc>
      </w:tr>
      <w:tr w14:paraId="21D3A9D4">
        <w:tblPrEx>
          <w:tblCellMar>
            <w:top w:w="0" w:type="dxa"/>
            <w:left w:w="108" w:type="dxa"/>
            <w:bottom w:w="0" w:type="dxa"/>
            <w:right w:w="108" w:type="dxa"/>
          </w:tblCellMar>
        </w:tblPrEx>
        <w:trPr>
          <w:trHeight w:val="567" w:hRule="atLeast"/>
          <w:jc w:val="center"/>
        </w:trPr>
        <w:tc>
          <w:tcPr>
            <w:tcW w:w="1390" w:type="dxa"/>
            <w:noWrap w:val="0"/>
            <w:vAlign w:val="top"/>
          </w:tcPr>
          <w:p w14:paraId="19ACB621">
            <w:pPr>
              <w:pStyle w:val="8"/>
              <w:shd w:val="clear"/>
              <w:spacing w:line="360" w:lineRule="auto"/>
              <w:rPr>
                <w:rFonts w:ascii="宋体" w:hAnsi="宋体" w:eastAsia="宋体" w:cs="Arial"/>
                <w:b/>
                <w:color w:val="auto"/>
                <w:sz w:val="21"/>
                <w:szCs w:val="21"/>
                <w:highlight w:val="none"/>
              </w:rPr>
            </w:pPr>
            <w:r>
              <w:rPr>
                <w:rFonts w:hint="eastAsia" w:ascii="宋体" w:hAnsi="宋体" w:eastAsia="宋体" w:cs="Arial"/>
                <w:b/>
                <w:color w:val="auto"/>
                <w:sz w:val="21"/>
                <w:szCs w:val="21"/>
                <w:highlight w:val="none"/>
              </w:rPr>
              <w:t>签约日期：</w:t>
            </w:r>
          </w:p>
        </w:tc>
        <w:tc>
          <w:tcPr>
            <w:tcW w:w="3146" w:type="dxa"/>
            <w:noWrap w:val="0"/>
            <w:vAlign w:val="top"/>
          </w:tcPr>
          <w:p w14:paraId="56214FAA">
            <w:pPr>
              <w:pStyle w:val="8"/>
              <w:shd w:val="clear"/>
              <w:spacing w:line="360" w:lineRule="auto"/>
              <w:ind w:firstLine="210" w:firstLineChars="100"/>
              <w:rPr>
                <w:rFonts w:ascii="宋体" w:hAnsi="宋体" w:eastAsia="宋体" w:cs="Arial"/>
                <w:color w:val="auto"/>
                <w:sz w:val="21"/>
                <w:szCs w:val="21"/>
                <w:highlight w:val="none"/>
              </w:rPr>
            </w:pPr>
            <w:r>
              <w:rPr>
                <w:rFonts w:hint="eastAsia" w:ascii="宋体" w:hAnsi="宋体" w:eastAsia="宋体" w:cs="Arial"/>
                <w:color w:val="auto"/>
                <w:sz w:val="21"/>
                <w:szCs w:val="21"/>
                <w:highlight w:val="none"/>
              </w:rPr>
              <w:t xml:space="preserve">  年   月   日</w:t>
            </w:r>
          </w:p>
        </w:tc>
        <w:tc>
          <w:tcPr>
            <w:tcW w:w="1390" w:type="dxa"/>
            <w:noWrap w:val="0"/>
            <w:vAlign w:val="top"/>
          </w:tcPr>
          <w:p w14:paraId="01F847B6">
            <w:pPr>
              <w:pStyle w:val="8"/>
              <w:shd w:val="clear"/>
              <w:spacing w:line="360" w:lineRule="auto"/>
              <w:rPr>
                <w:rFonts w:ascii="宋体" w:hAnsi="宋体" w:eastAsia="宋体" w:cs="Arial"/>
                <w:b/>
                <w:color w:val="auto"/>
                <w:sz w:val="21"/>
                <w:szCs w:val="21"/>
                <w:highlight w:val="none"/>
              </w:rPr>
            </w:pPr>
            <w:r>
              <w:rPr>
                <w:rFonts w:hint="eastAsia" w:ascii="宋体" w:hAnsi="宋体" w:eastAsia="宋体" w:cs="Arial"/>
                <w:b/>
                <w:color w:val="auto"/>
                <w:sz w:val="21"/>
                <w:szCs w:val="21"/>
                <w:highlight w:val="none"/>
              </w:rPr>
              <w:t>签约日期：</w:t>
            </w:r>
          </w:p>
        </w:tc>
        <w:tc>
          <w:tcPr>
            <w:tcW w:w="3146" w:type="dxa"/>
            <w:noWrap w:val="0"/>
            <w:vAlign w:val="top"/>
          </w:tcPr>
          <w:p w14:paraId="1B1C81EE">
            <w:pPr>
              <w:pStyle w:val="8"/>
              <w:shd w:val="clear"/>
              <w:spacing w:line="360" w:lineRule="auto"/>
              <w:ind w:firstLine="210" w:firstLineChars="100"/>
              <w:rPr>
                <w:rFonts w:ascii="宋体" w:hAnsi="宋体" w:eastAsia="宋体" w:cs="Arial"/>
                <w:color w:val="auto"/>
                <w:sz w:val="21"/>
                <w:szCs w:val="21"/>
                <w:highlight w:val="none"/>
              </w:rPr>
            </w:pPr>
            <w:r>
              <w:rPr>
                <w:rFonts w:hint="eastAsia" w:ascii="宋体" w:hAnsi="宋体" w:eastAsia="宋体" w:cs="Arial"/>
                <w:color w:val="auto"/>
                <w:sz w:val="21"/>
                <w:szCs w:val="21"/>
                <w:highlight w:val="none"/>
              </w:rPr>
              <w:t xml:space="preserve">  年   月   日</w:t>
            </w:r>
          </w:p>
        </w:tc>
      </w:tr>
    </w:tbl>
    <w:p w14:paraId="6F5C1A97">
      <w:pPr>
        <w:shd w:val="clear"/>
        <w:ind w:firstLine="1100" w:firstLineChars="500"/>
        <w:rPr>
          <w:rFonts w:ascii="宋体" w:hAnsi="宋体"/>
          <w:kern w:val="0"/>
          <w:szCs w:val="21"/>
        </w:rPr>
      </w:pPr>
    </w:p>
    <w:p w14:paraId="4740D0F3"/>
    <w:p w14:paraId="0F3F3F69">
      <w:pPr>
        <w:widowControl/>
        <w:shd w:val="clear"/>
        <w:spacing w:line="580" w:lineRule="exact"/>
        <w:rPr>
          <w:rFonts w:ascii="宋体" w:hAnsi="宋体"/>
          <w:kern w:val="0"/>
          <w:szCs w:val="21"/>
        </w:rPr>
      </w:pPr>
    </w:p>
    <w:p w14:paraId="602F0E0D">
      <w:pPr>
        <w:pStyle w:val="3"/>
        <w:shd w:val="clear"/>
        <w:spacing w:before="7"/>
        <w:ind w:left="0"/>
        <w:rPr>
          <w:rFonts w:hint="eastAsia" w:ascii="宋体" w:hAnsi="宋体" w:eastAsia="宋体" w:cs="宋体"/>
          <w:i w:val="0"/>
          <w:iCs w:val="0"/>
          <w:sz w:val="15"/>
        </w:rPr>
      </w:pPr>
    </w:p>
    <w:p w14:paraId="60CB6463">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316093"/>
    <w:multiLevelType w:val="singleLevel"/>
    <w:tmpl w:val="5B316093"/>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0ZWFjNTFmYzEzMWM4NWJiOTQ4NTY0M2EzYjQ0OTYifQ=="/>
  </w:docVars>
  <w:rsids>
    <w:rsidRoot w:val="431426F7"/>
    <w:rsid w:val="0A442B41"/>
    <w:rsid w:val="0B98567B"/>
    <w:rsid w:val="0F9C2034"/>
    <w:rsid w:val="431426F7"/>
    <w:rsid w:val="44355626"/>
    <w:rsid w:val="4E552BE2"/>
    <w:rsid w:val="677B17D3"/>
    <w:rsid w:val="779A3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2">
    <w:name w:val="heading 1"/>
    <w:basedOn w:val="1"/>
    <w:autoRedefine/>
    <w:qFormat/>
    <w:uiPriority w:val="1"/>
    <w:pPr>
      <w:spacing w:before="32"/>
      <w:ind w:left="2186" w:right="2215"/>
      <w:jc w:val="center"/>
      <w:outlineLvl w:val="1"/>
    </w:pPr>
    <w:rPr>
      <w:rFonts w:ascii="宋体" w:hAnsi="宋体" w:eastAsia="宋体" w:cs="宋体"/>
      <w:b/>
      <w:bCs/>
      <w:sz w:val="31"/>
      <w:szCs w:val="31"/>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4"/>
    <w:autoRedefine/>
    <w:qFormat/>
    <w:uiPriority w:val="1"/>
    <w:pPr>
      <w:ind w:left="490"/>
    </w:pPr>
    <w:rPr>
      <w:rFonts w:ascii="宋体" w:hAnsi="宋体" w:eastAsia="宋体" w:cs="宋体"/>
      <w:sz w:val="19"/>
      <w:szCs w:val="19"/>
    </w:rPr>
  </w:style>
  <w:style w:type="paragraph" w:styleId="4">
    <w:name w:val="Body Text 2"/>
    <w:basedOn w:val="1"/>
    <w:qFormat/>
    <w:uiPriority w:val="0"/>
    <w:pPr>
      <w:spacing w:after="120" w:line="480" w:lineRule="auto"/>
    </w:pPr>
  </w:style>
  <w:style w:type="paragraph" w:customStyle="1" w:styleId="7">
    <w:name w:val="样式 10 磅"/>
    <w:autoRedefine/>
    <w:qFormat/>
    <w:uiPriority w:val="0"/>
    <w:pPr>
      <w:widowControl w:val="0"/>
      <w:spacing w:line="360" w:lineRule="auto"/>
      <w:jc w:val="left"/>
    </w:pPr>
    <w:rPr>
      <w:rFonts w:ascii="Times New Roman" w:hAnsi="Times New Roman" w:eastAsia="宋体" w:cs="Times New Roman"/>
      <w:kern w:val="2"/>
      <w:sz w:val="28"/>
      <w:szCs w:val="24"/>
      <w:lang w:val="en-US" w:eastAsia="zh-CN" w:bidi="ar-SA"/>
    </w:rPr>
  </w:style>
  <w:style w:type="paragraph" w:customStyle="1" w:styleId="8">
    <w:name w:val="正文_1"/>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9">
    <w:name w:val="p141_0"/>
    <w:autoRedefine/>
    <w:qFormat/>
    <w:uiPriority w:val="0"/>
    <w:rPr>
      <w:rFonts w:ascii="Calibri" w:hAnsi="Calibri"/>
      <w:sz w:val="21"/>
      <w:szCs w:val="21"/>
    </w:rPr>
  </w:style>
  <w:style w:type="paragraph" w:customStyle="1" w:styleId="10">
    <w:name w:val="正文3"/>
    <w:autoRedefine/>
    <w:qFormat/>
    <w:uiPriority w:val="0"/>
    <w:pPr>
      <w:widowControl w:val="0"/>
      <w:jc w:val="both"/>
    </w:pPr>
    <w:rPr>
      <w:rFonts w:hint="eastAsia" w:ascii="Calibri" w:hAnsi="Calibri" w:eastAsia="宋体" w:cs="Times New Roman"/>
      <w:kern w:val="2"/>
      <w:sz w:val="21"/>
      <w:lang w:val="en-US" w:eastAsia="zh-CN" w:bidi="ar-SA"/>
    </w:rPr>
  </w:style>
  <w:style w:type="paragraph" w:customStyle="1" w:styleId="11">
    <w:name w:val="普通(网站)_0"/>
    <w:basedOn w:val="8"/>
    <w:autoRedefine/>
    <w:qFormat/>
    <w:uiPriority w:val="0"/>
    <w:pPr>
      <w:widowControl/>
      <w:spacing w:before="100" w:beforeAutospacing="1" w:after="100" w:afterAutospacing="1"/>
      <w:jc w:val="left"/>
    </w:pPr>
    <w:rPr>
      <w:rFonts w:ascii="宋体" w:hAnsi="宋体" w:cs="宋体"/>
      <w:kern w:val="0"/>
      <w:sz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2024-05-08T06:52:00Z</dcterms:created>
  <dc:creator>Q.D.</dc:creator>
  <cp:lastModifiedBy>yueecho</cp:lastModifiedBy>
  <dcterms:modified xsi:type="dcterms:W3CDTF">2026-05-12T03:46:32Z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BFAA7947E5A649318D8EF403BE527B95_11</vt:lpwstr>
  </property>
  <property fmtid="{D5CDD505-2E9C-101B-9397-08002B2CF9AE}" pid="4" name="KSOTemplateDocerSaveRecord">
    <vt:lpwstr>eyJoZGlkIjoiYWZlZjI2ZWNhYmU3MThkNTY4ZmYyOWY3MWVkMTIwN2QiLCJ1c2VySWQiOiI5NTg2MDg3MzIifQ==</vt:lpwstr>
  </property>
</Properties>
</file>