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F2A420">
      <w:pPr>
        <w:pStyle w:val="2"/>
        <w:keepNext w:val="0"/>
        <w:keepLines w:val="0"/>
        <w:spacing w:before="120" w:beforeLines="50" w:after="0" w:line="36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一</w:t>
      </w:r>
      <w:r>
        <w:rPr>
          <w:rFonts w:hint="eastAsia" w:ascii="宋体" w:hAnsi="宋体" w:eastAsia="宋体" w:cs="宋体"/>
          <w:sz w:val="24"/>
          <w:szCs w:val="24"/>
        </w:rPr>
        <w:t>、技术服务内容及要求</w:t>
      </w:r>
    </w:p>
    <w:p w14:paraId="6788B70F">
      <w:pPr>
        <w:pStyle w:val="3"/>
        <w:keepNext w:val="0"/>
        <w:keepLines w:val="0"/>
        <w:spacing w:before="0" w:after="0" w:line="360" w:lineRule="auto"/>
        <w:ind w:firstLine="480"/>
        <w:rPr>
          <w:rFonts w:hint="eastAsia" w:ascii="宋体" w:hAnsi="宋体" w:eastAsia="宋体" w:cs="宋体"/>
          <w:sz w:val="24"/>
          <w:szCs w:val="24"/>
        </w:rPr>
      </w:pPr>
      <w:r>
        <w:rPr>
          <w:rFonts w:hint="eastAsia" w:ascii="宋体" w:hAnsi="宋体" w:eastAsia="宋体" w:cs="宋体"/>
          <w:sz w:val="24"/>
          <w:szCs w:val="24"/>
        </w:rPr>
        <w:t>（一）项目简介</w:t>
      </w:r>
    </w:p>
    <w:p w14:paraId="3D00D55E">
      <w:pPr>
        <w:pStyle w:val="6"/>
        <w:ind w:firstLine="480"/>
        <w:jc w:val="both"/>
        <w:rPr>
          <w:rFonts w:hint="eastAsia" w:ascii="宋体" w:hAnsi="宋体" w:eastAsia="宋体" w:cs="宋体"/>
          <w:sz w:val="24"/>
          <w:szCs w:val="24"/>
        </w:rPr>
      </w:pPr>
      <w:r>
        <w:rPr>
          <w:rFonts w:hint="eastAsia" w:ascii="宋体" w:hAnsi="宋体" w:eastAsia="宋体" w:cs="宋体"/>
          <w:sz w:val="24"/>
          <w:szCs w:val="24"/>
          <w:lang w:val="en-US" w:eastAsia="zh-CN"/>
        </w:rPr>
        <w:t>西安</w:t>
      </w:r>
      <w:r>
        <w:rPr>
          <w:rFonts w:hint="eastAsia" w:ascii="宋体" w:hAnsi="宋体" w:eastAsia="宋体" w:cs="宋体"/>
          <w:sz w:val="24"/>
          <w:szCs w:val="24"/>
        </w:rPr>
        <w:t>地处</w:t>
      </w:r>
      <w:r>
        <w:rPr>
          <w:rFonts w:hint="eastAsia" w:ascii="宋体" w:hAnsi="宋体" w:eastAsia="宋体" w:cs="宋体"/>
          <w:sz w:val="24"/>
          <w:szCs w:val="24"/>
          <w:lang w:val="en-US" w:eastAsia="zh-CN"/>
        </w:rPr>
        <w:t>8</w:t>
      </w:r>
      <w:r>
        <w:rPr>
          <w:rFonts w:hint="eastAsia" w:ascii="宋体" w:hAnsi="宋体" w:eastAsia="宋体" w:cs="宋体"/>
          <w:sz w:val="24"/>
          <w:szCs w:val="24"/>
        </w:rPr>
        <w:t>度抗震设防地区，为确保文物安全，自</w:t>
      </w:r>
      <w:r>
        <w:rPr>
          <w:rFonts w:hint="eastAsia" w:ascii="宋体" w:hAnsi="宋体" w:eastAsia="宋体" w:cs="宋体"/>
          <w:sz w:val="24"/>
          <w:szCs w:val="24"/>
          <w:lang w:val="en-US" w:eastAsia="zh-CN"/>
        </w:rPr>
        <w:t>2023年</w:t>
      </w:r>
      <w:r>
        <w:rPr>
          <w:rFonts w:hint="eastAsia" w:ascii="宋体" w:hAnsi="宋体" w:eastAsia="宋体" w:cs="宋体"/>
          <w:sz w:val="24"/>
          <w:szCs w:val="24"/>
        </w:rPr>
        <w:t>以来</w:t>
      </w:r>
      <w:r>
        <w:rPr>
          <w:rFonts w:hint="eastAsia" w:ascii="宋体" w:hAnsi="宋体" w:eastAsia="宋体" w:cs="宋体"/>
          <w:sz w:val="24"/>
          <w:szCs w:val="24"/>
          <w:lang w:val="en-US" w:eastAsia="zh-CN"/>
        </w:rPr>
        <w:t>西安碑林</w:t>
      </w:r>
      <w:r>
        <w:rPr>
          <w:rFonts w:hint="eastAsia" w:ascii="宋体" w:hAnsi="宋体" w:eastAsia="宋体" w:cs="宋体"/>
          <w:sz w:val="24"/>
          <w:szCs w:val="24"/>
        </w:rPr>
        <w:t>博物馆陆续为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开成石经</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等</w:t>
      </w:r>
      <w:r>
        <w:rPr>
          <w:rFonts w:hint="eastAsia" w:ascii="宋体" w:hAnsi="宋体" w:eastAsia="宋体" w:cs="宋体"/>
          <w:sz w:val="24"/>
          <w:szCs w:val="24"/>
        </w:rPr>
        <w:t>珍贵</w:t>
      </w:r>
      <w:r>
        <w:rPr>
          <w:rFonts w:hint="eastAsia" w:ascii="宋体" w:hAnsi="宋体" w:eastAsia="宋体" w:cs="宋体"/>
          <w:sz w:val="24"/>
          <w:szCs w:val="24"/>
          <w:lang w:val="en-US" w:eastAsia="zh-CN"/>
        </w:rPr>
        <w:t>易损</w:t>
      </w:r>
      <w:r>
        <w:rPr>
          <w:rFonts w:hint="eastAsia" w:ascii="宋体" w:hAnsi="宋体" w:eastAsia="宋体" w:cs="宋体"/>
          <w:sz w:val="24"/>
          <w:szCs w:val="24"/>
        </w:rPr>
        <w:t>文物购置了防震设备。所有设备长期持续使用，易出现部件老化及损坏的问题。为维护设施设备的正常运行，保障防震效果，计划采购一个服务项目，对部分防震设备定期维护保养。</w:t>
      </w:r>
    </w:p>
    <w:p w14:paraId="42B85BB8">
      <w:pPr>
        <w:pStyle w:val="3"/>
        <w:keepNext w:val="0"/>
        <w:keepLines w:val="0"/>
        <w:spacing w:before="0" w:after="0" w:line="360" w:lineRule="auto"/>
        <w:ind w:firstLine="470" w:firstLineChars="195"/>
        <w:rPr>
          <w:rFonts w:hint="eastAsia" w:ascii="宋体" w:hAnsi="宋体" w:eastAsia="宋体" w:cs="宋体"/>
          <w:sz w:val="24"/>
          <w:szCs w:val="24"/>
        </w:rPr>
      </w:pPr>
      <w:r>
        <w:rPr>
          <w:rFonts w:hint="eastAsia" w:ascii="宋体" w:hAnsi="宋体" w:eastAsia="宋体" w:cs="宋体"/>
          <w:sz w:val="24"/>
          <w:szCs w:val="24"/>
        </w:rPr>
        <w:t>（二）服务内容</w:t>
      </w:r>
    </w:p>
    <w:p w14:paraId="62BCAA88">
      <w:pPr>
        <w:pStyle w:val="6"/>
        <w:ind w:firstLine="480"/>
        <w:jc w:val="both"/>
        <w:rPr>
          <w:rFonts w:hint="eastAsia" w:ascii="宋体" w:hAnsi="宋体" w:eastAsia="宋体" w:cs="宋体"/>
          <w:sz w:val="24"/>
          <w:szCs w:val="24"/>
        </w:rPr>
      </w:pPr>
      <w:r>
        <w:rPr>
          <w:rFonts w:hint="eastAsia" w:ascii="宋体" w:hAnsi="宋体" w:eastAsia="宋体" w:cs="宋体"/>
          <w:sz w:val="24"/>
          <w:szCs w:val="24"/>
        </w:rPr>
        <w:t>在合同期限内对展厅内重型并联</w:t>
      </w:r>
      <w:r>
        <w:rPr>
          <w:rFonts w:hint="eastAsia" w:ascii="宋体" w:hAnsi="宋体" w:eastAsia="宋体" w:cs="宋体"/>
          <w:sz w:val="24"/>
          <w:szCs w:val="24"/>
          <w:lang w:val="en-US" w:eastAsia="zh-CN"/>
        </w:rPr>
        <w:t>防震</w:t>
      </w:r>
      <w:r>
        <w:rPr>
          <w:rFonts w:hint="eastAsia" w:ascii="宋体" w:hAnsi="宋体" w:eastAsia="宋体" w:cs="宋体"/>
          <w:sz w:val="24"/>
          <w:szCs w:val="24"/>
        </w:rPr>
        <w:t>装置</w:t>
      </w:r>
      <w:r>
        <w:rPr>
          <w:rFonts w:hint="eastAsia" w:ascii="宋体" w:hAnsi="宋体" w:eastAsia="宋体" w:cs="宋体"/>
          <w:sz w:val="24"/>
          <w:szCs w:val="24"/>
          <w:lang w:val="en-US" w:eastAsia="zh-CN"/>
        </w:rPr>
        <w:t>114套、开成石经隔震沟120延米、一展室防震间接风险设施（屋架内撑钢架与拦阻拉索网）26榀、地震监测系统1套、开成石经高强安全低反玻璃防护设施240延米等设备</w:t>
      </w:r>
      <w:r>
        <w:rPr>
          <w:rFonts w:hint="eastAsia" w:ascii="宋体" w:hAnsi="宋体" w:eastAsia="宋体" w:cs="宋体"/>
          <w:sz w:val="24"/>
          <w:szCs w:val="24"/>
        </w:rPr>
        <w:t>维护保养1次（具体维护内容参照但不限于附件1）。若在合同期限内设备发生故障，需收到通知后24小时内安排专业技术人员到现场解决相应故障。</w:t>
      </w:r>
    </w:p>
    <w:p w14:paraId="31B54DD1">
      <w:pPr>
        <w:pStyle w:val="3"/>
        <w:keepNext w:val="0"/>
        <w:keepLines w:val="0"/>
        <w:spacing w:before="0" w:after="0" w:line="360" w:lineRule="auto"/>
        <w:ind w:firstLine="470" w:firstLineChars="195"/>
        <w:rPr>
          <w:rFonts w:hint="eastAsia" w:ascii="宋体" w:hAnsi="宋体" w:eastAsia="宋体" w:cs="宋体"/>
          <w:sz w:val="24"/>
          <w:szCs w:val="24"/>
        </w:rPr>
      </w:pPr>
      <w:r>
        <w:rPr>
          <w:rFonts w:hint="eastAsia" w:ascii="宋体" w:hAnsi="宋体" w:eastAsia="宋体" w:cs="宋体"/>
          <w:sz w:val="24"/>
          <w:szCs w:val="24"/>
        </w:rPr>
        <w:t>（三）服务要求</w:t>
      </w:r>
    </w:p>
    <w:p w14:paraId="5F373DC9">
      <w:pPr>
        <w:pStyle w:val="6"/>
        <w:ind w:firstLine="600" w:firstLineChars="0"/>
        <w:jc w:val="both"/>
        <w:rPr>
          <w:rFonts w:hint="eastAsia" w:ascii="宋体" w:hAnsi="宋体" w:eastAsia="宋体" w:cs="宋体"/>
          <w:sz w:val="24"/>
          <w:szCs w:val="24"/>
        </w:rPr>
      </w:pPr>
      <w:bookmarkStart w:id="0" w:name="_Hlk140149940"/>
      <w:r>
        <w:rPr>
          <w:rFonts w:hint="eastAsia" w:ascii="宋体" w:hAnsi="宋体" w:eastAsia="宋体" w:cs="宋体"/>
          <w:sz w:val="24"/>
          <w:szCs w:val="24"/>
        </w:rPr>
        <w:t>（1）提供的维保服务应满足《馆藏文物防震规范》及文物保护的相关要求；</w:t>
      </w:r>
    </w:p>
    <w:p w14:paraId="36F641AD">
      <w:pPr>
        <w:pStyle w:val="6"/>
        <w:ind w:firstLine="600" w:firstLineChars="0"/>
        <w:jc w:val="both"/>
        <w:rPr>
          <w:rFonts w:hint="eastAsia" w:ascii="宋体" w:hAnsi="宋体" w:eastAsia="宋体" w:cs="宋体"/>
          <w:sz w:val="24"/>
          <w:szCs w:val="24"/>
        </w:rPr>
      </w:pPr>
      <w:r>
        <w:rPr>
          <w:rFonts w:hint="eastAsia" w:ascii="宋体" w:hAnsi="宋体" w:eastAsia="宋体" w:cs="宋体"/>
          <w:sz w:val="24"/>
          <w:szCs w:val="24"/>
        </w:rPr>
        <w:t>（2）供应商应指定一名项目负责人，全权全程负责本项目的服务以及售后等服务工作并在本合同签订后的3日内提供该负责人的姓名及联系方式。供应商应配备不少于4名服务人员，项目负责人应具备相应资格证书或类似工作经验。</w:t>
      </w:r>
    </w:p>
    <w:p w14:paraId="2496637E">
      <w:pPr>
        <w:pStyle w:val="3"/>
        <w:keepNext w:val="0"/>
        <w:keepLines w:val="0"/>
        <w:spacing w:before="0" w:after="0" w:line="360" w:lineRule="auto"/>
        <w:ind w:firstLine="470" w:firstLineChars="195"/>
        <w:rPr>
          <w:rFonts w:hint="eastAsia" w:ascii="宋体" w:hAnsi="宋体" w:eastAsia="宋体" w:cs="宋体"/>
          <w:sz w:val="24"/>
          <w:szCs w:val="24"/>
        </w:rPr>
      </w:pPr>
      <w:r>
        <w:rPr>
          <w:rFonts w:hint="eastAsia" w:ascii="宋体" w:hAnsi="宋体" w:eastAsia="宋体" w:cs="宋体"/>
          <w:sz w:val="24"/>
          <w:szCs w:val="24"/>
        </w:rPr>
        <w:t>（四）其他专业要求</w:t>
      </w:r>
    </w:p>
    <w:p w14:paraId="45D73D77">
      <w:pPr>
        <w:pStyle w:val="6"/>
        <w:ind w:firstLine="60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（1）根据设备场地条件的特殊性，供应商需到场就地实施工作。供应商在实施工程中做好防护措施，保障实施场地内的文物及人员安全。</w:t>
      </w:r>
    </w:p>
    <w:p w14:paraId="248AEBDB">
      <w:pPr>
        <w:pStyle w:val="6"/>
        <w:ind w:firstLine="600" w:firstLineChars="0"/>
        <w:jc w:val="both"/>
        <w:rPr>
          <w:rFonts w:hint="eastAsia" w:ascii="宋体" w:hAnsi="宋体" w:eastAsia="宋体" w:cs="宋体"/>
          <w:sz w:val="24"/>
          <w:szCs w:val="24"/>
        </w:rPr>
      </w:pPr>
      <w:r>
        <w:rPr>
          <w:rFonts w:hint="eastAsia" w:ascii="宋体" w:hAnsi="宋体" w:eastAsia="宋体" w:cs="宋体"/>
          <w:sz w:val="24"/>
          <w:szCs w:val="24"/>
          <w:highlight w:val="none"/>
        </w:rPr>
        <w:t>（2）因部分防震预防性保护设施设备在展厅，</w:t>
      </w:r>
      <w:r>
        <w:rPr>
          <w:rFonts w:hint="eastAsia" w:ascii="宋体" w:hAnsi="宋体" w:eastAsia="宋体" w:cs="宋体"/>
          <w:sz w:val="24"/>
          <w:szCs w:val="24"/>
          <w:highlight w:val="none"/>
          <w:lang w:val="en-US" w:eastAsia="zh-CN"/>
        </w:rPr>
        <w:t>需</w:t>
      </w:r>
      <w:r>
        <w:rPr>
          <w:rFonts w:hint="eastAsia" w:ascii="宋体" w:hAnsi="宋体" w:eastAsia="宋体" w:cs="宋体"/>
          <w:sz w:val="24"/>
          <w:szCs w:val="24"/>
          <w:highlight w:val="none"/>
        </w:rPr>
        <w:t>最大程度的不影响博物馆正常运营，展厅内</w:t>
      </w:r>
      <w:r>
        <w:rPr>
          <w:rFonts w:hint="eastAsia" w:ascii="宋体" w:hAnsi="宋体" w:eastAsia="宋体" w:cs="宋体"/>
          <w:sz w:val="24"/>
          <w:szCs w:val="24"/>
          <w:highlight w:val="none"/>
          <w:lang w:val="en-US" w:eastAsia="zh-CN"/>
        </w:rPr>
        <w:t>部分</w:t>
      </w:r>
      <w:r>
        <w:rPr>
          <w:rFonts w:hint="eastAsia" w:ascii="宋体" w:hAnsi="宋体" w:eastAsia="宋体" w:cs="宋体"/>
          <w:sz w:val="24"/>
          <w:szCs w:val="24"/>
          <w:highlight w:val="none"/>
        </w:rPr>
        <w:t>防震预防性保护设施设备维护保养需要在博物馆闭馆时进行。</w:t>
      </w:r>
    </w:p>
    <w:bookmarkEnd w:id="0"/>
    <w:p w14:paraId="016692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、项目验收</w:t>
      </w:r>
    </w:p>
    <w:p w14:paraId="0F6B83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成交人</w:t>
      </w:r>
      <w:r>
        <w:rPr>
          <w:rFonts w:hint="eastAsia" w:ascii="宋体" w:hAnsi="宋体" w:eastAsia="宋体" w:cs="宋体"/>
          <w:sz w:val="24"/>
          <w:szCs w:val="24"/>
          <w:highlight w:val="none"/>
        </w:rPr>
        <w:t>到场开展维护工作后，</w:t>
      </w:r>
      <w:r>
        <w:rPr>
          <w:rFonts w:hint="eastAsia" w:ascii="宋体" w:hAnsi="宋体" w:eastAsia="宋体" w:cs="宋体"/>
          <w:sz w:val="24"/>
          <w:szCs w:val="24"/>
          <w:highlight w:val="none"/>
          <w:lang w:eastAsia="zh-CN"/>
        </w:rPr>
        <w:t>成交人</w:t>
      </w:r>
      <w:r>
        <w:rPr>
          <w:rFonts w:hint="eastAsia" w:ascii="宋体" w:hAnsi="宋体" w:eastAsia="宋体" w:cs="宋体"/>
          <w:sz w:val="24"/>
          <w:szCs w:val="24"/>
          <w:highlight w:val="none"/>
        </w:rPr>
        <w:t>应当做好维护记录，当维护工作全部完成后，</w:t>
      </w:r>
      <w:r>
        <w:rPr>
          <w:rFonts w:hint="eastAsia" w:ascii="宋体" w:hAnsi="宋体" w:eastAsia="宋体" w:cs="宋体"/>
          <w:sz w:val="24"/>
          <w:szCs w:val="24"/>
          <w:highlight w:val="none"/>
          <w:lang w:eastAsia="zh-CN"/>
        </w:rPr>
        <w:t>成交人</w:t>
      </w:r>
      <w:r>
        <w:rPr>
          <w:rFonts w:hint="eastAsia" w:ascii="宋体" w:hAnsi="宋体" w:eastAsia="宋体" w:cs="宋体"/>
          <w:sz w:val="24"/>
          <w:szCs w:val="24"/>
          <w:highlight w:val="none"/>
        </w:rPr>
        <w:t>应向</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提供完整的维护工作报告，由</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组织验收，并以</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出具书面验收单为准。</w:t>
      </w:r>
    </w:p>
    <w:p w14:paraId="2DD242CE">
      <w:pPr>
        <w:pStyle w:val="2"/>
        <w:keepNext w:val="0"/>
        <w:keepLines w:val="0"/>
        <w:spacing w:before="120" w:beforeLines="50" w:after="0" w:line="360" w:lineRule="auto"/>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三、维护保养服务内容及技术要求</w:t>
      </w:r>
    </w:p>
    <w:tbl>
      <w:tblPr>
        <w:tblStyle w:val="4"/>
        <w:tblW w:w="8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1851"/>
        <w:gridCol w:w="5945"/>
      </w:tblGrid>
      <w:tr w14:paraId="32A9A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818" w:type="dxa"/>
            <w:tcBorders>
              <w:top w:val="single" w:color="auto" w:sz="4" w:space="0"/>
              <w:left w:val="single" w:color="auto" w:sz="4" w:space="0"/>
              <w:bottom w:val="single" w:color="auto" w:sz="4" w:space="0"/>
              <w:right w:val="single" w:color="auto" w:sz="4" w:space="0"/>
            </w:tcBorders>
            <w:noWrap w:val="0"/>
            <w:vAlign w:val="center"/>
          </w:tcPr>
          <w:p w14:paraId="7C48D369">
            <w:pPr>
              <w:pStyle w:val="7"/>
              <w:widowControl/>
              <w:adjustRightInd w:val="0"/>
              <w:spacing w:line="360" w:lineRule="auto"/>
              <w:ind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序号</w:t>
            </w:r>
          </w:p>
        </w:tc>
        <w:tc>
          <w:tcPr>
            <w:tcW w:w="1851" w:type="dxa"/>
            <w:tcBorders>
              <w:top w:val="single" w:color="auto" w:sz="4" w:space="0"/>
              <w:left w:val="single" w:color="auto" w:sz="4" w:space="0"/>
              <w:bottom w:val="single" w:color="auto" w:sz="4" w:space="0"/>
              <w:right w:val="single" w:color="auto" w:sz="4" w:space="0"/>
            </w:tcBorders>
            <w:noWrap w:val="0"/>
            <w:vAlign w:val="center"/>
          </w:tcPr>
          <w:p w14:paraId="57A40889">
            <w:pPr>
              <w:pStyle w:val="7"/>
              <w:widowControl/>
              <w:adjustRightInd w:val="0"/>
              <w:spacing w:line="36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维保设备</w:t>
            </w:r>
          </w:p>
        </w:tc>
        <w:tc>
          <w:tcPr>
            <w:tcW w:w="5945" w:type="dxa"/>
            <w:tcBorders>
              <w:top w:val="single" w:color="auto" w:sz="4" w:space="0"/>
              <w:left w:val="single" w:color="auto" w:sz="4" w:space="0"/>
              <w:bottom w:val="single" w:color="auto" w:sz="4" w:space="0"/>
              <w:right w:val="single" w:color="auto" w:sz="4" w:space="0"/>
            </w:tcBorders>
            <w:noWrap w:val="0"/>
            <w:vAlign w:val="center"/>
          </w:tcPr>
          <w:p w14:paraId="761FDA9E">
            <w:pPr>
              <w:pStyle w:val="7"/>
              <w:widowControl/>
              <w:adjustRightInd w:val="0"/>
              <w:spacing w:line="36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技术服务要求</w:t>
            </w:r>
          </w:p>
        </w:tc>
      </w:tr>
      <w:tr w14:paraId="6F568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3" w:hRule="atLeast"/>
          <w:jc w:val="center"/>
        </w:trPr>
        <w:tc>
          <w:tcPr>
            <w:tcW w:w="818" w:type="dxa"/>
            <w:tcBorders>
              <w:top w:val="single" w:color="auto" w:sz="4" w:space="0"/>
              <w:left w:val="single" w:color="auto" w:sz="4" w:space="0"/>
              <w:bottom w:val="single" w:color="auto" w:sz="4" w:space="0"/>
              <w:right w:val="single" w:color="auto" w:sz="4" w:space="0"/>
            </w:tcBorders>
            <w:noWrap w:val="0"/>
            <w:vAlign w:val="center"/>
          </w:tcPr>
          <w:p w14:paraId="51F6982B">
            <w:pPr>
              <w:spacing w:line="360" w:lineRule="auto"/>
              <w:contextualSpacing/>
              <w:jc w:val="center"/>
              <w:rPr>
                <w:rFonts w:hint="eastAsia" w:ascii="宋体" w:hAnsi="宋体" w:eastAsia="宋体" w:cs="宋体"/>
                <w:b/>
                <w:bCs/>
                <w:sz w:val="24"/>
                <w:szCs w:val="24"/>
              </w:rPr>
            </w:pPr>
            <w:r>
              <w:rPr>
                <w:rFonts w:hint="eastAsia" w:ascii="宋体" w:hAnsi="宋体" w:eastAsia="宋体" w:cs="宋体"/>
                <w:sz w:val="24"/>
                <w:szCs w:val="24"/>
              </w:rPr>
              <w:t>1</w:t>
            </w:r>
          </w:p>
        </w:tc>
        <w:tc>
          <w:tcPr>
            <w:tcW w:w="1851" w:type="dxa"/>
            <w:tcBorders>
              <w:top w:val="single" w:color="auto" w:sz="4" w:space="0"/>
              <w:left w:val="single" w:color="auto" w:sz="4" w:space="0"/>
              <w:bottom w:val="single" w:color="auto" w:sz="4" w:space="0"/>
              <w:right w:val="single" w:color="auto" w:sz="4" w:space="0"/>
            </w:tcBorders>
            <w:noWrap w:val="0"/>
            <w:vAlign w:val="center"/>
          </w:tcPr>
          <w:p w14:paraId="06F2109C">
            <w:pPr>
              <w:spacing w:line="360" w:lineRule="auto"/>
              <w:contextualSpacing/>
              <w:jc w:val="both"/>
              <w:rPr>
                <w:rFonts w:hint="eastAsia" w:ascii="宋体" w:hAnsi="宋体" w:eastAsia="宋体" w:cs="宋体"/>
                <w:b/>
                <w:bCs/>
                <w:sz w:val="24"/>
                <w:szCs w:val="24"/>
                <w:lang w:val="en-US" w:eastAsia="zh-CN"/>
              </w:rPr>
            </w:pPr>
            <w:r>
              <w:rPr>
                <w:rFonts w:hint="eastAsia" w:ascii="宋体" w:hAnsi="宋体" w:eastAsia="宋体" w:cs="宋体"/>
                <w:kern w:val="2"/>
                <w:sz w:val="24"/>
                <w:szCs w:val="24"/>
              </w:rPr>
              <w:t>重型并联防震装置</w:t>
            </w:r>
            <w:r>
              <w:rPr>
                <w:rFonts w:hint="eastAsia" w:ascii="宋体" w:hAnsi="宋体" w:eastAsia="宋体" w:cs="宋体"/>
                <w:kern w:val="2"/>
                <w:sz w:val="24"/>
                <w:szCs w:val="24"/>
                <w:lang w:val="en-US" w:eastAsia="zh-CN"/>
              </w:rPr>
              <w:t>114套</w:t>
            </w:r>
          </w:p>
        </w:tc>
        <w:tc>
          <w:tcPr>
            <w:tcW w:w="5945" w:type="dxa"/>
            <w:tcBorders>
              <w:top w:val="single" w:color="auto" w:sz="4" w:space="0"/>
              <w:left w:val="single" w:color="auto" w:sz="4" w:space="0"/>
              <w:bottom w:val="single" w:color="auto" w:sz="4" w:space="0"/>
              <w:right w:val="single" w:color="auto" w:sz="4" w:space="0"/>
            </w:tcBorders>
            <w:noWrap w:val="0"/>
            <w:vAlign w:val="center"/>
          </w:tcPr>
          <w:p w14:paraId="15EB680E">
            <w:pPr>
              <w:widowControl w:val="0"/>
              <w:numPr>
                <w:ilvl w:val="0"/>
                <w:numId w:val="0"/>
              </w:numPr>
              <w:adjustRightInd/>
              <w:snapToGrid/>
              <w:spacing w:after="0" w:line="360" w:lineRule="auto"/>
              <w:ind w:left="440" w:leftChars="0" w:hanging="440" w:firstLineChars="0"/>
              <w:contextualSpacing/>
              <w:jc w:val="both"/>
              <w:rPr>
                <w:rFonts w:hint="eastAsia" w:ascii="宋体" w:hAnsi="宋体" w:eastAsia="宋体" w:cs="宋体"/>
                <w:bCs/>
                <w:sz w:val="24"/>
                <w:szCs w:val="24"/>
              </w:rPr>
            </w:pPr>
            <w:r>
              <w:rPr>
                <w:rFonts w:hint="eastAsia" w:ascii="宋体" w:hAnsi="宋体" w:eastAsia="宋体" w:cs="宋体"/>
                <w:bCs/>
                <w:kern w:val="2"/>
                <w:sz w:val="24"/>
                <w:szCs w:val="24"/>
                <w:lang w:val="en-US" w:eastAsia="zh-CN" w:bidi="ar-SA"/>
              </w:rPr>
              <w:t>1.</w:t>
            </w:r>
            <w:r>
              <w:rPr>
                <w:rFonts w:hint="eastAsia" w:ascii="宋体" w:hAnsi="宋体" w:eastAsia="宋体" w:cs="宋体"/>
                <w:bCs/>
                <w:sz w:val="24"/>
                <w:szCs w:val="24"/>
              </w:rPr>
              <w:t>上下钢板、中部滑块、导轨检查及润滑处理</w:t>
            </w:r>
          </w:p>
          <w:p w14:paraId="28AC3513">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rPr>
              <w:t>a)内容包括防震装置上下钢板、自身滑块、导轨清洁度检查；</w:t>
            </w:r>
          </w:p>
          <w:p w14:paraId="50D6CD82">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rPr>
              <w:t>b)对导轨洁净度、导轨变形和连接螺栓有无松动进行检查；</w:t>
            </w:r>
          </w:p>
          <w:p w14:paraId="4695B033">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rPr>
              <w:t>c)滑块、导轨均属高精密设备，需对该处表面进行清洁和润滑处理；</w:t>
            </w:r>
          </w:p>
          <w:p w14:paraId="5661ABA8">
            <w:pPr>
              <w:widowControl w:val="0"/>
              <w:numPr>
                <w:ilvl w:val="0"/>
                <w:numId w:val="0"/>
              </w:numPr>
              <w:adjustRightInd/>
              <w:snapToGrid/>
              <w:spacing w:after="0" w:line="360" w:lineRule="auto"/>
              <w:ind w:left="440" w:leftChars="0" w:hanging="440" w:firstLineChars="0"/>
              <w:contextualSpacing/>
              <w:jc w:val="both"/>
              <w:rPr>
                <w:rFonts w:hint="eastAsia" w:ascii="宋体" w:hAnsi="宋体" w:eastAsia="宋体" w:cs="宋体"/>
                <w:bCs/>
                <w:sz w:val="24"/>
                <w:szCs w:val="24"/>
              </w:rPr>
            </w:pPr>
            <w:r>
              <w:rPr>
                <w:rFonts w:hint="eastAsia" w:ascii="宋体" w:hAnsi="宋体" w:eastAsia="宋体" w:cs="宋体"/>
                <w:bCs/>
                <w:kern w:val="2"/>
                <w:sz w:val="24"/>
                <w:szCs w:val="24"/>
                <w:lang w:val="en-US" w:eastAsia="zh-CN" w:bidi="ar-SA"/>
              </w:rPr>
              <w:t>2.</w:t>
            </w:r>
            <w:r>
              <w:rPr>
                <w:rFonts w:hint="eastAsia" w:ascii="宋体" w:hAnsi="宋体" w:eastAsia="宋体" w:cs="宋体"/>
                <w:bCs/>
                <w:sz w:val="24"/>
                <w:szCs w:val="24"/>
              </w:rPr>
              <w:t>阻尼器检查</w:t>
            </w:r>
          </w:p>
          <w:p w14:paraId="3BD54B16">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rPr>
              <w:t>对阻尼器的完整性和密封性进行检查。</w:t>
            </w:r>
          </w:p>
          <w:p w14:paraId="723B08B5">
            <w:pPr>
              <w:widowControl w:val="0"/>
              <w:numPr>
                <w:ilvl w:val="0"/>
                <w:numId w:val="0"/>
              </w:numPr>
              <w:adjustRightInd/>
              <w:snapToGrid/>
              <w:spacing w:after="0" w:line="360" w:lineRule="auto"/>
              <w:ind w:left="440" w:leftChars="0" w:hanging="440" w:firstLineChars="0"/>
              <w:contextualSpacing/>
              <w:jc w:val="both"/>
              <w:rPr>
                <w:rFonts w:hint="eastAsia" w:ascii="宋体" w:hAnsi="宋体" w:eastAsia="宋体" w:cs="宋体"/>
                <w:bCs/>
                <w:sz w:val="24"/>
                <w:szCs w:val="24"/>
              </w:rPr>
            </w:pPr>
            <w:r>
              <w:rPr>
                <w:rFonts w:hint="eastAsia" w:ascii="宋体" w:hAnsi="宋体" w:eastAsia="宋体" w:cs="宋体"/>
                <w:bCs/>
                <w:kern w:val="2"/>
                <w:sz w:val="24"/>
                <w:szCs w:val="24"/>
                <w:lang w:val="en-US" w:eastAsia="zh-CN" w:bidi="ar-SA"/>
              </w:rPr>
              <w:t>3.</w:t>
            </w:r>
            <w:r>
              <w:rPr>
                <w:rFonts w:hint="eastAsia" w:ascii="宋体" w:hAnsi="宋体" w:eastAsia="宋体" w:cs="宋体"/>
                <w:bCs/>
                <w:sz w:val="24"/>
                <w:szCs w:val="24"/>
              </w:rPr>
              <w:t>防震装置稳定性检查</w:t>
            </w:r>
          </w:p>
          <w:p w14:paraId="0B66A06A">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rPr>
              <w:t>a)应使用水平仪对防震装置水平度进行检查复核；</w:t>
            </w:r>
          </w:p>
          <w:p w14:paraId="3672D7CC">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rPr>
              <w:t>b)检查防震装置四个地脚与地面接触情况。</w:t>
            </w:r>
          </w:p>
          <w:p w14:paraId="2C133A40">
            <w:pPr>
              <w:widowControl w:val="0"/>
              <w:numPr>
                <w:ilvl w:val="0"/>
                <w:numId w:val="0"/>
              </w:numPr>
              <w:adjustRightInd/>
              <w:snapToGrid/>
              <w:spacing w:after="0" w:line="360" w:lineRule="auto"/>
              <w:ind w:left="440" w:leftChars="0" w:hanging="440" w:firstLineChars="0"/>
              <w:contextualSpacing/>
              <w:jc w:val="both"/>
              <w:rPr>
                <w:rFonts w:hint="eastAsia" w:ascii="宋体" w:hAnsi="宋体" w:eastAsia="宋体" w:cs="宋体"/>
                <w:bCs/>
                <w:sz w:val="24"/>
                <w:szCs w:val="24"/>
              </w:rPr>
            </w:pPr>
            <w:r>
              <w:rPr>
                <w:rFonts w:hint="eastAsia" w:ascii="宋体" w:hAnsi="宋体" w:eastAsia="宋体" w:cs="宋体"/>
                <w:bCs/>
                <w:kern w:val="2"/>
                <w:sz w:val="24"/>
                <w:szCs w:val="24"/>
                <w:lang w:val="en-US" w:eastAsia="zh-CN" w:bidi="ar-SA"/>
              </w:rPr>
              <w:t>4.</w:t>
            </w:r>
            <w:r>
              <w:rPr>
                <w:rFonts w:hint="eastAsia" w:ascii="宋体" w:hAnsi="宋体" w:eastAsia="宋体" w:cs="宋体"/>
                <w:bCs/>
                <w:sz w:val="24"/>
                <w:szCs w:val="24"/>
              </w:rPr>
              <w:t>防震装置周边环境检查</w:t>
            </w:r>
          </w:p>
          <w:p w14:paraId="5D5FC5B4">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rPr>
              <w:t>a）防震装置顶部与石碑基础之间的灌缝是否有缝隙，灌浆料是否有酥软状态；</w:t>
            </w:r>
          </w:p>
          <w:p w14:paraId="198FB6B3">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rPr>
              <w:t>b）防震装置与夹持钢梁的连接状态是否牢靠，连接螺栓是否处于拧紧状态；</w:t>
            </w:r>
          </w:p>
          <w:p w14:paraId="1CEDC82E">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rPr>
              <w:t>c)对防震装置所处地沟环境进行清洁，确保地沟干燥整洁，避免地沟内杂物限制防震设备位移。</w:t>
            </w:r>
          </w:p>
          <w:p w14:paraId="1615A558">
            <w:pPr>
              <w:widowControl w:val="0"/>
              <w:numPr>
                <w:ilvl w:val="0"/>
                <w:numId w:val="0"/>
              </w:numPr>
              <w:adjustRightInd/>
              <w:snapToGrid/>
              <w:spacing w:after="0" w:line="360" w:lineRule="auto"/>
              <w:ind w:left="440" w:leftChars="0" w:hanging="440" w:firstLineChars="0"/>
              <w:contextualSpacing/>
              <w:jc w:val="both"/>
              <w:rPr>
                <w:rFonts w:hint="eastAsia" w:ascii="宋体" w:hAnsi="宋体" w:eastAsia="宋体" w:cs="宋体"/>
                <w:bCs/>
                <w:sz w:val="24"/>
                <w:szCs w:val="24"/>
              </w:rPr>
            </w:pPr>
            <w:r>
              <w:rPr>
                <w:rFonts w:hint="eastAsia" w:ascii="宋体" w:hAnsi="宋体" w:eastAsia="宋体" w:cs="宋体"/>
                <w:bCs/>
                <w:kern w:val="2"/>
                <w:sz w:val="24"/>
                <w:szCs w:val="24"/>
                <w:lang w:val="en-US" w:eastAsia="zh-CN" w:bidi="ar-SA"/>
              </w:rPr>
              <w:t>5.</w:t>
            </w:r>
            <w:r>
              <w:rPr>
                <w:rFonts w:hint="eastAsia" w:ascii="宋体" w:hAnsi="宋体" w:eastAsia="宋体" w:cs="宋体"/>
                <w:bCs/>
                <w:sz w:val="24"/>
                <w:szCs w:val="24"/>
              </w:rPr>
              <w:t>防震锁定装置检查与复位</w:t>
            </w:r>
          </w:p>
          <w:p w14:paraId="0BC06976">
            <w:pPr>
              <w:numPr>
                <w:ilvl w:val="0"/>
                <w:numId w:val="0"/>
              </w:numPr>
              <w:spacing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lang w:val="en-US" w:eastAsia="zh-CN"/>
              </w:rPr>
              <w:t>a)</w:t>
            </w:r>
            <w:r>
              <w:rPr>
                <w:rFonts w:hint="eastAsia" w:ascii="宋体" w:hAnsi="宋体" w:eastAsia="宋体" w:cs="宋体"/>
                <w:bCs/>
                <w:sz w:val="24"/>
                <w:szCs w:val="24"/>
              </w:rPr>
              <w:t>首先检查锁定装置状态，是否处于锁定状态，若非锁定状态或滑块严重错位，并查明引起启动的原因，恢复锁定装置为锁定状态；</w:t>
            </w:r>
          </w:p>
          <w:p w14:paraId="6A784EA8">
            <w:pPr>
              <w:numPr>
                <w:ilvl w:val="0"/>
                <w:numId w:val="0"/>
              </w:numPr>
              <w:spacing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lang w:val="en-US" w:eastAsia="zh-CN"/>
              </w:rPr>
              <w:t>b)</w:t>
            </w:r>
            <w:r>
              <w:rPr>
                <w:rFonts w:hint="eastAsia" w:ascii="宋体" w:hAnsi="宋体" w:eastAsia="宋体" w:cs="宋体"/>
                <w:bCs/>
                <w:sz w:val="24"/>
                <w:szCs w:val="24"/>
              </w:rPr>
              <w:t>检查锁定装置内部相关部件连接是否正常，活动是否顺畅；</w:t>
            </w:r>
          </w:p>
          <w:p w14:paraId="1A65C689">
            <w:pPr>
              <w:numPr>
                <w:ilvl w:val="0"/>
                <w:numId w:val="0"/>
              </w:numPr>
              <w:spacing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lang w:val="en-US" w:eastAsia="zh-CN"/>
              </w:rPr>
              <w:t>c)</w:t>
            </w:r>
            <w:r>
              <w:rPr>
                <w:rFonts w:hint="eastAsia" w:ascii="宋体" w:hAnsi="宋体" w:eastAsia="宋体" w:cs="宋体"/>
                <w:bCs/>
                <w:sz w:val="24"/>
                <w:szCs w:val="24"/>
              </w:rPr>
              <w:t>所有部件表面有无灰尘或锈蚀，若表面洁净度不能满足设计要求，应进行必要的清理和擦拭。</w:t>
            </w:r>
          </w:p>
          <w:p w14:paraId="580B2C06">
            <w:pPr>
              <w:widowControl w:val="0"/>
              <w:numPr>
                <w:ilvl w:val="0"/>
                <w:numId w:val="0"/>
              </w:numPr>
              <w:adjustRightInd/>
              <w:snapToGrid/>
              <w:spacing w:after="0" w:line="360" w:lineRule="auto"/>
              <w:ind w:left="440" w:leftChars="0" w:hanging="440" w:firstLineChars="0"/>
              <w:contextualSpacing/>
              <w:jc w:val="both"/>
              <w:rPr>
                <w:rFonts w:hint="eastAsia" w:ascii="宋体" w:hAnsi="宋体" w:eastAsia="宋体" w:cs="宋体"/>
                <w:bCs/>
                <w:sz w:val="24"/>
                <w:szCs w:val="24"/>
              </w:rPr>
            </w:pPr>
            <w:r>
              <w:rPr>
                <w:rFonts w:hint="eastAsia" w:ascii="宋体" w:hAnsi="宋体" w:eastAsia="宋体" w:cs="宋体"/>
                <w:bCs/>
                <w:kern w:val="2"/>
                <w:sz w:val="24"/>
                <w:szCs w:val="24"/>
                <w:lang w:val="en-US" w:eastAsia="zh-CN" w:bidi="ar-SA"/>
              </w:rPr>
              <w:t>6.</w:t>
            </w:r>
            <w:r>
              <w:rPr>
                <w:rFonts w:hint="eastAsia" w:ascii="宋体" w:hAnsi="宋体" w:eastAsia="宋体" w:cs="宋体"/>
                <w:bCs/>
                <w:sz w:val="24"/>
                <w:szCs w:val="24"/>
              </w:rPr>
              <w:t>配件维修与更换</w:t>
            </w:r>
          </w:p>
          <w:p w14:paraId="08926A3E">
            <w:pPr>
              <w:widowControl w:val="0"/>
              <w:adjustRightInd/>
              <w:snapToGrid/>
              <w:spacing w:after="0" w:line="360" w:lineRule="auto"/>
              <w:ind w:firstLine="480" w:firstLineChars="200"/>
              <w:contextualSpacing/>
              <w:jc w:val="both"/>
              <w:rPr>
                <w:rFonts w:hint="eastAsia" w:ascii="宋体" w:hAnsi="宋体" w:eastAsia="宋体" w:cs="宋体"/>
                <w:sz w:val="24"/>
                <w:szCs w:val="24"/>
              </w:rPr>
            </w:pPr>
            <w:r>
              <w:rPr>
                <w:rFonts w:hint="eastAsia" w:ascii="宋体" w:hAnsi="宋体" w:eastAsia="宋体" w:cs="宋体"/>
                <w:kern w:val="2"/>
                <w:sz w:val="24"/>
                <w:szCs w:val="24"/>
              </w:rPr>
              <w:t>对上述</w:t>
            </w:r>
            <w:r>
              <w:rPr>
                <w:rFonts w:hint="eastAsia" w:ascii="宋体" w:hAnsi="宋体" w:eastAsia="宋体" w:cs="宋体"/>
                <w:kern w:val="2"/>
                <w:sz w:val="24"/>
                <w:szCs w:val="24"/>
                <w:lang w:val="en-US" w:eastAsia="zh-CN"/>
              </w:rPr>
              <w:t>5</w:t>
            </w:r>
            <w:r>
              <w:rPr>
                <w:rFonts w:hint="eastAsia" w:ascii="宋体" w:hAnsi="宋体" w:eastAsia="宋体" w:cs="宋体"/>
                <w:kern w:val="2"/>
                <w:sz w:val="24"/>
                <w:szCs w:val="24"/>
              </w:rPr>
              <w:t>项检查中出现的不符合设计要求的配件及耗材进行维修或更换。</w:t>
            </w:r>
          </w:p>
        </w:tc>
      </w:tr>
      <w:tr w14:paraId="1750E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8" w:hRule="atLeast"/>
          <w:jc w:val="center"/>
        </w:trPr>
        <w:tc>
          <w:tcPr>
            <w:tcW w:w="818" w:type="dxa"/>
            <w:tcBorders>
              <w:top w:val="single" w:color="auto" w:sz="4" w:space="0"/>
              <w:left w:val="single" w:color="auto" w:sz="4" w:space="0"/>
              <w:bottom w:val="single" w:color="auto" w:sz="4" w:space="0"/>
              <w:right w:val="single" w:color="auto" w:sz="4" w:space="0"/>
            </w:tcBorders>
            <w:noWrap w:val="0"/>
            <w:vAlign w:val="center"/>
          </w:tcPr>
          <w:p w14:paraId="42DC989C">
            <w:pPr>
              <w:spacing w:line="360" w:lineRule="auto"/>
              <w:contextualSpacing/>
              <w:jc w:val="center"/>
              <w:rPr>
                <w:rFonts w:hint="eastAsia" w:ascii="宋体" w:hAnsi="宋体" w:eastAsia="宋体" w:cs="宋体"/>
                <w:sz w:val="24"/>
                <w:szCs w:val="24"/>
              </w:rPr>
            </w:pPr>
            <w:r>
              <w:rPr>
                <w:rFonts w:hint="eastAsia" w:ascii="宋体" w:hAnsi="宋体" w:eastAsia="宋体" w:cs="宋体"/>
                <w:sz w:val="24"/>
                <w:szCs w:val="24"/>
              </w:rPr>
              <w:t>2</w:t>
            </w:r>
          </w:p>
        </w:tc>
        <w:tc>
          <w:tcPr>
            <w:tcW w:w="1851" w:type="dxa"/>
            <w:tcBorders>
              <w:top w:val="single" w:color="auto" w:sz="4" w:space="0"/>
              <w:left w:val="single" w:color="auto" w:sz="4" w:space="0"/>
              <w:bottom w:val="single" w:color="auto" w:sz="4" w:space="0"/>
              <w:right w:val="single" w:color="auto" w:sz="4" w:space="0"/>
            </w:tcBorders>
            <w:noWrap w:val="0"/>
            <w:vAlign w:val="center"/>
          </w:tcPr>
          <w:p w14:paraId="3ED0F237">
            <w:pPr>
              <w:spacing w:line="360" w:lineRule="auto"/>
              <w:contextualSpacing/>
              <w:jc w:val="both"/>
              <w:rPr>
                <w:rFonts w:hint="eastAsia" w:ascii="宋体" w:hAnsi="宋体" w:eastAsia="宋体" w:cs="宋体"/>
                <w:kern w:val="2"/>
                <w:sz w:val="24"/>
                <w:szCs w:val="24"/>
                <w:lang w:val="en-US" w:eastAsia="zh-CN"/>
              </w:rPr>
            </w:pPr>
            <w:r>
              <w:rPr>
                <w:rFonts w:hint="eastAsia" w:ascii="宋体" w:hAnsi="宋体" w:eastAsia="宋体" w:cs="宋体"/>
                <w:kern w:val="2"/>
                <w:sz w:val="24"/>
                <w:szCs w:val="24"/>
              </w:rPr>
              <w:t>开成石经隔震沟</w:t>
            </w:r>
            <w:r>
              <w:rPr>
                <w:rFonts w:hint="eastAsia" w:ascii="宋体" w:hAnsi="宋体" w:eastAsia="宋体" w:cs="宋体"/>
                <w:kern w:val="2"/>
                <w:sz w:val="24"/>
                <w:szCs w:val="24"/>
                <w:lang w:val="en-US" w:eastAsia="zh-CN"/>
              </w:rPr>
              <w:t>120延米</w:t>
            </w:r>
          </w:p>
        </w:tc>
        <w:tc>
          <w:tcPr>
            <w:tcW w:w="5945" w:type="dxa"/>
            <w:tcBorders>
              <w:top w:val="single" w:color="auto" w:sz="4" w:space="0"/>
              <w:left w:val="single" w:color="auto" w:sz="4" w:space="0"/>
              <w:bottom w:val="single" w:color="auto" w:sz="4" w:space="0"/>
              <w:right w:val="single" w:color="auto" w:sz="4" w:space="0"/>
            </w:tcBorders>
            <w:noWrap w:val="0"/>
            <w:vAlign w:val="center"/>
          </w:tcPr>
          <w:p w14:paraId="143CD115">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rPr>
              <w:t>防震装置开启盖板检查与复位</w:t>
            </w:r>
          </w:p>
          <w:p w14:paraId="341773D0">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rPr>
              <w:t>a)首先检查开启盖板装置状态，是否处于可开启状态，检查盖板的合页、铰链、锁扣、螺栓、螺母等连接部件是否松动、生锈、损坏。若有松动，应及时紧固；生锈的部件可先进行除锈处理，再涂抹适量的润滑油；损坏的连接部件需及时更换，确保盖板开启和关闭灵活，连接牢固，恢复开启盖板工作状态；</w:t>
            </w:r>
          </w:p>
          <w:p w14:paraId="2153F22C">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rPr>
              <w:t>b)检查开启盖板密封胶条是否老化、变形、脱落。密封胶条的作用是防止灰尘、雨水、杂物等进入防震沟，若发现密封胶条存在问题，应及时更换新的密封胶条，以保证良好的密封性能；</w:t>
            </w:r>
          </w:p>
          <w:p w14:paraId="73B4716D">
            <w:pPr>
              <w:widowControl w:val="0"/>
              <w:numPr>
                <w:ilvl w:val="0"/>
                <w:numId w:val="0"/>
              </w:numPr>
              <w:adjustRightInd/>
              <w:snapToGrid/>
              <w:spacing w:after="0" w:line="360" w:lineRule="auto"/>
              <w:ind w:leftChars="0"/>
              <w:contextualSpacing/>
              <w:jc w:val="both"/>
              <w:rPr>
                <w:rFonts w:hint="eastAsia" w:ascii="宋体" w:hAnsi="宋体" w:eastAsia="宋体" w:cs="宋体"/>
                <w:sz w:val="24"/>
                <w:szCs w:val="24"/>
              </w:rPr>
            </w:pPr>
            <w:r>
              <w:rPr>
                <w:rFonts w:hint="eastAsia" w:ascii="宋体" w:hAnsi="宋体" w:eastAsia="宋体" w:cs="宋体"/>
                <w:bCs/>
                <w:sz w:val="24"/>
                <w:szCs w:val="24"/>
              </w:rPr>
              <w:t>c)使用扫帚、毛刷等工具，定期清扫盖板表面的灰尘、泥土、树叶、砂石等杂物，避免杂物堆积影响盖板外观及正常开启和关闭。</w:t>
            </w:r>
          </w:p>
        </w:tc>
      </w:tr>
      <w:tr w14:paraId="71FF0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8" w:hRule="atLeast"/>
          <w:jc w:val="center"/>
        </w:trPr>
        <w:tc>
          <w:tcPr>
            <w:tcW w:w="818" w:type="dxa"/>
            <w:tcBorders>
              <w:top w:val="single" w:color="auto" w:sz="4" w:space="0"/>
              <w:left w:val="single" w:color="auto" w:sz="4" w:space="0"/>
              <w:bottom w:val="single" w:color="auto" w:sz="4" w:space="0"/>
              <w:right w:val="single" w:color="auto" w:sz="4" w:space="0"/>
            </w:tcBorders>
            <w:noWrap w:val="0"/>
            <w:vAlign w:val="center"/>
          </w:tcPr>
          <w:p w14:paraId="400C595F">
            <w:pPr>
              <w:spacing w:line="360" w:lineRule="auto"/>
              <w:contextualSpacing/>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851" w:type="dxa"/>
            <w:tcBorders>
              <w:top w:val="single" w:color="auto" w:sz="4" w:space="0"/>
              <w:left w:val="single" w:color="auto" w:sz="4" w:space="0"/>
              <w:bottom w:val="single" w:color="auto" w:sz="4" w:space="0"/>
              <w:right w:val="single" w:color="auto" w:sz="4" w:space="0"/>
            </w:tcBorders>
            <w:noWrap w:val="0"/>
            <w:vAlign w:val="center"/>
          </w:tcPr>
          <w:p w14:paraId="426C2EAC">
            <w:pPr>
              <w:spacing w:line="360" w:lineRule="auto"/>
              <w:contextualSpacing/>
              <w:jc w:val="both"/>
              <w:rPr>
                <w:rFonts w:hint="eastAsia" w:ascii="宋体" w:hAnsi="宋体" w:eastAsia="宋体" w:cs="宋体"/>
                <w:kern w:val="2"/>
                <w:sz w:val="24"/>
                <w:szCs w:val="24"/>
                <w:lang w:val="en-US" w:eastAsia="zh-CN"/>
              </w:rPr>
            </w:pPr>
            <w:r>
              <w:rPr>
                <w:rFonts w:hint="eastAsia" w:ascii="宋体" w:hAnsi="宋体" w:eastAsia="宋体" w:cs="宋体"/>
                <w:kern w:val="2"/>
                <w:sz w:val="24"/>
                <w:szCs w:val="24"/>
              </w:rPr>
              <w:t>防震间接风险设施（屋架内撑钢架与拦阻拉索网）</w:t>
            </w:r>
            <w:r>
              <w:rPr>
                <w:rFonts w:hint="eastAsia" w:ascii="宋体" w:hAnsi="宋体" w:eastAsia="宋体" w:cs="宋体"/>
                <w:kern w:val="2"/>
                <w:sz w:val="24"/>
                <w:szCs w:val="24"/>
                <w:lang w:val="en-US" w:eastAsia="zh-CN"/>
              </w:rPr>
              <w:t xml:space="preserve"> 26榀</w:t>
            </w:r>
          </w:p>
        </w:tc>
        <w:tc>
          <w:tcPr>
            <w:tcW w:w="5945" w:type="dxa"/>
            <w:tcBorders>
              <w:top w:val="single" w:color="auto" w:sz="4" w:space="0"/>
              <w:left w:val="single" w:color="auto" w:sz="4" w:space="0"/>
              <w:bottom w:val="single" w:color="auto" w:sz="4" w:space="0"/>
              <w:right w:val="single" w:color="auto" w:sz="4" w:space="0"/>
            </w:tcBorders>
            <w:noWrap w:val="0"/>
            <w:vAlign w:val="center"/>
          </w:tcPr>
          <w:p w14:paraId="5283C2E5">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rPr>
              <w:t>a)清洁要求：使用干净的软布或毛刷，清除钢框架表面的灰尘、污垢和杂物，避免使用腐蚀性清洁剂，防止损伤表面涂层。</w:t>
            </w:r>
          </w:p>
          <w:p w14:paraId="06B739A8">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rPr>
              <w:t>b)结构检查：进行结构检查，重点检查钢框架的连接部位，如拉索螺栓、连接焊缝等。查看螺栓是否有松动、缺失，焊缝是否有裂缝、脱焊等情况。使用扭矩扳手对螺栓进行紧固，确保达到规定的扭矩值。</w:t>
            </w:r>
          </w:p>
          <w:p w14:paraId="3594CF85">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rPr>
              <w:t>c)防腐处理：每年检查钢框架的防腐涂层，如发现涂层有脱落、破损，应及时进行修补。先将破损处的锈迹和旧涂层清理干净，再涂抹防锈底漆，最后喷涂与原涂层相同颜色和材质的面漆，保证防腐效果。</w:t>
            </w:r>
          </w:p>
          <w:p w14:paraId="71C23912">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lang w:val="en-US" w:eastAsia="zh-CN"/>
              </w:rPr>
              <w:t>d）</w:t>
            </w:r>
            <w:r>
              <w:rPr>
                <w:rFonts w:hint="eastAsia" w:ascii="宋体" w:hAnsi="宋体" w:eastAsia="宋体" w:cs="宋体"/>
                <w:bCs/>
                <w:sz w:val="24"/>
                <w:szCs w:val="24"/>
              </w:rPr>
              <w:t>锈蚀检查</w:t>
            </w:r>
            <w:r>
              <w:rPr>
                <w:rFonts w:hint="eastAsia" w:ascii="宋体" w:hAnsi="宋体" w:eastAsia="宋体" w:cs="宋体"/>
                <w:bCs/>
                <w:sz w:val="24"/>
                <w:szCs w:val="24"/>
                <w:lang w:eastAsia="zh-CN"/>
              </w:rPr>
              <w:t>：</w:t>
            </w:r>
            <w:r>
              <w:rPr>
                <w:rFonts w:hint="eastAsia" w:ascii="宋体" w:hAnsi="宋体" w:eastAsia="宋体" w:cs="宋体"/>
                <w:bCs/>
                <w:sz w:val="24"/>
                <w:szCs w:val="24"/>
              </w:rPr>
              <w:t>仔细查看拉索表面有无锈蚀痕迹，特别是在拉索的锚固端、转向部位以及容易积水的区域。进行目视检查，一旦发现锈蚀点，应立即采取除锈措施。对于锈蚀较为严重的拉索，需评估其安全性，必要时进行更换。</w:t>
            </w:r>
          </w:p>
        </w:tc>
      </w:tr>
      <w:tr w14:paraId="71067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8" w:hRule="atLeast"/>
          <w:jc w:val="center"/>
        </w:trPr>
        <w:tc>
          <w:tcPr>
            <w:tcW w:w="818" w:type="dxa"/>
            <w:tcBorders>
              <w:top w:val="single" w:color="auto" w:sz="4" w:space="0"/>
              <w:left w:val="single" w:color="auto" w:sz="4" w:space="0"/>
              <w:bottom w:val="single" w:color="auto" w:sz="4" w:space="0"/>
              <w:right w:val="single" w:color="auto" w:sz="4" w:space="0"/>
            </w:tcBorders>
            <w:noWrap w:val="0"/>
            <w:vAlign w:val="center"/>
          </w:tcPr>
          <w:p w14:paraId="040A6D2F">
            <w:pPr>
              <w:spacing w:line="360" w:lineRule="auto"/>
              <w:contextualSpacing/>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1851" w:type="dxa"/>
            <w:tcBorders>
              <w:top w:val="single" w:color="auto" w:sz="4" w:space="0"/>
              <w:left w:val="single" w:color="auto" w:sz="4" w:space="0"/>
              <w:bottom w:val="single" w:color="auto" w:sz="4" w:space="0"/>
              <w:right w:val="single" w:color="auto" w:sz="4" w:space="0"/>
            </w:tcBorders>
            <w:noWrap w:val="0"/>
            <w:vAlign w:val="center"/>
          </w:tcPr>
          <w:p w14:paraId="18AB6643">
            <w:pPr>
              <w:spacing w:line="360" w:lineRule="auto"/>
              <w:contextualSpacing/>
              <w:jc w:val="both"/>
              <w:rPr>
                <w:rFonts w:hint="eastAsia" w:ascii="宋体" w:hAnsi="宋体" w:eastAsia="宋体" w:cs="宋体"/>
                <w:kern w:val="2"/>
                <w:sz w:val="24"/>
                <w:szCs w:val="24"/>
                <w:lang w:val="en-US" w:eastAsia="zh-CN"/>
              </w:rPr>
            </w:pPr>
            <w:r>
              <w:rPr>
                <w:rFonts w:hint="eastAsia" w:ascii="宋体" w:hAnsi="宋体" w:eastAsia="宋体" w:cs="宋体"/>
                <w:kern w:val="2"/>
                <w:sz w:val="24"/>
                <w:szCs w:val="24"/>
              </w:rPr>
              <w:t>地震监测系统</w:t>
            </w:r>
            <w:r>
              <w:rPr>
                <w:rFonts w:hint="eastAsia" w:ascii="宋体" w:hAnsi="宋体" w:eastAsia="宋体" w:cs="宋体"/>
                <w:kern w:val="2"/>
                <w:sz w:val="24"/>
                <w:szCs w:val="24"/>
                <w:lang w:val="en-US" w:eastAsia="zh-CN"/>
              </w:rPr>
              <w:t xml:space="preserve"> 1套</w:t>
            </w:r>
          </w:p>
        </w:tc>
        <w:tc>
          <w:tcPr>
            <w:tcW w:w="5945" w:type="dxa"/>
            <w:tcBorders>
              <w:top w:val="single" w:color="auto" w:sz="4" w:space="0"/>
              <w:left w:val="single" w:color="auto" w:sz="4" w:space="0"/>
              <w:bottom w:val="single" w:color="auto" w:sz="4" w:space="0"/>
              <w:right w:val="single" w:color="auto" w:sz="4" w:space="0"/>
            </w:tcBorders>
            <w:noWrap w:val="0"/>
            <w:vAlign w:val="center"/>
          </w:tcPr>
          <w:p w14:paraId="0B563B06">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rPr>
              <w:t>a)检查系统运行是否正常，分析各监测点数据的真实性和完整性；</w:t>
            </w:r>
          </w:p>
          <w:p w14:paraId="617C31B0">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rPr>
              <w:t>b)对系统软件平台免费维护升级；</w:t>
            </w:r>
          </w:p>
          <w:p w14:paraId="21E5AC4B">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rPr>
              <w:t>c)对系统数据库进行整理并对无用数据进行定期清理；</w:t>
            </w:r>
          </w:p>
        </w:tc>
      </w:tr>
      <w:tr w14:paraId="7159D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88" w:hRule="atLeast"/>
          <w:jc w:val="center"/>
        </w:trPr>
        <w:tc>
          <w:tcPr>
            <w:tcW w:w="818" w:type="dxa"/>
            <w:tcBorders>
              <w:top w:val="single" w:color="auto" w:sz="4" w:space="0"/>
              <w:left w:val="single" w:color="auto" w:sz="4" w:space="0"/>
              <w:bottom w:val="single" w:color="auto" w:sz="4" w:space="0"/>
              <w:right w:val="single" w:color="auto" w:sz="4" w:space="0"/>
            </w:tcBorders>
            <w:noWrap w:val="0"/>
            <w:vAlign w:val="center"/>
          </w:tcPr>
          <w:p w14:paraId="3B76BEF1">
            <w:pPr>
              <w:spacing w:line="360" w:lineRule="auto"/>
              <w:contextualSpacing/>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1851" w:type="dxa"/>
            <w:tcBorders>
              <w:top w:val="single" w:color="auto" w:sz="4" w:space="0"/>
              <w:left w:val="single" w:color="auto" w:sz="4" w:space="0"/>
              <w:bottom w:val="single" w:color="auto" w:sz="4" w:space="0"/>
              <w:right w:val="single" w:color="auto" w:sz="4" w:space="0"/>
            </w:tcBorders>
            <w:noWrap w:val="0"/>
            <w:vAlign w:val="center"/>
          </w:tcPr>
          <w:p w14:paraId="3C13C1AA">
            <w:pPr>
              <w:spacing w:line="360" w:lineRule="auto"/>
              <w:contextualSpacing/>
              <w:jc w:val="both"/>
              <w:rPr>
                <w:rFonts w:hint="eastAsia" w:ascii="宋体" w:hAnsi="宋体" w:eastAsia="宋体" w:cs="宋体"/>
                <w:kern w:val="2"/>
                <w:sz w:val="24"/>
                <w:szCs w:val="24"/>
                <w:lang w:val="en-US" w:eastAsia="zh-CN"/>
              </w:rPr>
            </w:pPr>
            <w:r>
              <w:rPr>
                <w:rFonts w:hint="eastAsia" w:ascii="宋体" w:hAnsi="宋体" w:eastAsia="宋体" w:cs="宋体"/>
                <w:kern w:val="2"/>
                <w:sz w:val="24"/>
                <w:szCs w:val="24"/>
              </w:rPr>
              <w:t>开成石经高强安全低反玻璃防护设施设备维护保养</w:t>
            </w:r>
            <w:r>
              <w:rPr>
                <w:rFonts w:hint="eastAsia" w:ascii="宋体" w:hAnsi="宋体" w:eastAsia="宋体" w:cs="宋体"/>
                <w:kern w:val="2"/>
                <w:sz w:val="24"/>
                <w:szCs w:val="24"/>
                <w:lang w:val="en-US" w:eastAsia="zh-CN"/>
              </w:rPr>
              <w:t xml:space="preserve"> 240延米</w:t>
            </w:r>
          </w:p>
        </w:tc>
        <w:tc>
          <w:tcPr>
            <w:tcW w:w="5945" w:type="dxa"/>
            <w:tcBorders>
              <w:top w:val="single" w:color="auto" w:sz="4" w:space="0"/>
              <w:left w:val="single" w:color="auto" w:sz="4" w:space="0"/>
              <w:bottom w:val="single" w:color="auto" w:sz="4" w:space="0"/>
              <w:right w:val="single" w:color="auto" w:sz="4" w:space="0"/>
            </w:tcBorders>
            <w:noWrap w:val="0"/>
            <w:vAlign w:val="center"/>
          </w:tcPr>
          <w:p w14:paraId="343A882B">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rPr>
              <w:t>（1）承载型低反玻璃框架</w:t>
            </w:r>
          </w:p>
          <w:p w14:paraId="40544C12">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rPr>
              <w:t>a)检查框架清洁度；</w:t>
            </w:r>
          </w:p>
          <w:p w14:paraId="12C0EEF6">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rPr>
              <w:t>b)检查玻璃外框是否与石碑可靠连接，连接构件是否有松动情况；</w:t>
            </w:r>
          </w:p>
          <w:p w14:paraId="3D28C39F">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rPr>
              <w:t>（2）低反射玻璃</w:t>
            </w:r>
          </w:p>
          <w:p w14:paraId="652D98FC">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rPr>
              <w:t>a)玻璃外表面是否有清洁不到位、手印、胶痕迹等污迹；</w:t>
            </w:r>
          </w:p>
          <w:p w14:paraId="4A834A88">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lang w:val="en-US" w:eastAsia="zh-CN"/>
              </w:rPr>
              <w:t>b</w:t>
            </w:r>
            <w:r>
              <w:rPr>
                <w:rFonts w:hint="eastAsia" w:ascii="宋体" w:hAnsi="宋体" w:eastAsia="宋体" w:cs="宋体"/>
                <w:bCs/>
                <w:sz w:val="24"/>
                <w:szCs w:val="24"/>
              </w:rPr>
              <w:t>)玻璃与外框架连接螺栓是否松动，连接是否可靠；</w:t>
            </w:r>
          </w:p>
          <w:p w14:paraId="3AD9AB6E">
            <w:pPr>
              <w:widowControl w:val="0"/>
              <w:numPr>
                <w:ilvl w:val="0"/>
                <w:numId w:val="0"/>
              </w:numPr>
              <w:adjustRightInd/>
              <w:snapToGrid/>
              <w:spacing w:after="0" w:line="360" w:lineRule="auto"/>
              <w:ind w:leftChars="0"/>
              <w:contextualSpacing/>
              <w:jc w:val="both"/>
              <w:rPr>
                <w:rFonts w:hint="eastAsia" w:ascii="宋体" w:hAnsi="宋体" w:eastAsia="宋体" w:cs="宋体"/>
                <w:bCs/>
                <w:sz w:val="24"/>
                <w:szCs w:val="24"/>
              </w:rPr>
            </w:pPr>
            <w:r>
              <w:rPr>
                <w:rFonts w:hint="eastAsia" w:ascii="宋体" w:hAnsi="宋体" w:eastAsia="宋体" w:cs="宋体"/>
                <w:bCs/>
                <w:sz w:val="24"/>
                <w:szCs w:val="24"/>
              </w:rPr>
              <w:t>c）玻璃之间的密封条是否有老化、松动、变形等情况。</w:t>
            </w:r>
          </w:p>
        </w:tc>
      </w:tr>
    </w:tbl>
    <w:p w14:paraId="406FDD31">
      <w:bookmarkStart w:id="1" w:name="_GoBack"/>
      <w:bookmarkEnd w:id="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roman"/>
    <w:pitch w:val="default"/>
    <w:sig w:usb0="E0002EFF" w:usb1="C000785B" w:usb2="00000009" w:usb3="00000000" w:csb0="400001FF" w:csb1="FFFF0000"/>
  </w:font>
  <w:font w:name="宋体">
    <w:panose1 w:val="02010600030101010101"/>
    <w:charset w:val="0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3D31BA"/>
    <w:rsid w:val="1D3D31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9"/>
    <w:pPr>
      <w:keepNext/>
      <w:keepLines/>
      <w:spacing w:before="120" w:beforeLines="0" w:after="120" w:afterLines="0" w:line="360" w:lineRule="auto"/>
      <w:jc w:val="center"/>
      <w:outlineLvl w:val="1"/>
    </w:pPr>
    <w:rPr>
      <w:rFonts w:ascii="Arial" w:hAnsi="Arial"/>
      <w:b/>
      <w:bCs/>
      <w:sz w:val="28"/>
      <w:szCs w:val="32"/>
    </w:rPr>
  </w:style>
  <w:style w:type="paragraph" w:styleId="3">
    <w:name w:val="heading 3"/>
    <w:basedOn w:val="1"/>
    <w:next w:val="1"/>
    <w:qFormat/>
    <w:uiPriority w:val="9"/>
    <w:pPr>
      <w:keepNext/>
      <w:keepLines/>
      <w:spacing w:before="120" w:beforeLines="0" w:after="120" w:afterLines="0" w:line="360" w:lineRule="auto"/>
      <w:ind w:firstLine="200" w:firstLineChars="200"/>
      <w:outlineLvl w:val="2"/>
    </w:pPr>
    <w:rPr>
      <w:rFonts w:eastAsia="黑体"/>
      <w:b/>
      <w:bCs/>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6">
    <w:name w:val="正文（首行缩进2字符）"/>
    <w:basedOn w:val="1"/>
    <w:qFormat/>
    <w:uiPriority w:val="0"/>
    <w:pPr>
      <w:spacing w:line="360" w:lineRule="auto"/>
      <w:ind w:firstLine="200" w:firstLineChars="200"/>
      <w:jc w:val="left"/>
    </w:pPr>
  </w:style>
  <w:style w:type="paragraph" w:styleId="7">
    <w:name w:val="List Paragraph"/>
    <w:basedOn w:val="1"/>
    <w:qFormat/>
    <w:uiPriority w:val="34"/>
    <w:pPr>
      <w:widowControl/>
      <w:spacing w:line="240" w:lineRule="auto"/>
      <w:ind w:left="720"/>
      <w:contextualSpacing/>
      <w:jc w:val="left"/>
    </w:pPr>
    <w:rPr>
      <w:rFonts w:ascii="Calibri" w:hAnsi="Calibri"/>
      <w:kern w:val="0"/>
      <w:sz w:val="24"/>
      <w:lang w:eastAsia="en-US" w:bidi="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2026-10-21T04:07:00Z</dcterms:created>
  <dc:creator>默.</dc:creator>
  <cp:lastModifiedBy>默.</cp:lastModifiedBy>
  <dcterms:modified xsi:type="dcterms:W3CDTF">2026-10-21T04:08:01Z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F83D36F9A58C419893611B228830C963_11</vt:lpwstr>
  </property>
  <property fmtid="{D5CDD505-2E9C-101B-9397-08002B2CF9AE}" pid="4" name="KSOTemplateDocerSaveRecord">
    <vt:lpwstr>eyJoZGlkIjoiMTRhNWUyN2YwMzc0Zjc4YWMxYTU1ZGQ3NjM0NjM1ZjgiLCJ1c2VySWQiOiI0MjU4NjcyNzgifQ==</vt:lpwstr>
  </property>
</Properties>
</file>