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版本号：HRPDZB-2026072420260724001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2026年镇巴县长岭镇九阵坝村经济合作社肉牛养殖建设项目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HRPDZB-20260724</w:t>
      </w:r>
      <w:r>
        <w:br/>
      </w:r>
      <w:r>
        <w:br/>
      </w:r>
      <w:r>
        <w:br/>
      </w:r>
    </w:p>
    <w:p>
      <w:pPr>
        <w:pStyle w:val="null3"/>
        <w:jc w:val="center"/>
        <w:outlineLvl w:val="2"/>
      </w:pPr>
      <w:r>
        <w:rPr>
          <w:rFonts w:ascii="仿宋_GB2312" w:hAnsi="仿宋_GB2312" w:cs="仿宋_GB2312" w:eastAsia="仿宋_GB2312"/>
          <w:sz w:val="28"/>
          <w:b/>
        </w:rPr>
        <w:t>镇巴县长岭镇人民政府</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镇巴县长岭镇人民政府</w:t>
      </w:r>
      <w:r>
        <w:rPr>
          <w:rFonts w:ascii="仿宋_GB2312" w:hAnsi="仿宋_GB2312" w:cs="仿宋_GB2312" w:eastAsia="仿宋_GB2312"/>
        </w:rPr>
        <w:t>委托，拟对</w:t>
      </w:r>
      <w:r>
        <w:rPr>
          <w:rFonts w:ascii="仿宋_GB2312" w:hAnsi="仿宋_GB2312" w:cs="仿宋_GB2312" w:eastAsia="仿宋_GB2312"/>
        </w:rPr>
        <w:t>2026年镇巴县长岭镇九阵坝村经济合作社肉牛养殖建设项目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HRPDZB-20260724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2026年镇巴县长岭镇九阵坝村经济合作社肉牛养殖建设项目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砖木结构肉牛养殖圈舍600㎡（圈内安装钢管限位栏50个以上），防疫消毒室20㎡，建设活动围栏150米，青储池50平方米，配套建设污水沉淀池50立方米、干粪堆积池40平方米，蓄水池50立方米及其水电等配套设施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采购包1（2026年镇巴县长岭镇九阵坝村经济合作社肉牛养殖建设项目）：属于专门面向中小企业采购。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3、供应商资质：供应商具有行政主管部门核发的建筑工程施工总承包三级（含三级）及以上资质，且具有有效的安全生产许可证，供应商需在项目电子化交易系统中按要求上传相应证明文件并进行电子签章；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4、项目负责人：拟派项目经理须具备建筑工程专业二级（含二级）以上注册建造师资格和安全生产考核合格B证，且无在建项目，供应商需在项目电子化交易系统中按要求上传相应证明文件并进行电子签章；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磋商，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镇巴县长岭镇人民政府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镇巴县长岭镇花园社区街上</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镇巴县长岭镇人民政府经办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13992653715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19916164724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采购包1：813,955.40元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镇巴县长岭镇人民政府</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镇巴县长岭镇人民政府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镇巴县长岭镇人民政府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一、必须达到国家及行业现行技术规范标准，符合国家及行业验收合格标准； 二、交付竣工验收的工程，必须符合规定的工程质量标准，有完整的工程技术经济资料和经签署的工程保修书，并具备国家规定的其他竣工条件。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联系电话：19916164724</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813,955.40</w:t>
      </w:r>
    </w:p>
    <w:p>
      <w:pPr>
        <w:pStyle w:val="null3"/>
      </w:pPr>
      <w:r>
        <w:rPr>
          <w:rFonts w:ascii="仿宋_GB2312" w:hAnsi="仿宋_GB2312" w:cs="仿宋_GB2312" w:eastAsia="仿宋_GB2312"/>
        </w:rPr>
        <w:t>采购包最高限价（元）: 813,955.40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2026年镇巴县长岭镇九阵坝村经济合作社肉牛养殖建设项目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813,955.40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标的名称：2026年镇巴县长岭镇九阵坝村经济合作社肉牛养殖建设项目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8"/>
                <w:b/>
              </w:rPr>
              <w:t>工程</w:t>
            </w:r>
            <w:r>
              <w:rPr>
                <w:rFonts w:ascii="仿宋_GB2312" w:hAnsi="仿宋_GB2312" w:cs="仿宋_GB2312" w:eastAsia="仿宋_GB2312"/>
                <w:sz w:val="28"/>
                <w:b/>
              </w:rPr>
              <w:t>概况：</w:t>
            </w:r>
          </w:p>
          <w:p>
            <w:pPr>
              <w:pStyle w:val="null3"/>
              <w:ind w:firstLine="560"/>
              <w:jc w:val="both"/>
            </w:pPr>
            <w:r>
              <w:rPr>
                <w:rFonts w:ascii="仿宋_GB2312" w:hAnsi="仿宋_GB2312" w:cs="仿宋_GB2312" w:eastAsia="仿宋_GB2312"/>
                <w:sz w:val="28"/>
              </w:rPr>
              <w:t>2026年镇巴县长岭镇九阵坝村经济合作社肉牛养殖建设项目。</w:t>
            </w:r>
            <w:r>
              <w:rPr>
                <w:rFonts w:ascii="仿宋_GB2312" w:hAnsi="仿宋_GB2312" w:cs="仿宋_GB2312" w:eastAsia="仿宋_GB2312"/>
                <w:sz w:val="28"/>
              </w:rPr>
              <w:t>厂房：</w:t>
            </w:r>
            <w:r>
              <w:rPr>
                <w:rFonts w:ascii="仿宋_GB2312" w:hAnsi="仿宋_GB2312" w:cs="仿宋_GB2312" w:eastAsia="仿宋_GB2312"/>
                <w:sz w:val="28"/>
              </w:rPr>
              <w:t>建筑面积</w:t>
            </w:r>
            <w:r>
              <w:rPr>
                <w:rFonts w:ascii="仿宋_GB2312" w:hAnsi="仿宋_GB2312" w:cs="仿宋_GB2312" w:eastAsia="仿宋_GB2312"/>
                <w:sz w:val="28"/>
              </w:rPr>
              <w:t>620.09m2，檐高3.30m，一层，结构形式为钢结构，基础形式为独立基础+基础梁；牛舍围栏</w:t>
            </w:r>
            <w:r>
              <w:rPr>
                <w:rFonts w:ascii="仿宋_GB2312" w:hAnsi="仿宋_GB2312" w:cs="仿宋_GB2312" w:eastAsia="仿宋_GB2312"/>
                <w:sz w:val="28"/>
              </w:rPr>
              <w:t>、</w:t>
            </w:r>
            <w:r>
              <w:rPr>
                <w:rFonts w:ascii="仿宋_GB2312" w:hAnsi="仿宋_GB2312" w:cs="仿宋_GB2312" w:eastAsia="仿宋_GB2312"/>
                <w:sz w:val="28"/>
              </w:rPr>
              <w:t>蓄水池</w:t>
            </w:r>
            <w:r>
              <w:rPr>
                <w:rFonts w:ascii="仿宋_GB2312" w:hAnsi="仿宋_GB2312" w:cs="仿宋_GB2312" w:eastAsia="仿宋_GB2312"/>
                <w:sz w:val="28"/>
              </w:rPr>
              <w:t>、</w:t>
            </w:r>
            <w:r>
              <w:rPr>
                <w:rFonts w:ascii="仿宋_GB2312" w:hAnsi="仿宋_GB2312" w:cs="仿宋_GB2312" w:eastAsia="仿宋_GB2312"/>
                <w:sz w:val="28"/>
              </w:rPr>
              <w:t>青储池</w:t>
            </w:r>
            <w:r>
              <w:rPr>
                <w:rFonts w:ascii="仿宋_GB2312" w:hAnsi="仿宋_GB2312" w:cs="仿宋_GB2312" w:eastAsia="仿宋_GB2312"/>
                <w:sz w:val="28"/>
              </w:rPr>
              <w:t>、</w:t>
            </w:r>
            <w:r>
              <w:rPr>
                <w:rFonts w:ascii="仿宋_GB2312" w:hAnsi="仿宋_GB2312" w:cs="仿宋_GB2312" w:eastAsia="仿宋_GB2312"/>
                <w:sz w:val="28"/>
              </w:rPr>
              <w:t>污水沉淀池及干粪池等。</w:t>
            </w:r>
          </w:p>
          <w:p>
            <w:pPr>
              <w:pStyle w:val="null3"/>
              <w:jc w:val="both"/>
            </w:pPr>
            <w:r>
              <w:rPr>
                <w:rFonts w:ascii="仿宋_GB2312" w:hAnsi="仿宋_GB2312" w:cs="仿宋_GB2312" w:eastAsia="仿宋_GB2312"/>
                <w:sz w:val="28"/>
                <w:b/>
              </w:rPr>
              <w:t>二、编制范围：</w:t>
            </w:r>
          </w:p>
          <w:p>
            <w:pPr>
              <w:pStyle w:val="null3"/>
              <w:ind w:firstLine="700"/>
              <w:jc w:val="both"/>
            </w:pPr>
            <w:r>
              <w:rPr>
                <w:rFonts w:ascii="仿宋_GB2312" w:hAnsi="仿宋_GB2312" w:cs="仿宋_GB2312" w:eastAsia="仿宋_GB2312"/>
                <w:sz w:val="28"/>
              </w:rPr>
              <w:t>此次招标范围</w:t>
            </w:r>
            <w:r>
              <w:rPr>
                <w:rFonts w:ascii="仿宋_GB2312" w:hAnsi="仿宋_GB2312" w:cs="仿宋_GB2312" w:eastAsia="仿宋_GB2312"/>
                <w:sz w:val="28"/>
              </w:rPr>
              <w:t>，</w:t>
            </w:r>
            <w:r>
              <w:rPr>
                <w:rFonts w:ascii="仿宋_GB2312" w:hAnsi="仿宋_GB2312" w:cs="仿宋_GB2312" w:eastAsia="仿宋_GB2312"/>
                <w:sz w:val="28"/>
              </w:rPr>
              <w:t>详见工程量清单。</w:t>
            </w:r>
          </w:p>
          <w:p>
            <w:pPr>
              <w:pStyle w:val="null3"/>
              <w:jc w:val="both"/>
            </w:pPr>
            <w:r>
              <w:rPr>
                <w:rFonts w:ascii="仿宋_GB2312" w:hAnsi="仿宋_GB2312" w:cs="仿宋_GB2312" w:eastAsia="仿宋_GB2312"/>
                <w:sz w:val="28"/>
                <w:b/>
              </w:rPr>
              <w:t>三、编制依据：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2026年镇巴县长岭镇九阵坝村经济合作社肉牛养殖建设项目</w:t>
            </w:r>
            <w:r>
              <w:rPr>
                <w:rFonts w:ascii="仿宋_GB2312" w:hAnsi="仿宋_GB2312" w:cs="仿宋_GB2312" w:eastAsia="仿宋_GB2312"/>
                <w:sz w:val="28"/>
              </w:rPr>
              <w:t>施工图纸</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2、建设工程文件及相关资料</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3、与建设项目相关的标准、规范等技术资料</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4、《陕西省建设工程工程量清单计价计算标准(2025)》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5、《陕西省房屋建筑与装饰工程基价表(2025)》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、《陕西省</w:t>
            </w:r>
            <w:r>
              <w:rPr>
                <w:rFonts w:ascii="仿宋_GB2312" w:hAnsi="仿宋_GB2312" w:cs="仿宋_GB2312" w:eastAsia="仿宋_GB2312"/>
                <w:sz w:val="28"/>
              </w:rPr>
              <w:t>基价表说明</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陕建管发〔</w:t>
            </w:r>
            <w:r>
              <w:rPr>
                <w:rFonts w:ascii="仿宋_GB2312" w:hAnsi="仿宋_GB2312" w:cs="仿宋_GB2312" w:eastAsia="仿宋_GB2312"/>
                <w:sz w:val="28"/>
              </w:rPr>
              <w:t>2025〕10号</w:t>
            </w:r>
            <w:r>
              <w:rPr>
                <w:rFonts w:ascii="仿宋_GB2312" w:hAnsi="仿宋_GB2312" w:cs="仿宋_GB2312" w:eastAsia="仿宋_GB2312"/>
                <w:sz w:val="28"/>
              </w:rPr>
              <w:t>，《陕西省住房和城乡建设厅关于印发</w:t>
            </w:r>
            <w:r>
              <w:rPr>
                <w:rFonts w:ascii="仿宋_GB2312" w:hAnsi="仿宋_GB2312" w:cs="仿宋_GB2312" w:eastAsia="仿宋_GB2312"/>
                <w:sz w:val="28"/>
              </w:rPr>
              <w:t>2025 陕西省建设工程费用规则等计价依据的通知》</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w:t>
            </w:r>
            <w:r>
              <w:rPr>
                <w:rFonts w:ascii="仿宋_GB2312" w:hAnsi="仿宋_GB2312" w:cs="仿宋_GB2312" w:eastAsia="仿宋_GB2312"/>
                <w:sz w:val="28"/>
                <w:b/>
              </w:rPr>
              <w:t>编制</w:t>
            </w:r>
            <w:r>
              <w:rPr>
                <w:rFonts w:ascii="仿宋_GB2312" w:hAnsi="仿宋_GB2312" w:cs="仿宋_GB2312" w:eastAsia="仿宋_GB2312"/>
                <w:sz w:val="28"/>
                <w:b/>
              </w:rPr>
              <w:t>其他情况说明：</w:t>
            </w:r>
          </w:p>
          <w:p>
            <w:pPr>
              <w:pStyle w:val="null3"/>
              <w:ind w:firstLine="560"/>
              <w:jc w:val="both"/>
            </w:pPr>
            <w:r>
              <w:rPr>
                <w:rFonts w:ascii="仿宋_GB2312" w:hAnsi="仿宋_GB2312" w:cs="仿宋_GB2312" w:eastAsia="仿宋_GB2312"/>
                <w:sz w:val="28"/>
              </w:rPr>
              <w:t>1、混凝土按现场搅拌计入;</w:t>
            </w:r>
          </w:p>
          <w:p>
            <w:pPr>
              <w:pStyle w:val="null3"/>
              <w:ind w:firstLine="560"/>
              <w:jc w:val="both"/>
            </w:pPr>
            <w:r>
              <w:rPr>
                <w:rFonts w:ascii="仿宋_GB2312" w:hAnsi="仿宋_GB2312" w:cs="仿宋_GB2312" w:eastAsia="仿宋_GB2312"/>
                <w:sz w:val="28"/>
              </w:rPr>
              <w:t>2、砂浆按</w:t>
            </w:r>
            <w:r>
              <w:rPr>
                <w:rFonts w:ascii="仿宋_GB2312" w:hAnsi="仿宋_GB2312" w:cs="仿宋_GB2312" w:eastAsia="仿宋_GB2312"/>
                <w:sz w:val="28"/>
              </w:rPr>
              <w:t>现场搅拌</w:t>
            </w:r>
            <w:r>
              <w:rPr>
                <w:rFonts w:ascii="仿宋_GB2312" w:hAnsi="仿宋_GB2312" w:cs="仿宋_GB2312" w:eastAsia="仿宋_GB2312"/>
                <w:sz w:val="28"/>
              </w:rPr>
              <w:t>计入</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3、图纸设计的所有3:7灰土按素土回填计入;</w:t>
            </w:r>
          </w:p>
          <w:p>
            <w:pPr>
              <w:pStyle w:val="null3"/>
              <w:ind w:firstLine="560"/>
              <w:jc w:val="both"/>
            </w:pPr>
            <w:r>
              <w:rPr>
                <w:rFonts w:ascii="仿宋_GB2312" w:hAnsi="仿宋_GB2312" w:cs="仿宋_GB2312" w:eastAsia="仿宋_GB2312"/>
                <w:sz w:val="28"/>
              </w:rPr>
              <w:t>4、土方外运运距暂按3km计入;</w:t>
            </w:r>
          </w:p>
          <w:p>
            <w:pPr>
              <w:pStyle w:val="null3"/>
              <w:ind w:firstLine="560"/>
              <w:jc w:val="both"/>
            </w:pPr>
            <w:r>
              <w:rPr>
                <w:rFonts w:ascii="仿宋_GB2312" w:hAnsi="仿宋_GB2312" w:cs="仿宋_GB2312" w:eastAsia="仿宋_GB2312"/>
                <w:sz w:val="28"/>
              </w:rPr>
              <w:t>5、牛舍栏杆</w:t>
            </w:r>
            <w:r>
              <w:rPr>
                <w:rFonts w:ascii="仿宋_GB2312" w:hAnsi="仿宋_GB2312" w:cs="仿宋_GB2312" w:eastAsia="仿宋_GB2312"/>
                <w:sz w:val="28"/>
              </w:rPr>
              <w:t>，暂定综合单价</w:t>
            </w:r>
            <w:r>
              <w:rPr>
                <w:rFonts w:ascii="仿宋_GB2312" w:hAnsi="仿宋_GB2312" w:cs="仿宋_GB2312" w:eastAsia="仿宋_GB2312"/>
                <w:sz w:val="28"/>
              </w:rPr>
              <w:t>60元/m;</w:t>
            </w:r>
          </w:p>
          <w:p>
            <w:pPr>
              <w:pStyle w:val="null3"/>
              <w:ind w:firstLine="560"/>
              <w:jc w:val="both"/>
            </w:pPr>
            <w:r>
              <w:rPr>
                <w:rFonts w:ascii="仿宋_GB2312" w:hAnsi="仿宋_GB2312" w:cs="仿宋_GB2312" w:eastAsia="仿宋_GB2312"/>
                <w:sz w:val="28"/>
              </w:rPr>
              <w:t>6、围栏探照灯，</w:t>
            </w:r>
            <w:r>
              <w:rPr>
                <w:rFonts w:ascii="仿宋_GB2312" w:hAnsi="仿宋_GB2312" w:cs="仿宋_GB2312" w:eastAsia="仿宋_GB2312"/>
                <w:sz w:val="28"/>
              </w:rPr>
              <w:t>暂定综合单价</w:t>
            </w:r>
            <w:r>
              <w:rPr>
                <w:rFonts w:ascii="仿宋_GB2312" w:hAnsi="仿宋_GB2312" w:cs="仿宋_GB2312" w:eastAsia="仿宋_GB2312"/>
                <w:sz w:val="28"/>
              </w:rPr>
              <w:t>1000元/项;</w:t>
            </w:r>
          </w:p>
          <w:p>
            <w:pPr>
              <w:pStyle w:val="null3"/>
              <w:ind w:firstLine="560"/>
              <w:jc w:val="both"/>
            </w:pPr>
            <w:r>
              <w:rPr>
                <w:rFonts w:ascii="仿宋_GB2312" w:hAnsi="仿宋_GB2312" w:cs="仿宋_GB2312" w:eastAsia="仿宋_GB2312"/>
                <w:sz w:val="28"/>
              </w:rPr>
              <w:t>7、图纸设计水帘，暂定综合单价150元/m2;</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设备参数不详，暂定综合单价计入</w:t>
            </w:r>
            <w:r>
              <w:rPr>
                <w:rFonts w:ascii="仿宋_GB2312" w:hAnsi="仿宋_GB2312" w:cs="仿宋_GB2312" w:eastAsia="仿宋_GB2312"/>
                <w:sz w:val="28"/>
              </w:rPr>
              <w:t>;</w:t>
            </w:r>
            <w:r>
              <w:rPr>
                <w:rFonts w:ascii="仿宋_GB2312" w:hAnsi="仿宋_GB2312" w:cs="仿宋_GB2312" w:eastAsia="仿宋_GB2312"/>
                <w:sz w:val="28"/>
              </w:rPr>
              <w:t>无动力风机</w:t>
            </w:r>
            <w:r>
              <w:rPr>
                <w:rFonts w:ascii="仿宋_GB2312" w:hAnsi="仿宋_GB2312" w:cs="仿宋_GB2312" w:eastAsia="仿宋_GB2312"/>
                <w:sz w:val="28"/>
              </w:rPr>
              <w:t>暂定综合单价</w:t>
            </w:r>
            <w:r>
              <w:rPr>
                <w:rFonts w:ascii="仿宋_GB2312" w:hAnsi="仿宋_GB2312" w:cs="仿宋_GB2312" w:eastAsia="仿宋_GB2312"/>
                <w:sz w:val="28"/>
              </w:rPr>
              <w:t>100元/台</w:t>
            </w:r>
            <w:r>
              <w:rPr>
                <w:rFonts w:ascii="仿宋_GB2312" w:hAnsi="仿宋_GB2312" w:cs="仿宋_GB2312" w:eastAsia="仿宋_GB2312"/>
                <w:sz w:val="28"/>
                <w:b/>
              </w:rPr>
              <w:t>、</w:t>
            </w:r>
            <w:r>
              <w:rPr>
                <w:rFonts w:ascii="仿宋_GB2312" w:hAnsi="仿宋_GB2312" w:cs="仿宋_GB2312" w:eastAsia="仿宋_GB2312"/>
                <w:sz w:val="28"/>
              </w:rPr>
              <w:t>变频风机</w:t>
            </w:r>
            <w:r>
              <w:rPr>
                <w:rFonts w:ascii="仿宋_GB2312" w:hAnsi="仿宋_GB2312" w:cs="仿宋_GB2312" w:eastAsia="仿宋_GB2312"/>
                <w:sz w:val="28"/>
              </w:rPr>
              <w:t>暂定综合单价</w:t>
            </w:r>
            <w:r>
              <w:rPr>
                <w:rFonts w:ascii="仿宋_GB2312" w:hAnsi="仿宋_GB2312" w:cs="仿宋_GB2312" w:eastAsia="仿宋_GB2312"/>
                <w:sz w:val="28"/>
              </w:rPr>
              <w:t>500元/台</w:t>
            </w:r>
            <w:r>
              <w:rPr>
                <w:rFonts w:ascii="仿宋_GB2312" w:hAnsi="仿宋_GB2312" w:cs="仿宋_GB2312" w:eastAsia="仿宋_GB2312"/>
                <w:sz w:val="28"/>
                <w:b/>
              </w:rPr>
              <w:t>、</w:t>
            </w:r>
            <w:r>
              <w:rPr>
                <w:rFonts w:ascii="仿宋_GB2312" w:hAnsi="仿宋_GB2312" w:cs="仿宋_GB2312" w:eastAsia="仿宋_GB2312"/>
                <w:sz w:val="28"/>
              </w:rPr>
              <w:t>降温负压抽风机</w:t>
            </w:r>
            <w:r>
              <w:rPr>
                <w:rFonts w:ascii="仿宋_GB2312" w:hAnsi="仿宋_GB2312" w:cs="仿宋_GB2312" w:eastAsia="仿宋_GB2312"/>
                <w:sz w:val="28"/>
              </w:rPr>
              <w:t>暂定综合单价</w:t>
            </w:r>
            <w:r>
              <w:rPr>
                <w:rFonts w:ascii="仿宋_GB2312" w:hAnsi="仿宋_GB2312" w:cs="仿宋_GB2312" w:eastAsia="仿宋_GB2312"/>
                <w:sz w:val="28"/>
              </w:rPr>
              <w:t>1200元/台;</w:t>
            </w:r>
          </w:p>
          <w:p>
            <w:pPr>
              <w:pStyle w:val="null3"/>
              <w:jc w:val="both"/>
            </w:pPr>
            <w:r>
              <w:rPr>
                <w:rFonts w:ascii="仿宋_GB2312" w:hAnsi="仿宋_GB2312" w:cs="仿宋_GB2312" w:eastAsia="仿宋_GB2312"/>
                <w:sz w:val="28"/>
                <w:b/>
              </w:rPr>
              <w:t>五</w:t>
            </w:r>
            <w:r>
              <w:rPr>
                <w:rFonts w:ascii="仿宋_GB2312" w:hAnsi="仿宋_GB2312" w:cs="仿宋_GB2312" w:eastAsia="仿宋_GB2312"/>
                <w:sz w:val="28"/>
                <w:b/>
              </w:rPr>
              <w:t>、</w:t>
            </w:r>
            <w:r>
              <w:rPr>
                <w:rFonts w:ascii="仿宋_GB2312" w:hAnsi="仿宋_GB2312" w:cs="仿宋_GB2312" w:eastAsia="仿宋_GB2312"/>
                <w:sz w:val="28"/>
                <w:b/>
              </w:rPr>
              <w:t>计价软件广联达计价软件</w:t>
            </w:r>
            <w:r>
              <w:rPr>
                <w:rFonts w:ascii="仿宋_GB2312" w:hAnsi="仿宋_GB2312" w:cs="仿宋_GB2312" w:eastAsia="仿宋_GB2312"/>
                <w:sz w:val="28"/>
                <w:b/>
              </w:rPr>
              <w:t>GCCP</w:t>
            </w:r>
            <w:r>
              <w:rPr>
                <w:rFonts w:ascii="仿宋_GB2312" w:hAnsi="仿宋_GB2312" w:cs="仿宋_GB2312" w:eastAsia="仿宋_GB2312"/>
                <w:sz w:val="28"/>
                <w:b/>
              </w:rPr>
              <w:t>7</w:t>
            </w:r>
            <w:r>
              <w:rPr>
                <w:rFonts w:ascii="仿宋_GB2312" w:hAnsi="仿宋_GB2312" w:cs="仿宋_GB2312" w:eastAsia="仿宋_GB2312"/>
                <w:sz w:val="28"/>
                <w:b/>
              </w:rPr>
              <w:t>.0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工期：60日历天</w:t>
            </w:r>
            <w:r>
              <w:br/>
            </w:r>
            <w:r>
              <w:rPr>
                <w:rFonts w:ascii="仿宋_GB2312" w:hAnsi="仿宋_GB2312" w:cs="仿宋_GB2312" w:eastAsia="仿宋_GB2312"/>
              </w:rPr>
              <w:t xml:space="preserve"> 质量标准：</w:t>
            </w:r>
            <w:r>
              <w:br/>
            </w:r>
            <w:r>
              <w:rPr>
                <w:rFonts w:ascii="仿宋_GB2312" w:hAnsi="仿宋_GB2312" w:cs="仿宋_GB2312" w:eastAsia="仿宋_GB2312"/>
              </w:rPr>
              <w:t xml:space="preserve"> 工程质量达到国家现行《施工质量验收规范》合格标准。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1、工期：60日历天； 2、质量：交工验收的质量评定：合格； 竣工验收的质量评定：合格； 其他技术要求详见本工程施工图纸和工程量清单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供应商具有行政主管部门核发的建筑工程施工总承包三级（含三级）及以上资质，且具有有效的安全生产许可证，供应商需在项目电子化交易系统中按要求上传相应证明文件并进行电子签章；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拟派项目经理须具备建筑工程专业二级（含二级）以上注册建造师资格和安全生产考核合格B证，且无在建项目，供应商需在项目电子化交易系统中按要求上传相应证明文件并进行电子签章；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项目管理机构组成表 供应商应提交的相关资格证明材料(1).docx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供应商响应文件按照规定的格式和内容填写，内容清晰，签字盖章符合要求</w:t>
            </w:r>
          </w:p>
        </w:tc>
        <w:tc>
          <w:tcPr>
            <w:tcW w:type="dxa" w:w="1661"/>
          </w:tcPr>
          <w:p>
            <w:pPr>
              <w:pStyle w:val="null3"/>
            </w:pPr>
            <w:r>
              <w:rPr>
                <w:rFonts w:ascii="仿宋_GB2312" w:hAnsi="仿宋_GB2312" w:cs="仿宋_GB2312" w:eastAsia="仿宋_GB2312"/>
              </w:rPr>
              <w:t>已标价工程量清单 中小企业声明函 供应商应提交的相关资格证明材料(1).docx 技术部分方案.docx 强制优先采购产品承诺函 响应文件封面 项目管理机构组成表 残疾人福利性单位声明函 报价函 标的清单 供应商类似项目业绩一览表 响应函 主要人员简历表 监狱企业的证明文件 供应商认为需要补充的其他内容.pdf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磋商有效期及工期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已标价工程量清单 中小企业声明函 供应商应提交的相关资格证明材料(1).docx 技术部分方案.docx 强制优先采购产品承诺函 响应文件封面 项目管理机构组成表 残疾人福利性单位声明函 报价函 标的清单 供应商类似项目业绩一览表 响应函 主要人员简历表 监狱企业的证明文件 供应商认为需要补充的其他内容.pdf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供应商针对本项目编制完善的总体施工方案，内容包含但不限于： ①具体施工内容（2分）； ②施工次序（2分）； ③施工方法（工艺）（2分）； ④成品保护措施（2分）。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供应商针对本项目编制完善的工期的技术组织措施，内容包含但不限于： ①施工组织与工期保证措施、劳动力配置（2分）； ②特殊情况保证措施：夜间、雨雪、高温、低温等情况（2分）。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指①时间逻辑缺陷（如进度计划超期、进度计划违背项目实际、关键线路工期违反施工定额、工序搭接违反施工规律）；②特殊时段缺失缺陷（如未标注开学前必须完成的节点、未考虑季节性施工影响）；③工期保证措施类缺陷（如未建立动态调整机制、关键岗位人员配置不足、平行施工方案不可行）任意一项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供应商针对本项目编制完善的工程质量技术组织措施，内容包含但不限于： ①质量目标管理体系（2分）； ②施工质量的检验制度（2分）； ③确保质量的技术组织措施（2分）； ④材料储存方案（2分）。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①指质量保证体系类缺陷（如体系架构缺陷、未建立三级质量管理组织架构、质量责任未明确量化指标、制度文件缺失、人员设置与质控管理要求不一致）；②质量通病防治缺陷（如控制措施不具体、防治措施与规范标准不一致）；③成品保护措施缺陷（如存储防护方案缺失、搬迁保护缺乏有效措施、交叉施工缺乏有效保护措施）任意一项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供应商针对本项目编制完善的文明施工及环境保护措施，内容包含但不限于： ①安全文明施工目标及施工现场的临时管理措施（1分）； ②文明施工保障措施（1分）； ③环境保护管理体系（1分）； ④环保控制措施：污染物及废弃物处理的排放、噪音控制、防尘及扬尘的控制措施（1分）。 2.评审标准： ①内容全面详细，且条理清晰、科学合理，可实施性强； ②内容能够紧扣项目实际情况，内容清晰、合理。 3.赋分标准：各项评审内容每满足一条评审标准得0.5分，未提供相关评审项内容或提供内容存在缺陷的不计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供应商针对本项目编制完善的安全生产的技术组织措施，内容包含但不限于： ①安全管理体系（2分）； ②安全责任归属划分（2分）； ③安全标识：安全警戒标语、施工人员安全警示服和安全帽穿配要求（2分）； ④安全教育培训（2分）；⑤紧急预案措施（2分）。 2.评审标准： ①内容全面详细，且条理清晰、准确、措施合理具体； ②内容能够紧扣项目实际情况，科学合理，可实施性强。 3.赋分标准：各项评审内容每满足一条评审标准得1分，未提供相关评审项内容或提供内容存在缺陷的不计分。备注：本项缺陷是指①项目负责人安全责任未量化、未制定危险作业审批流程、制度程序存在缺陷）；②施工现场安全缺陷（如防护措施缺陷、施工设备管理不规范或措施有缺陷）； ③技术措施类缺陷（如专项方案缺失、技术参数错误）；④隐患排查类缺陷（如未建立相关制度、隐患整改未实行闭环管理）；⑤应急预案类缺陷（如：未针对项目特点编制预案，应急物资清单关键设备遗漏、应急响应缺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1.评审内容： 供应商针对本项目编制完善的施工机械及材料投入计划，内容包含但不限于： ①拟投入的主要施工机械设备计划（3分）； ②主要材料进场计划（3分）。 2.评审标准： ①内容全面详细，且条理清晰、准确、措施合理具体； ②内容能够紧扣项目实际情况，科学合理，可实施性强。 3.赋分标准：各项评审内容每满足一条评审标准得1.5分，未提供相关评审项内容或提供内容存在缺陷的不计分。备注：本项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1.评审内容：供应商针对本项目编制完善的项目经理部组织机构，内容包含但不限于：①项目成员配置清单及架构（2分）； ②项目组配备人员的专业素质、人员结构、管理制度（2分）； ③项目成员的主要职责及工作内容（2分）。 2.评审标准： ①组织机构健全，人员架构合理，职责划分准确； ②组织机构符合本项目实际情况建立，科学合理。3.赋分标准：各项评审内容每满足一条评审标准得1分，未提供相关评审项内容或提供内容存在缺陷的不计分。备注：本项缺陷是内容错误指：机构设置与项目建设要求有缺项、人员岗位职责不清晰或交叉混乱、协调措施缺乏监督机制、人员专业与项目岗位要求不一致、不相容岗位分离未分离任意一项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1.具有工程类相关专业初级职称得1 分，中级及以上职称得2分。 2.提供一个近 3 年内 (2023年-至今)承担过类似工程业绩，得2 分； 评审依据：业绩以申请人提供的中标通知书或施工合同（协议书）为准，否则不作为业绩进行考核，该业绩不得分。类似项目业绩为建筑工程类项目。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供应商应提交的相关资格证明材料(1).docx</w:t>
            </w:r>
          </w:p>
        </w:tc>
      </w:tr>
      <w:tr>
        <w:tc>
          <w:tcPr>
            <w:tcW w:type="dxa" w:w="831"/>
            <w:vMerge/>
          </w:tcPr>
          <w:p/>
        </w:tc>
        <w:tc>
          <w:tcPr>
            <w:tcW w:type="dxa" w:w="1661"/>
          </w:tcPr>
          <w:p>
            <w:pPr>
              <w:pStyle w:val="null3"/>
            </w:pPr>
            <w:r>
              <w:rPr>
                <w:rFonts w:ascii="仿宋_GB2312" w:hAnsi="仿宋_GB2312" w:cs="仿宋_GB2312" w:eastAsia="仿宋_GB2312"/>
              </w:rPr>
              <w:t>拟派其他技术人员数量和配备</w:t>
            </w:r>
          </w:p>
        </w:tc>
        <w:tc>
          <w:tcPr>
            <w:tcW w:type="dxa" w:w="2492"/>
          </w:tcPr>
          <w:p>
            <w:pPr>
              <w:pStyle w:val="null3"/>
            </w:pPr>
            <w:r>
              <w:rPr>
                <w:rFonts w:ascii="仿宋_GB2312" w:hAnsi="仿宋_GB2312" w:cs="仿宋_GB2312" w:eastAsia="仿宋_GB2312"/>
              </w:rPr>
              <w:t>包括技术负责人、质检员、安全员、施工员、材料员、资料员。实行岗位责任制且专业配套；每提供一位有效人员资料得2分，最多得12分。 评审依据：以提供人员的身份证、岗位证书或职称证加盖公章的复印件为准。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供应商应提交的相关资格证明材料(1).docx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供应商针对本项目编制完善的服务承诺，内容包含但不限于： ①针对本项目实际需求提供实质性服务承诺及保障措施（2分）； ②针对本项目的施工验收后期的质保承诺（2分）。 2.评审标准： ①内容全面详细，且条理清晰准确； ②内容能够紧扣项目实际情况，准确、措施合理具体。 3.赋分标准： 各项评审内容每满足一条评审标准得1分，未提供相关内容的不计分。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供应商2023年01月至今类似项目业绩，每份计2分，满分4分。须提供中标（成交）通知书和合同（协议书）证明资料。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详见附件：工程合同模板（本合同仅为合同的参考文本，合同签订双方可根据项目的具体要求进行修订）.docx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