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版本号：CGZC-2026-08620260719001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交大附中陆港学校2026年功能部室采购项目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CGZC-2026-086</w:t>
      </w:r>
      <w:r>
        <w:br/>
      </w:r>
      <w:r>
        <w:br/>
      </w:r>
      <w:r>
        <w:br/>
      </w:r>
    </w:p>
    <w:p>
      <w:pPr>
        <w:pStyle w:val="null3"/>
        <w:jc w:val="center"/>
        <w:outlineLvl w:val="2"/>
      </w:pPr>
      <w:r>
        <w:rPr>
          <w:rFonts w:ascii="仿宋_GB2312" w:hAnsi="仿宋_GB2312" w:cs="仿宋_GB2312" w:eastAsia="仿宋_GB2312"/>
          <w:sz w:val="28"/>
          <w:b/>
        </w:rPr>
        <w:t>西安市浐灞国际港交通大学附属中学陆港学校</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西安市浐灞国际港交通大学附属中学陆港学校</w:t>
      </w:r>
      <w:r>
        <w:rPr>
          <w:rFonts w:ascii="仿宋_GB2312" w:hAnsi="仿宋_GB2312" w:cs="仿宋_GB2312" w:eastAsia="仿宋_GB2312"/>
        </w:rPr>
        <w:t>委托，拟对</w:t>
      </w:r>
      <w:r>
        <w:rPr>
          <w:rFonts w:ascii="仿宋_GB2312" w:hAnsi="仿宋_GB2312" w:cs="仿宋_GB2312" w:eastAsia="仿宋_GB2312"/>
        </w:rPr>
        <w:t>交大附中陆港学校2026年功能部室采购项目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交大附中陆港学校2026年功能部室采购项目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交大附中陆港学校2026年功能部室采购。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西安市浐灞国际港交通大学附属中学陆港学校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西安浐灞国际港奥体大道与林溪路交汇东南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13992857250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范工、李工、王工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升降折叠水龙头、三联高低位龙头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西安市浐灞国际港交通大学附属中学陆港学校</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西安市浐灞国际港交通大学附属中学陆港学校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西安市浐灞国际港交通大学附属中学陆港学校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联系人：范工、李工、王工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交大附中陆港学校2026年功能部室采购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2,980,000.00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交大附中陆港学校2026年功能部室采购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标的名称：交大附中陆港学校2026年功能部室采购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具体项目清单详见附件。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after="120"/>
              <w:jc w:val="both"/>
            </w:pPr>
            <w:r>
              <w:rPr>
                <w:rFonts w:ascii="仿宋_GB2312" w:hAnsi="仿宋_GB2312" w:cs="仿宋_GB2312" w:eastAsia="仿宋_GB2312"/>
                <w:sz w:val="21"/>
              </w:rPr>
              <w:t>1.以上所有尺寸均为参考尺寸，供应商投标时参考该尺寸进行产品响应；定制类产品必须以学校确认过的规格、颜色等为准。供货清单经学校确认后供货。</w:t>
            </w:r>
          </w:p>
          <w:p>
            <w:pPr>
              <w:pStyle w:val="null3"/>
              <w:spacing w:after="120"/>
              <w:jc w:val="both"/>
            </w:pPr>
            <w:r>
              <w:rPr>
                <w:rFonts w:ascii="仿宋_GB2312" w:hAnsi="仿宋_GB2312" w:cs="仿宋_GB2312" w:eastAsia="仿宋_GB2312"/>
                <w:sz w:val="21"/>
              </w:rPr>
              <w:t>2.供应商承诺：所投全部产品须遵守国家现行法律法规。清单内依法需执行国家强制性标准、强制性产品认证的货物，须符合现行有效强制规定，具备合法出厂供货资质。招标文件清单列明产品要求投标时提供对应认证证书；其余产品投标阶段</w:t>
            </w:r>
            <w:r>
              <w:rPr>
                <w:rFonts w:ascii="仿宋_GB2312" w:hAnsi="仿宋_GB2312" w:cs="仿宋_GB2312" w:eastAsia="仿宋_GB2312"/>
                <w:sz w:val="21"/>
              </w:rPr>
              <w:t>可不</w:t>
            </w:r>
            <w:r>
              <w:rPr>
                <w:rFonts w:ascii="仿宋_GB2312" w:hAnsi="仿宋_GB2312" w:cs="仿宋_GB2312" w:eastAsia="仿宋_GB2312"/>
                <w:sz w:val="21"/>
              </w:rPr>
              <w:t>提交证书，但供货实物必须满足法定强制要求，验收时采购人有权核验。</w:t>
            </w:r>
          </w:p>
          <w:p>
            <w:pPr>
              <w:pStyle w:val="null3"/>
              <w:spacing w:after="120"/>
              <w:jc w:val="both"/>
            </w:pPr>
            <w:r>
              <w:rPr>
                <w:rFonts w:ascii="仿宋_GB2312" w:hAnsi="仿宋_GB2312" w:cs="仿宋_GB2312" w:eastAsia="仿宋_GB2312"/>
                <w:sz w:val="21"/>
              </w:rPr>
              <w:t>3.本项目采购的注射器、温度计均为教学实验器材，非医用产品。</w:t>
            </w:r>
          </w:p>
          <w:p>
            <w:pPr>
              <w:pStyle w:val="null3"/>
              <w:spacing w:after="120"/>
              <w:jc w:val="both"/>
            </w:pPr>
            <w:r>
              <w:rPr>
                <w:rFonts w:ascii="仿宋_GB2312" w:hAnsi="仿宋_GB2312" w:cs="仿宋_GB2312" w:eastAsia="仿宋_GB2312"/>
                <w:sz w:val="21"/>
              </w:rPr>
              <w:t>4.</w:t>
            </w:r>
            <w:r>
              <w:rPr>
                <w:rFonts w:ascii="仿宋_GB2312" w:hAnsi="仿宋_GB2312" w:cs="仿宋_GB2312" w:eastAsia="仿宋_GB2312"/>
                <w:sz w:val="21"/>
              </w:rPr>
              <w:t>教学仪器</w:t>
            </w:r>
            <w:r>
              <w:rPr>
                <w:rFonts w:ascii="仿宋_GB2312" w:hAnsi="仿宋_GB2312" w:cs="仿宋_GB2312" w:eastAsia="仿宋_GB2312"/>
                <w:sz w:val="21"/>
              </w:rPr>
              <w:t>/</w:t>
            </w:r>
            <w:r>
              <w:rPr>
                <w:rFonts w:ascii="仿宋_GB2312" w:hAnsi="仿宋_GB2312" w:cs="仿宋_GB2312" w:eastAsia="仿宋_GB2312"/>
                <w:sz w:val="21"/>
              </w:rPr>
              <w:t>学校实验室设备质量要求：产品符合</w:t>
            </w:r>
            <w:r>
              <w:rPr>
                <w:rFonts w:ascii="仿宋_GB2312" w:hAnsi="仿宋_GB2312" w:cs="仿宋_GB2312" w:eastAsia="仿宋_GB2312"/>
                <w:sz w:val="21"/>
              </w:rPr>
              <w:t xml:space="preserve"> JY 0001-2003《教学仪器设备产品一般质量要求》。</w:t>
            </w:r>
          </w:p>
          <w:p>
            <w:pPr>
              <w:pStyle w:val="null3"/>
            </w:pPr>
            <w:r>
              <w:rPr>
                <w:rFonts w:ascii="仿宋_GB2312" w:hAnsi="仿宋_GB2312" w:cs="仿宋_GB2312" w:eastAsia="仿宋_GB2312"/>
                <w:sz w:val="21"/>
              </w:rPr>
              <w:t>5.</w:t>
            </w:r>
            <w:r>
              <w:rPr>
                <w:rFonts w:ascii="仿宋_GB2312" w:hAnsi="仿宋_GB2312" w:cs="仿宋_GB2312" w:eastAsia="仿宋_GB2312"/>
                <w:sz w:val="21"/>
              </w:rPr>
              <w:t>本项目采购的</w:t>
            </w:r>
            <w:r>
              <w:rPr>
                <w:rFonts w:ascii="仿宋_GB2312" w:hAnsi="仿宋_GB2312" w:cs="仿宋_GB2312" w:eastAsia="仿宋_GB2312"/>
                <w:sz w:val="21"/>
              </w:rPr>
              <w:t xml:space="preserve"> </w:t>
            </w:r>
            <w:r>
              <w:rPr>
                <w:rFonts w:ascii="仿宋_GB2312" w:hAnsi="仿宋_GB2312" w:cs="仿宋_GB2312" w:eastAsia="仿宋_GB2312"/>
                <w:sz w:val="21"/>
              </w:rPr>
              <w:t>升降折叠水龙头、三联高低位龙头</w:t>
            </w:r>
            <w:r>
              <w:rPr>
                <w:rFonts w:ascii="仿宋_GB2312" w:hAnsi="仿宋_GB2312" w:cs="仿宋_GB2312" w:eastAsia="仿宋_GB2312"/>
                <w:sz w:val="21"/>
              </w:rPr>
              <w:t>产品属于节能产品政府采购品目清单中应强制采购的产品范围，供应商应当提供国家确定的认证机构出具的、处于有效期之内的节能产品认证证书，否则作无效投标处理。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本项目需对</w:t>
            </w:r>
            <w:r>
              <w:rPr>
                <w:rFonts w:ascii="仿宋_GB2312" w:hAnsi="仿宋_GB2312" w:cs="仿宋_GB2312" w:eastAsia="仿宋_GB2312"/>
                <w:sz w:val="21"/>
                <w:b/>
              </w:rPr>
              <w:t>校本实验课程视频制作平台设备</w:t>
            </w:r>
            <w:r>
              <w:rPr>
                <w:rFonts w:ascii="仿宋_GB2312" w:hAnsi="仿宋_GB2312" w:cs="仿宋_GB2312" w:eastAsia="仿宋_GB2312"/>
                <w:sz w:val="21"/>
              </w:rPr>
              <w:t>进行演示，供应商自行准备演示设备，接到现场通知后进入腾讯会议系统进行线上系统功能演示，演示时间</w:t>
            </w:r>
            <w:r>
              <w:rPr>
                <w:rFonts w:ascii="仿宋_GB2312" w:hAnsi="仿宋_GB2312" w:cs="仿宋_GB2312" w:eastAsia="仿宋_GB2312"/>
                <w:sz w:val="21"/>
              </w:rPr>
              <w:t>不超过</w:t>
            </w:r>
            <w:r>
              <w:rPr>
                <w:rFonts w:ascii="仿宋_GB2312" w:hAnsi="仿宋_GB2312" w:cs="仿宋_GB2312" w:eastAsia="仿宋_GB2312"/>
                <w:sz w:val="21"/>
              </w:rPr>
              <w:t>8</w:t>
            </w:r>
            <w:r>
              <w:rPr>
                <w:rFonts w:ascii="仿宋_GB2312" w:hAnsi="仿宋_GB2312" w:cs="仿宋_GB2312" w:eastAsia="仿宋_GB2312"/>
                <w:sz w:val="21"/>
              </w:rPr>
              <w:t>分钟。</w:t>
            </w:r>
          </w:p>
          <w:p>
            <w:pPr>
              <w:pStyle w:val="null3"/>
            </w:pPr>
            <w:r>
              <w:rPr>
                <w:rFonts w:ascii="仿宋_GB2312" w:hAnsi="仿宋_GB2312" w:cs="仿宋_GB2312" w:eastAsia="仿宋_GB2312"/>
                <w:sz w:val="21"/>
                <w:b/>
              </w:rPr>
              <w:t>演示内容：</w:t>
            </w:r>
          </w:p>
          <w:p>
            <w:pPr>
              <w:pStyle w:val="null3"/>
            </w:pPr>
            <w:r>
              <w:rPr>
                <w:rFonts w:ascii="仿宋_GB2312" w:hAnsi="仿宋_GB2312" w:cs="仿宋_GB2312" w:eastAsia="仿宋_GB2312"/>
                <w:sz w:val="21"/>
              </w:rPr>
              <w:t>①</w:t>
            </w:r>
            <w:r>
              <w:rPr>
                <w:rFonts w:ascii="仿宋_GB2312" w:hAnsi="仿宋_GB2312" w:cs="仿宋_GB2312" w:eastAsia="仿宋_GB2312"/>
                <w:sz w:val="21"/>
              </w:rPr>
              <w:t>能够实时联动数字化实验：制作实验视频课程能够实时联动理化生传感器，数码显微镜第三方实验软件窗口，并能够实现对悬浮效果的直观标记、演示、分析。能够实现图层叠加，窗口悬浮，人对主体内容不遮挡。</w:t>
            </w:r>
            <w:r>
              <w:br/>
            </w:r>
            <w:r>
              <w:rPr>
                <w:rFonts w:ascii="仿宋_GB2312" w:hAnsi="仿宋_GB2312" w:cs="仿宋_GB2312" w:eastAsia="仿宋_GB2312"/>
                <w:sz w:val="21"/>
              </w:rPr>
              <w:t>②</w:t>
            </w:r>
            <w:r>
              <w:rPr>
                <w:rFonts w:ascii="仿宋_GB2312" w:hAnsi="仿宋_GB2312" w:cs="仿宋_GB2312" w:eastAsia="仿宋_GB2312"/>
                <w:sz w:val="21"/>
              </w:rPr>
              <w:t>课程制作虚、实结合：增强显示功能展示实验课程原理，将</w:t>
            </w:r>
            <w:r>
              <w:rPr>
                <w:rFonts w:ascii="仿宋_GB2312" w:hAnsi="仿宋_GB2312" w:cs="仿宋_GB2312" w:eastAsia="仿宋_GB2312"/>
                <w:sz w:val="21"/>
              </w:rPr>
              <w:t>PPT或任何计算机窗口拉投至展示空间，悬浮显示，与人物主体或桌面实验器材深度融合，实现实验在静态展示、动态演示、空间标注的全方位呈现。</w:t>
            </w:r>
            <w:r>
              <w:br/>
            </w:r>
            <w:r>
              <w:rPr>
                <w:rFonts w:ascii="仿宋_GB2312" w:hAnsi="仿宋_GB2312" w:cs="仿宋_GB2312" w:eastAsia="仿宋_GB2312"/>
                <w:sz w:val="21"/>
              </w:rPr>
              <w:t>③</w:t>
            </w:r>
            <w:r>
              <w:rPr>
                <w:rFonts w:ascii="仿宋_GB2312" w:hAnsi="仿宋_GB2312" w:cs="仿宋_GB2312" w:eastAsia="仿宋_GB2312"/>
                <w:sz w:val="21"/>
              </w:rPr>
              <w:t>兼容投屏增加实验特写镜头：可以将在局域网中的第三方设备投屏拉投至虚拟画面，支持利用手机将摄像头作为分镜头，呈现演示实验细节，直接生成合成影像，不需要后期合成。教学过程中教师也可直接讲解手机显示内容。</w:t>
            </w:r>
            <w:r>
              <w:br/>
            </w:r>
            <w:r>
              <w:rPr>
                <w:rFonts w:ascii="仿宋_GB2312" w:hAnsi="仿宋_GB2312" w:cs="仿宋_GB2312" w:eastAsia="仿宋_GB2312"/>
                <w:sz w:val="21"/>
              </w:rPr>
              <w:t>④</w:t>
            </w:r>
            <w:r>
              <w:rPr>
                <w:rFonts w:ascii="仿宋_GB2312" w:hAnsi="仿宋_GB2312" w:cs="仿宋_GB2312" w:eastAsia="仿宋_GB2312"/>
                <w:sz w:val="21"/>
              </w:rPr>
              <w:t>透明光板板书流畅讲解：使用特制信号笔，对实验器材和实验过程悬浮标注，演算。字体悬浮发光。字迹支持擦除、修改。</w:t>
            </w:r>
            <w:r>
              <w:br/>
            </w:r>
            <w:r>
              <w:rPr>
                <w:rFonts w:ascii="仿宋_GB2312" w:hAnsi="仿宋_GB2312" w:cs="仿宋_GB2312" w:eastAsia="仿宋_GB2312"/>
                <w:sz w:val="21"/>
              </w:rPr>
              <w:t>⑤一键录制，合成视频：无需后期制作，实时监看课堂效果，教姿教态，实现实物、人物、信息窗口、板书文字一体的信息集合画面布局。通过摄像头信号直传电脑，实现直播推流至第三方平台，并能够实时互动。</w:t>
            </w:r>
            <w:r>
              <w:br/>
            </w:r>
            <w:r>
              <w:rPr>
                <w:rFonts w:ascii="仿宋_GB2312" w:hAnsi="仿宋_GB2312" w:cs="仿宋_GB2312" w:eastAsia="仿宋_GB2312"/>
                <w:sz w:val="21"/>
              </w:rPr>
              <w:t>注：演示属于加分评审项。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自合同签订之日起13个日历天完成交货、安装、调试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价款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 （2）本项目核心产品：折叠学生桌。 （3）项目属性：货物。 （4）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（6）本项目是否属于信用担保试点范围：否 （7）付款条件说明：付款条件说明（上述“3.4.4.支付约定”付款格式为制式模板，以第七章 拟签订合同文本为准）： （8）若为授权代表参加投标，投标文件中需提供被授权代表开标前三个月内任意一个月在本单位的社保缴纳证明。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应满足招标文件中要求的交货地点</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中小企业声明函 业绩 商务条款偏离表 资格证明文件 投标方案说明书 投标函 残疾人福利性单位声明函 投标分项报价表 标的清单 陕西省政府采购供应商拒绝政府采购领域商业贿赂承诺书 关于符合本国产品标准的声明函 投标文件封面 其他说明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根据招标文件要求认真审核投标文件中技术参数响应和提供的佐证材料。投标产品的基本功能、产品技术参数和配置完全满足或优于招标文件要求的，得满分20分； （1）“▲”参数负偏离每项扣2分，扣完为止。 （2）其它未标符号参数每项负偏离扣1分，扣完为止。 备注：“▲”号参数必须提供佐证材料（不限于产品彩页、检测报告、功能截图、技术白皮书等），未提供佐证材料或提供的佐证材料无法证明按负偏离处理。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为“环境标志产品政府采购品目清单”或“节能产品政府采购品目清单（政府强制采购产品除外）”内的，应提供该产品由国家确定的认证机构出具的中国环境标志或节能产品认证证书且处于有效期内的，每提供一个产品的认证证书得0.5分，满分2分。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针对本项目提供完整详细的项目实施方案。内容包含：①总体实施方案；②供货组织安排及保障措施；③计划进度安排。 二、评审标准 1、完整性：方案须全面，对评审内容中的各项要求有详细描述； 2、可实施性：切合本项目实际情况，实施步骤清晰、合理； 3、针对性：方案能够紧扣项目实际情况，内容科学合理。 三、赋分依据（满分9分） ①总体实施方案：每完全满足一个评审标准得1分，有瑕疵得0.5分，有缺项漏项得0分。满分3分； ②供货组织安排及保障措施:每完全满足一个评审标准得1分，有瑕疵得0.5分，有缺项漏项得0分。满分3分； ③计划进度安排：每完全满足一个评审标准得1分，有瑕疵得0.5分，有缺项漏项得0分。满分3分。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根据项目实际需求，提供质量保证方案。内容包含：①质量目标；②质量控制措施。 二、评审标准 1、完整性：方案须全面，对评审内容中的各项要求有详细描述； 2、可实施性：切合本项目实际情况，实施步骤清晰、合理； 3、针对性：方案能够紧扣项目实际情况，内容科学合理。 三、赋分依据（满分6分） ①质量目标：每完全满足一个评审标准得1分，有瑕疵得0.5分，有缺项漏项得0分。满分3分； ②质量控制措施:每完全满足一个评审标准得1分，有瑕疵得0.5分，有缺项漏项得0分。满分3分。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供应商提供本项目“技术参数表”中货物的合法来源渠道证明文件或情况说明，每提供一项产品的证明文件得0.5分，满分6.5分，不提供不得分。 供应商可根据自身情况提供以下资料： 1、如供应商为所投产品经销商：提供货物的合法来源渠道证明文件（提供证明材料不限于产品制造商授权、销售协议、代理协议等证明文件）。 2、如供应商为所投产品的制造商：需提供情况说明（说明某一项产品为制造商自己生产）。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一、评审内容 根据项目实际需求提供人员保障方案。内容包含：①团队人员配置明细；②团队人员职能分工及职责划分方案。 二、评审标准 1.完整性：方案须全面，对评审内容中的各项要求有详细描述； 2.专业性：人员相关岗位经验丰富，切合本项目实际情况。 3.针对性：人员数量充足，人员资格/年龄等符合采购需求； 三、赋分依据（满分4.5分） ①团队人员配置明细：每完全满足一个评审标准得1分，有瑕疵得0.5分，有缺项漏项得0分。满分3分。； ②团队人员职能分工及职责划分方案：每完全满足一个评审标准得0.5分，有缺项漏项得0分。满分1.5分。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根据项目实际需求提供售后服务承诺。内容包含： ①承诺提供7×24小时售后服务热线，保证3小时内到现场处理相关问题； ②承诺一般故障6小时内修复（工作日接到通知），重大故障48小时内提供备用设备； ③承诺为学校教职工提供线下设备使用及基础运维培训； ④承诺质保期结束后，能更及时地为用户提供备品备件，只收取配件成本费。 二、赋分依据（满分4分） 供应商承诺内容满足或优于以上内容要求的，每提供承诺1项得1分；满分4分。未承诺、承诺标准低于要求的，该条不得分。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承诺：质保期高于招标文件要求的，每增加一年原厂质保得1分，最高得2分。不承诺不得分（承诺须明确具体质保期）。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一、演示系统要求： 系统功能完善，且完全响应技术要求；界面简洁友好，符合用户操作习惯；系统运行稳定，无崩溃卡顿情况；系统具有创新性，且能带来效率提升；系统设计合理，性能、安全性高； 二、赋分依据（满分10分） ①演示共5项模块内容，每项内容演示完整且满足要求计2分，演示不完整或不能满足要求的计1分，无演示计0分； ②支持实时线上实操演示、合规视频录制演示两种有效形式。严禁仅通过静态PPT、单一截图等无动态功能展示的方式进行演示，否则视为无效演示，系统演示项不得分。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供应商具有2023年1月1日至今类似业绩，提供一个计3分，本项最多得6分。未提供业绩不得分。 注：业绩证明资料以合同或中标（成交）通知书为准。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