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版本号：THJT2026ZC-01920260806001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南郑区2026年农村公路路面改造工程设计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THJT2026ZC-019</w:t>
      </w:r>
      <w:r>
        <w:br/>
      </w:r>
      <w:r>
        <w:br/>
      </w:r>
      <w:r>
        <w:br/>
      </w:r>
    </w:p>
    <w:p>
      <w:pPr>
        <w:pStyle w:val="null3"/>
        <w:jc w:val="center"/>
        <w:outlineLvl w:val="2"/>
      </w:pPr>
      <w:r>
        <w:rPr>
          <w:rFonts w:ascii="仿宋_GB2312" w:hAnsi="仿宋_GB2312" w:cs="仿宋_GB2312" w:eastAsia="仿宋_GB2312"/>
          <w:sz w:val="28"/>
          <w:b/>
        </w:rPr>
        <w:t>汉中市南郑区交通运输局</w:t>
      </w:r>
    </w:p>
    <w:p>
      <w:pPr>
        <w:pStyle w:val="null3"/>
        <w:jc w:val="center"/>
        <w:outlineLvl w:val="2"/>
      </w:pPr>
      <w:r>
        <w:rPr>
          <w:rFonts w:ascii="仿宋_GB2312" w:hAnsi="仿宋_GB2312" w:cs="仿宋_GB2312" w:eastAsia="仿宋_GB2312"/>
          <w:sz w:val="28"/>
          <w:b/>
        </w:rPr>
        <w:t>陕西天恒金泰项目管理有限公司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陕西天恒金泰项目管理有限公司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汉中市南郑区交通运输局</w:t>
      </w:r>
      <w:r>
        <w:rPr>
          <w:rFonts w:ascii="仿宋_GB2312" w:hAnsi="仿宋_GB2312" w:cs="仿宋_GB2312" w:eastAsia="仿宋_GB2312"/>
        </w:rPr>
        <w:t>委托，拟对</w:t>
      </w:r>
      <w:r>
        <w:rPr>
          <w:rFonts w:ascii="仿宋_GB2312" w:hAnsi="仿宋_GB2312" w:cs="仿宋_GB2312" w:eastAsia="仿宋_GB2312"/>
        </w:rPr>
        <w:t>南郑区2026年农村公路路面改造工程设计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THJT2026ZC-019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南郑区2026年农村公路路面改造工程设计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南郑区2026年农村公路路面改造工程设计，本次设计总里程约138公里，主要对现状路况调查及路面评价，并根据评价结果进行路面改造工程设计。严格遵循现行公路工程设计规范及农村公路建设相关技术标准。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采购包1（南郑区2026年农村公路路面改造工程设计）：属于专门面向中小企业采购。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pPr>
      <w:r>
        <w:rPr>
          <w:rFonts w:ascii="仿宋_GB2312" w:hAnsi="仿宋_GB2312" w:cs="仿宋_GB2312" w:eastAsia="仿宋_GB2312"/>
        </w:rPr>
        <w:t>4、供应商资格证书：供应商须具有工程设计专业资质公路行业（公路）设计乙级及以上资质；</w:t>
      </w:r>
    </w:p>
    <w:p>
      <w:pPr>
        <w:pStyle w:val="null3"/>
      </w:pPr>
      <w:r>
        <w:rPr>
          <w:rFonts w:ascii="仿宋_GB2312" w:hAnsi="仿宋_GB2312" w:cs="仿宋_GB2312" w:eastAsia="仿宋_GB2312"/>
        </w:rPr>
        <w:t>5、拟派项目负责人：项目负责人具备公路工程相关专业中级及以上技术职称；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陕西省汉中市南郑区汉山街道办东大街39号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0916-5512167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陕西天恒金泰项目管理有限公司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陕西省汉中市汉台区太白路252号百嘉汇广场B 座14楼0201室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0916-8836688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开户名称：陕西天恒金泰项目管理有限公司</w:t>
            </w:r>
          </w:p>
          <w:p>
            <w:pPr>
              <w:pStyle w:val="null3"/>
            </w:pPr>
            <w:r>
              <w:rPr>
                <w:rFonts w:ascii="仿宋_GB2312" w:hAnsi="仿宋_GB2312" w:cs="仿宋_GB2312" w:eastAsia="仿宋_GB2312"/>
              </w:rPr>
              <w:t>开户银行：农行汉中天台路支行</w:t>
            </w:r>
          </w:p>
          <w:p>
            <w:pPr>
              <w:pStyle w:val="null3"/>
            </w:pPr>
            <w:r>
              <w:rPr>
                <w:rFonts w:ascii="仿宋_GB2312" w:hAnsi="仿宋_GB2312" w:cs="仿宋_GB2312" w:eastAsia="仿宋_GB2312"/>
              </w:rPr>
              <w:t>银行账号：26653001040011635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代理服务费收费标准：参照国家计委颁发的《招标代理服务收费管理暂行办法》（计价格【2002】1980号）和《关于招标代理服务费收费有关问题的通知》（发改办价格【2023】875号标准收取。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汉中市南郑区交通运输局</w:t>
      </w:r>
      <w:r>
        <w:rPr>
          <w:rFonts w:ascii="仿宋_GB2312" w:hAnsi="仿宋_GB2312" w:cs="仿宋_GB2312" w:eastAsia="仿宋_GB2312"/>
        </w:rPr>
        <w:t>和</w:t>
      </w:r>
      <w:r>
        <w:rPr>
          <w:rFonts w:ascii="仿宋_GB2312" w:hAnsi="仿宋_GB2312" w:cs="仿宋_GB2312" w:eastAsia="仿宋_GB2312"/>
        </w:rPr>
        <w:t>陕西天恒金泰项目管理有限公司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陕西天恒金泰项目管理有限公司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陕西天恒金泰项目管理有限公司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设计符合国家标准及行业规范，通过相关部门评审并获得批复。</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联系人：邓攀</w:t>
      </w:r>
    </w:p>
    <w:p>
      <w:pPr>
        <w:pStyle w:val="null3"/>
      </w:pPr>
      <w:r>
        <w:rPr>
          <w:rFonts w:ascii="仿宋_GB2312" w:hAnsi="仿宋_GB2312" w:cs="仿宋_GB2312" w:eastAsia="仿宋_GB2312"/>
        </w:rPr>
        <w:t>联系电话：0916-8836688</w:t>
      </w:r>
    </w:p>
    <w:p>
      <w:pPr>
        <w:pStyle w:val="null3"/>
      </w:pPr>
      <w:r>
        <w:rPr>
          <w:rFonts w:ascii="仿宋_GB2312" w:hAnsi="仿宋_GB2312" w:cs="仿宋_GB2312" w:eastAsia="仿宋_GB2312"/>
        </w:rPr>
        <w:t>地址：汉中市汉台区太白路百嘉汇广场B 座14楼0201室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南郑区2026年农村公路路面改造工程设计，本次设计总里程约138公里，主要对现状路况调查及路面评价，并根据评价结果进行路面改造工程设计。严格遵循现行公路工程设计规范及农村公路建设相关技术标准。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南郑区2026年农村公路路面改造工程设计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标的名称：南郑区2026年农村公路路面改造工程设计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一、项目概</w:t>
            </w:r>
            <w:r>
              <w:rPr>
                <w:rFonts w:ascii="仿宋_GB2312" w:hAnsi="仿宋_GB2312" w:cs="仿宋_GB2312" w:eastAsia="仿宋_GB2312"/>
                <w:sz w:val="24"/>
                <w:color w:val="000000"/>
                <w:shd w:fill="FFFFFF" w:val="clear"/>
              </w:rPr>
              <w:t>况：南郑区2026年农村公路路面改造工程设计，本次设计总里程约138公里，主要对现状路况调查及路面评价，并根据评价结果进行路面改造工程设计。严格遵循现行公路工程设计规范及农村公路建设相关技术标准。</w:t>
            </w:r>
          </w:p>
          <w:p>
            <w:pPr>
              <w:pStyle w:val="null3"/>
              <w:jc w:val="both"/>
            </w:pPr>
            <w:r>
              <w:rPr>
                <w:rFonts w:ascii="仿宋_GB2312" w:hAnsi="仿宋_GB2312" w:cs="仿宋_GB2312" w:eastAsia="仿宋_GB2312"/>
                <w:sz w:val="24"/>
                <w:color w:val="000000"/>
              </w:rPr>
              <w:t>二、服务内容：</w:t>
            </w:r>
          </w:p>
          <w:p>
            <w:pPr>
              <w:pStyle w:val="null3"/>
            </w:pPr>
            <w:r>
              <w:rPr>
                <w:rFonts w:ascii="仿宋_GB2312" w:hAnsi="仿宋_GB2312" w:cs="仿宋_GB2312" w:eastAsia="仿宋_GB2312"/>
                <w:sz w:val="24"/>
                <w:color w:val="000000"/>
                <w:shd w:fill="FFFFFF" w:val="clear"/>
              </w:rPr>
              <w:t>完成</w:t>
            </w:r>
            <w:r>
              <w:rPr>
                <w:rFonts w:ascii="仿宋_GB2312" w:hAnsi="仿宋_GB2312" w:cs="仿宋_GB2312" w:eastAsia="仿宋_GB2312"/>
                <w:sz w:val="24"/>
                <w:color w:val="000000"/>
                <w:shd w:fill="FFFFFF" w:val="clear"/>
              </w:rPr>
              <w:t>施工图设计</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方案设计及后续服务（包括工程量清单及预算编制、参加施工和监理招标的标前会、编制施工技术规范、项目实施期间设计交底、</w:t>
            </w:r>
            <w:r>
              <w:rPr>
                <w:rFonts w:ascii="仿宋_GB2312" w:hAnsi="仿宋_GB2312" w:cs="仿宋_GB2312" w:eastAsia="仿宋_GB2312"/>
                <w:sz w:val="24"/>
                <w:color w:val="000000"/>
                <w:shd w:fill="FFFFFF" w:val="clear"/>
              </w:rPr>
              <w:t>定测放线、</w:t>
            </w:r>
            <w:r>
              <w:rPr>
                <w:rFonts w:ascii="仿宋_GB2312" w:hAnsi="仿宋_GB2312" w:cs="仿宋_GB2312" w:eastAsia="仿宋_GB2312"/>
                <w:sz w:val="24"/>
                <w:color w:val="000000"/>
                <w:shd w:fill="FFFFFF" w:val="clear"/>
              </w:rPr>
              <w:t>派驻现场设计代表、设计变更以及交（竣）工验收配合等。）确保设计成果满足国家标准及行业规范要求。</w:t>
            </w:r>
          </w:p>
          <w:p>
            <w:pPr>
              <w:pStyle w:val="null3"/>
              <w:jc w:val="both"/>
            </w:pPr>
            <w:r>
              <w:rPr>
                <w:rFonts w:ascii="仿宋_GB2312" w:hAnsi="仿宋_GB2312" w:cs="仿宋_GB2312" w:eastAsia="仿宋_GB2312"/>
                <w:sz w:val="24"/>
                <w:color w:val="000000"/>
                <w:shd w:fill="FFFFFF" w:val="clear"/>
              </w:rPr>
              <w:t>三、服务要求</w:t>
            </w:r>
          </w:p>
          <w:p>
            <w:pPr>
              <w:pStyle w:val="null3"/>
              <w:jc w:val="both"/>
            </w:pPr>
            <w:r>
              <w:rPr>
                <w:rFonts w:ascii="仿宋_GB2312" w:hAnsi="仿宋_GB2312" w:cs="仿宋_GB2312" w:eastAsia="仿宋_GB2312"/>
                <w:sz w:val="24"/>
                <w:color w:val="000000"/>
                <w:shd w:fill="FFFFFF" w:val="clear"/>
              </w:rPr>
              <w:t>1</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质量要求</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设计成果符合国家及行业相关规范、标准，且最终设计成果必须通过行政</w:t>
            </w:r>
            <w:r>
              <w:rPr>
                <w:rFonts w:ascii="仿宋_GB2312" w:hAnsi="仿宋_GB2312" w:cs="仿宋_GB2312" w:eastAsia="仿宋_GB2312"/>
                <w:sz w:val="24"/>
                <w:color w:val="000000"/>
                <w:shd w:fill="FFFFFF" w:val="clear"/>
              </w:rPr>
              <w:t>主管</w:t>
            </w:r>
            <w:r>
              <w:rPr>
                <w:rFonts w:ascii="仿宋_GB2312" w:hAnsi="仿宋_GB2312" w:cs="仿宋_GB2312" w:eastAsia="仿宋_GB2312"/>
                <w:sz w:val="24"/>
                <w:color w:val="000000"/>
                <w:shd w:fill="FFFFFF" w:val="clear"/>
              </w:rPr>
              <w:t>部门的</w:t>
            </w:r>
            <w:r>
              <w:rPr>
                <w:rFonts w:ascii="仿宋_GB2312" w:hAnsi="仿宋_GB2312" w:cs="仿宋_GB2312" w:eastAsia="仿宋_GB2312"/>
                <w:sz w:val="24"/>
                <w:color w:val="000000"/>
                <w:shd w:fill="FFFFFF" w:val="clear"/>
              </w:rPr>
              <w:t>审批</w:t>
            </w:r>
            <w:r>
              <w:rPr>
                <w:rFonts w:ascii="仿宋_GB2312" w:hAnsi="仿宋_GB2312" w:cs="仿宋_GB2312" w:eastAsia="仿宋_GB2312"/>
                <w:sz w:val="24"/>
                <w:color w:val="000000"/>
                <w:shd w:fill="FFFFFF" w:val="clear"/>
              </w:rPr>
              <w:t>。</w:t>
            </w:r>
          </w:p>
          <w:p>
            <w:pPr>
              <w:pStyle w:val="null3"/>
              <w:jc w:val="both"/>
            </w:pPr>
            <w:r>
              <w:rPr>
                <w:rFonts w:ascii="仿宋_GB2312" w:hAnsi="仿宋_GB2312" w:cs="仿宋_GB2312" w:eastAsia="仿宋_GB2312"/>
                <w:sz w:val="24"/>
                <w:color w:val="000000"/>
                <w:shd w:fill="FFFFFF" w:val="clear"/>
              </w:rPr>
              <w:t>2.进度要求</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服务期为合同签订后</w:t>
            </w:r>
            <w:r>
              <w:rPr>
                <w:rFonts w:ascii="仿宋_GB2312" w:hAnsi="仿宋_GB2312" w:cs="仿宋_GB2312" w:eastAsia="仿宋_GB2312"/>
                <w:sz w:val="24"/>
                <w:color w:val="000000"/>
                <w:shd w:fill="FFFFFF" w:val="clear"/>
              </w:rPr>
              <w:t>30日历天</w:t>
            </w: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供应商需在规定</w:t>
            </w:r>
            <w:r>
              <w:rPr>
                <w:rFonts w:ascii="仿宋_GB2312" w:hAnsi="仿宋_GB2312" w:cs="仿宋_GB2312" w:eastAsia="仿宋_GB2312"/>
                <w:sz w:val="24"/>
                <w:color w:val="000000"/>
                <w:shd w:fill="FFFFFF" w:val="clear"/>
              </w:rPr>
              <w:t>期限</w:t>
            </w:r>
            <w:r>
              <w:rPr>
                <w:rFonts w:ascii="仿宋_GB2312" w:hAnsi="仿宋_GB2312" w:cs="仿宋_GB2312" w:eastAsia="仿宋_GB2312"/>
                <w:sz w:val="24"/>
                <w:color w:val="000000"/>
                <w:shd w:fill="FFFFFF" w:val="clear"/>
              </w:rPr>
              <w:t>内如期完成本项目施工图设计及所有配套文件的编制工作，确保成果交付及时、合规。</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为保证本项目顺利实施，符合国家标准及行业规范，供应商应根据本项目规模及采购文件要求，配备相关专业的技术人员以满足设计需求。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为保证本项目顺利实施，符合国家标准及行业规范，供应商应根据本项目规模，配备相关专业设备以满足设计需求。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设计成果符合国家标准及行业规范，通过相关部门评审并获得批复。</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完成设计文件，包括施工图设计及施工图预算等，设计符合国家标准及行业规范，通过相关部门评审并获得批复。</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进度款，施工图审查结束后，达到付款条件起7个工作日内，支付合同总金额的50.0%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进度款，施工图批复后，达到付款条件起7个工作日内，支付合同总金额的50.0%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合同履行发生争议，双方优先协商解决；协商不成，向项目所在地人民法院提起诉讼。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满足采购文件要求，符合国家标准及行业规范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供应商资格证书</w:t>
            </w:r>
          </w:p>
        </w:tc>
        <w:tc>
          <w:tcPr>
            <w:tcW w:type="dxa" w:w="3322"/>
          </w:tcPr>
          <w:p>
            <w:pPr>
              <w:pStyle w:val="null3"/>
            </w:pPr>
            <w:r>
              <w:rPr>
                <w:rFonts w:ascii="仿宋_GB2312" w:hAnsi="仿宋_GB2312" w:cs="仿宋_GB2312" w:eastAsia="仿宋_GB2312"/>
              </w:rPr>
              <w:t>供应商须具有工程设计专业资质公路行业（公路）设计乙级及以上资质；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项目负责人具备公路工程相关专业中级及以上技术职称；</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符合竞争性磋商文件的实质性要求</w:t>
            </w:r>
          </w:p>
        </w:tc>
        <w:tc>
          <w:tcPr>
            <w:tcW w:type="dxa" w:w="3322"/>
          </w:tcPr>
          <w:p>
            <w:pPr>
              <w:pStyle w:val="null3"/>
            </w:pPr>
            <w:r>
              <w:rPr>
                <w:rFonts w:ascii="仿宋_GB2312" w:hAnsi="仿宋_GB2312" w:cs="仿宋_GB2312" w:eastAsia="仿宋_GB2312"/>
              </w:rPr>
              <w:t>供应商按照采购文件的要求上传响应文件</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供应商业绩 响应文件封面 残疾人福利性单位声明函 服务方案 标的清单 响应函 监狱企业的证明文件 项目管理机构及人员简历表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供应商业绩 响应文件封面 残疾人福利性单位声明函 服务方案 标的清单 响应函 监狱企业的证明文件 项目管理机构及人员简历表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服务及商务要求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响应文件符合法律、法规和磋商文件中规定的其他实质性要求</w:t>
            </w:r>
          </w:p>
        </w:tc>
        <w:tc>
          <w:tcPr>
            <w:tcW w:type="dxa" w:w="1661"/>
          </w:tcPr>
          <w:p>
            <w:pPr>
              <w:pStyle w:val="null3"/>
            </w:pPr>
            <w:r>
              <w:rPr>
                <w:rFonts w:ascii="仿宋_GB2312" w:hAnsi="仿宋_GB2312" w:cs="仿宋_GB2312" w:eastAsia="仿宋_GB2312"/>
              </w:rPr>
              <w:t>中小企业声明函 商务应答表 服务内容及服务要求应答表 供应商应提交的相关资格证明材料 报价表 供应商业绩 响应文件封面 残疾人福利性单位声明函 服务方案 标的清单 响应函 监狱企业的证明文件 项目管理机构及人员简历表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供应商近3年（2023年1月至今）承担过类似业绩每个业绩得3分，本项最高得6分。业绩材料：提供合同复印件加盖公章，时间以合同签订时间为准（合同须体现合同金额、合同内容、签字盖章页、合同签订日期）。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具有公路工程相关专业高级及以上职称的得4分。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项目管理机构及人员简历表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其他主要人员资历</w:t>
            </w:r>
          </w:p>
        </w:tc>
        <w:tc>
          <w:tcPr>
            <w:tcW w:type="dxa" w:w="2492"/>
          </w:tcPr>
          <w:p>
            <w:pPr>
              <w:pStyle w:val="null3"/>
            </w:pPr>
            <w:r>
              <w:rPr>
                <w:rFonts w:ascii="仿宋_GB2312" w:hAnsi="仿宋_GB2312" w:cs="仿宋_GB2312" w:eastAsia="仿宋_GB2312"/>
              </w:rPr>
              <w:t>①供应商针对本项目的提供科学合理的团队，人员结构合理、职责明确。人员配备充足，配置合理全面，能全面高效地完成本项目，提供团队人数(项目负责人除外)5人以下得3分；满足5人得5分。每多增加1个人加1分，本项最多得8分。 ②供应商拟投入本项目的团队人员(项目负责人除外)，每具有1名公路工程相关专业中级职称的，得2分；每具有1名公路工程相关专业高级职称得4分。本项最高得16分。 证明材料：须提供拟派人员身份证及职称证、投标单位为其缴纳社保的证明材料复印件加盖公章；未提供的不得分。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项目管理机构及人员简历表</w:t>
            </w:r>
          </w:p>
        </w:tc>
      </w:tr>
      <w:tr>
        <w:tc>
          <w:tcPr>
            <w:tcW w:type="dxa" w:w="831"/>
            <w:vMerge/>
          </w:tcPr>
          <w:p/>
        </w:tc>
        <w:tc>
          <w:tcPr>
            <w:tcW w:type="dxa" w:w="1661"/>
          </w:tcPr>
          <w:p>
            <w:pPr>
              <w:pStyle w:val="null3"/>
            </w:pPr>
            <w:r>
              <w:rPr>
                <w:rFonts w:ascii="仿宋_GB2312" w:hAnsi="仿宋_GB2312" w:cs="仿宋_GB2312" w:eastAsia="仿宋_GB2312"/>
              </w:rPr>
              <w:t>供应商承诺书</w:t>
            </w:r>
          </w:p>
        </w:tc>
        <w:tc>
          <w:tcPr>
            <w:tcW w:type="dxa" w:w="2492"/>
          </w:tcPr>
          <w:p>
            <w:pPr>
              <w:pStyle w:val="null3"/>
            </w:pPr>
            <w:r>
              <w:rPr>
                <w:rFonts w:ascii="仿宋_GB2312" w:hAnsi="仿宋_GB2312" w:cs="仿宋_GB2312" w:eastAsia="仿宋_GB2312"/>
              </w:rPr>
              <w:t>供应商提供书面承诺，包括： 1、施工阶段全过程现场技术配合、图纸答疑、变更设计及时响应； 2、配合相关部门完成评审，并按时完成成果修编； 3、项目负责人及主要专业负责人未经采购人同意不擅自更换，擅自更换接受合同约定处罚。每提供一项承诺得2分，满分6分。未提供不得分。承诺内容纳入合同，中标后违约按合同追责。</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供应商承诺书</w:t>
            </w:r>
          </w:p>
        </w:tc>
      </w:tr>
      <w:tr>
        <w:tc>
          <w:tcPr>
            <w:tcW w:type="dxa" w:w="831"/>
            <w:vMerge/>
          </w:tcPr>
          <w:p/>
        </w:tc>
        <w:tc>
          <w:tcPr>
            <w:tcW w:type="dxa" w:w="1661"/>
          </w:tcPr>
          <w:p>
            <w:pPr>
              <w:pStyle w:val="null3"/>
            </w:pPr>
            <w:r>
              <w:rPr>
                <w:rFonts w:ascii="仿宋_GB2312" w:hAnsi="仿宋_GB2312" w:cs="仿宋_GB2312" w:eastAsia="仿宋_GB2312"/>
              </w:rPr>
              <w:t>方案总体内容</w:t>
            </w:r>
          </w:p>
        </w:tc>
        <w:tc>
          <w:tcPr>
            <w:tcW w:type="dxa" w:w="2492"/>
          </w:tcPr>
          <w:p>
            <w:pPr>
              <w:pStyle w:val="null3"/>
            </w:pPr>
            <w:r>
              <w:rPr>
                <w:rFonts w:ascii="仿宋_GB2312" w:hAnsi="仿宋_GB2312" w:cs="仿宋_GB2312" w:eastAsia="仿宋_GB2312"/>
              </w:rPr>
              <w:t>完整结合本区域道路现状、匹配对应整体实施策略、统筹思路，内容详实贴合本项目实际， 包含：①项目理解；②工作思路；③合理化建议。 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对项目关键点、难点的理解及措施</w:t>
            </w:r>
          </w:p>
        </w:tc>
        <w:tc>
          <w:tcPr>
            <w:tcW w:type="dxa" w:w="2492"/>
          </w:tcPr>
          <w:p>
            <w:pPr>
              <w:pStyle w:val="null3"/>
            </w:pPr>
            <w:r>
              <w:rPr>
                <w:rFonts w:ascii="仿宋_GB2312" w:hAnsi="仿宋_GB2312" w:cs="仿宋_GB2312" w:eastAsia="仿宋_GB2312"/>
              </w:rPr>
              <w:t>根据供应商针对本项目指定的①工作的重点、难点的分析②采取的针对性措施等。以上内容全面、针对性强、符合本项目特点的得满分6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供应商针对本项目的服务保障措施，内容包含：①质量保障措施；②安全保障措施；③进度保障措施； 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服务工作计划及承诺</w:t>
            </w:r>
          </w:p>
        </w:tc>
        <w:tc>
          <w:tcPr>
            <w:tcW w:type="dxa" w:w="2492"/>
          </w:tcPr>
          <w:p>
            <w:pPr>
              <w:pStyle w:val="null3"/>
            </w:pPr>
            <w:r>
              <w:rPr>
                <w:rFonts w:ascii="仿宋_GB2312" w:hAnsi="仿宋_GB2312" w:cs="仿宋_GB2312" w:eastAsia="仿宋_GB2312"/>
              </w:rPr>
              <w:t>供应商针对本项目具有明确的服务保证措施及承诺：包含①服务承诺及保障；②成果报审修编；③后续配合服务措施。 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项目风险预判与应急保障预案</w:t>
            </w:r>
          </w:p>
        </w:tc>
        <w:tc>
          <w:tcPr>
            <w:tcW w:type="dxa" w:w="2492"/>
          </w:tcPr>
          <w:p>
            <w:pPr>
              <w:pStyle w:val="null3"/>
            </w:pPr>
            <w:r>
              <w:rPr>
                <w:rFonts w:ascii="仿宋_GB2312" w:hAnsi="仿宋_GB2312" w:cs="仿宋_GB2312" w:eastAsia="仿宋_GB2312"/>
              </w:rPr>
              <w:t>针对公路⼯程设计常⻅⻛险、⽓候天⽓影响、数据偏差、政策审核变动、⼯期⻛险等，全⾯预判并制定对应防控、应急处置、补救保障措施，预案针对性、实操性强，得5.1-7分； 可识别主要项⽬⻛险，具备基础应急措施，但防控细节不完善，得3.1-5分； 仅简单罗列⻛险类型，⽆对应处置预案，得3-1分； 未提供⻛险应急⽅案，本项不得分。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采用低价优先法计算，即满足磋商文件要求且价格最低的磋商报价为磋商基准价，其价格分为满分； 磋商报价得分＝（磋商基准价/最终磋商报价）×价格权值×100； 注：磋商小组认为供应商的报价明显低于其他通过符合性审查供应商的报价，有可能影响服务质量或者不能诚信履约的，应当要求其在磋商现场合理的时间内提供书面说明，必要时提交相关证明材料；供应商不能证明其报价合理性的，磋商小组应当将其作为废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详见附件：项目管理机构及人员简历表</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