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版本号：SXZZ-采-【H2026-061701】20260617001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公务车购置项目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SXZZ-采-【H2026-061701】</w:t>
      </w:r>
      <w:r>
        <w:br/>
      </w:r>
      <w:r>
        <w:br/>
      </w:r>
      <w:r>
        <w:br/>
      </w:r>
    </w:p>
    <w:p>
      <w:pPr>
        <w:pStyle w:val="null3"/>
        <w:jc w:val="center"/>
        <w:outlineLvl w:val="2"/>
      </w:pPr>
      <w:r>
        <w:rPr>
          <w:rFonts w:ascii="仿宋_GB2312" w:hAnsi="仿宋_GB2312" w:cs="仿宋_GB2312" w:eastAsia="仿宋_GB2312"/>
          <w:sz w:val="28"/>
          <w:b/>
        </w:rPr>
        <w:t>陕西省杨凌监狱</w:t>
      </w:r>
    </w:p>
    <w:p>
      <w:pPr>
        <w:pStyle w:val="null3"/>
        <w:jc w:val="center"/>
        <w:outlineLvl w:val="2"/>
      </w:pPr>
      <w:r>
        <w:rPr>
          <w:rFonts w:ascii="仿宋_GB2312" w:hAnsi="仿宋_GB2312" w:cs="仿宋_GB2312" w:eastAsia="仿宋_GB2312"/>
          <w:sz w:val="28"/>
          <w:b/>
        </w:rPr>
        <w:t>陕西中招招标有限责任公司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陕西中招招标有限责任公司</w:t>
      </w:r>
      <w:r>
        <w:rPr>
          <w:rFonts w:ascii="仿宋_GB2312" w:hAnsi="仿宋_GB2312" w:cs="仿宋_GB2312" w:eastAsia="仿宋_GB2312"/>
        </w:rPr>
        <w:t>（以下简称“代理机构”）受</w:t>
      </w:r>
      <w:r>
        <w:rPr>
          <w:rFonts w:ascii="仿宋_GB2312" w:hAnsi="仿宋_GB2312" w:cs="仿宋_GB2312" w:eastAsia="仿宋_GB2312"/>
        </w:rPr>
        <w:t>陕西省杨凌监狱</w:t>
      </w:r>
      <w:r>
        <w:rPr>
          <w:rFonts w:ascii="仿宋_GB2312" w:hAnsi="仿宋_GB2312" w:cs="仿宋_GB2312" w:eastAsia="仿宋_GB2312"/>
        </w:rPr>
        <w:t>委托，拟对</w:t>
      </w:r>
      <w:r>
        <w:rPr>
          <w:rFonts w:ascii="仿宋_GB2312" w:hAnsi="仿宋_GB2312" w:cs="仿宋_GB2312" w:eastAsia="仿宋_GB2312"/>
        </w:rPr>
        <w:t>公务车购置项目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SXZZ-采-【H2026-061701】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公务车购置项目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对陕西省杨凌监狱公务车（5辆）及伴随服务等进行采购。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1、法定代表人（或负责人）资格证明：提供法定代表人（或负责人）资格证明；</w:t>
      </w:r>
    </w:p>
    <w:p>
      <w:pPr>
        <w:pStyle w:val="null3"/>
      </w:pPr>
      <w:r>
        <w:rPr>
          <w:rFonts w:ascii="仿宋_GB2312" w:hAnsi="仿宋_GB2312" w:cs="仿宋_GB2312" w:eastAsia="仿宋_GB2312"/>
        </w:rPr>
        <w:t>2、营业执照或等同：国内合法注册，具有独立承担民事责任能力的法人或其他组织（分公司提供总公司合法有效授权）；</w:t>
      </w:r>
    </w:p>
    <w:p>
      <w:pPr>
        <w:pStyle w:val="null3"/>
      </w:pPr>
      <w:r>
        <w:rPr>
          <w:rFonts w:ascii="仿宋_GB2312" w:hAnsi="仿宋_GB2312" w:cs="仿宋_GB2312" w:eastAsia="仿宋_GB2312"/>
        </w:rPr>
        <w:t>3、供应商应提供健全的财务会计制度的证明材料：提供供应商2025年年度财务报表（资产负债表、利润表、现金流量表）或针对本项目开具的银行资信证明；</w:t>
      </w:r>
    </w:p>
    <w:p>
      <w:pPr>
        <w:pStyle w:val="null3"/>
      </w:pPr>
      <w:r>
        <w:rPr>
          <w:rFonts w:ascii="仿宋_GB2312" w:hAnsi="仿宋_GB2312" w:cs="仿宋_GB2312" w:eastAsia="仿宋_GB2312"/>
        </w:rPr>
        <w:t>4、完税及社保缴纳证明：提供供应商2025年6月至今任意一个月完税证明及社保缴纳凭证（须含养老），依法免税提供免税相关证明材料。至投标截止时间成立不足一月的，提供供应商符合完税及社保缴纳的相关规定的证明或承诺。时间以税款/社保所属日期为准；凭证应有税务机关或代收机关的公章或业务专用章；</w:t>
      </w:r>
    </w:p>
    <w:p>
      <w:pPr>
        <w:pStyle w:val="null3"/>
      </w:pPr>
      <w:r>
        <w:rPr>
          <w:rFonts w:ascii="仿宋_GB2312" w:hAnsi="仿宋_GB2312" w:cs="仿宋_GB2312" w:eastAsia="仿宋_GB2312"/>
        </w:rPr>
        <w:t>5、车企及投标产品：车辆生产企业及投标产品须在国家相关部门公布的《道路机动车辆生产企业及产品公告》目录内；</w:t>
      </w:r>
    </w:p>
    <w:p>
      <w:pPr>
        <w:pStyle w:val="null3"/>
      </w:pPr>
      <w:r>
        <w:rPr>
          <w:rFonts w:ascii="仿宋_GB2312" w:hAnsi="仿宋_GB2312" w:cs="仿宋_GB2312" w:eastAsia="仿宋_GB2312"/>
        </w:rPr>
        <w:t>6、供应商信用查询：供应商不得在“信用中国”（www.creditchina.gov.cn）和“中国政府采购网”（www.ccgp.gov.cn）有失信记录。（1.“信用中国：未被列入失信被执行人和重大税收违法案件当事人;2.“中国政府采购网”:未被列入严重违法失信行为记录名单。）；</w:t>
      </w:r>
    </w:p>
    <w:p>
      <w:pPr>
        <w:pStyle w:val="null3"/>
      </w:pPr>
      <w:r>
        <w:rPr>
          <w:rFonts w:ascii="仿宋_GB2312" w:hAnsi="仿宋_GB2312" w:cs="仿宋_GB2312" w:eastAsia="仿宋_GB2312"/>
        </w:rPr>
        <w:t>7、无违法违规行为声明：供应商参加本政府采购活动前三年内（2023年6月至投标截止时间止）在经营活动中无重大违法违规记录、无重大行政处罚、无重大安全事故的书面声明；</w:t>
      </w:r>
    </w:p>
    <w:p>
      <w:pPr>
        <w:pStyle w:val="null3"/>
      </w:pPr>
      <w:r>
        <w:rPr>
          <w:rFonts w:ascii="仿宋_GB2312" w:hAnsi="仿宋_GB2312" w:cs="仿宋_GB2312" w:eastAsia="仿宋_GB2312"/>
        </w:rPr>
        <w:t>8、缴纳投标保证金：提供投标保证金凭证或投标保函；</w:t>
      </w:r>
    </w:p>
    <w:p>
      <w:pPr>
        <w:pStyle w:val="null3"/>
      </w:pPr>
      <w:r>
        <w:rPr>
          <w:rFonts w:ascii="仿宋_GB2312" w:hAnsi="仿宋_GB2312" w:cs="仿宋_GB2312" w:eastAsia="仿宋_GB2312"/>
        </w:rPr>
        <w:t>9、禁止投标：禁止投标情形：①法定代表人或负责人为同一人或存在直接控股、管理关系的不同单位，不得同时参加本项目投标；②与采购人存在利害关系的单位不得参加本项目投标；③法律法规规定的其他禁止投标情形；</w:t>
      </w:r>
    </w:p>
    <w:p>
      <w:pPr>
        <w:pStyle w:val="null3"/>
      </w:pPr>
      <w:r>
        <w:rPr>
          <w:rFonts w:ascii="仿宋_GB2312" w:hAnsi="仿宋_GB2312" w:cs="仿宋_GB2312" w:eastAsia="仿宋_GB2312"/>
        </w:rPr>
        <w:t>10、非联合体投标：提供非联合体投标声明函。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陕西省杨凌监狱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陕西省杨凌示范区滨河路东段 2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陕西省杨凌监狱经办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15029811053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陕西中招招标有限责任公司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陕西省西安市莲湖区沣惠路南段艺腾国际商务大厦十楼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招标五部-范博、左金娟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029-81510917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公务车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开户名称：陕西中招招标有限责任公司</w:t>
            </w:r>
          </w:p>
          <w:p>
            <w:pPr>
              <w:pStyle w:val="null3"/>
            </w:pPr>
            <w:r>
              <w:rPr>
                <w:rFonts w:ascii="仿宋_GB2312" w:hAnsi="仿宋_GB2312" w:cs="仿宋_GB2312" w:eastAsia="仿宋_GB2312"/>
              </w:rPr>
              <w:t>开户银行：中国工商银行股份有限公司西安市解放路支行</w:t>
            </w:r>
          </w:p>
          <w:p>
            <w:pPr>
              <w:pStyle w:val="null3"/>
            </w:pPr>
            <w:r>
              <w:rPr>
                <w:rFonts w:ascii="仿宋_GB2312" w:hAnsi="仿宋_GB2312" w:cs="仿宋_GB2312" w:eastAsia="仿宋_GB2312"/>
              </w:rPr>
              <w:t>银行账号：3700020619005074459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代理服务费收费标准：1.以采购人与代理机构委托协议为准。参照《招标代理服务收费管理暂行办法》计价格[2002]1980号文及发改价格[2015]299号文件相关规定，定额收取10,000.00元。 2.收取时间：中标人确定之日，代理机构即享有收取代理服务费的权利。3.支付时间：中标人在获取中标通知书前一次性全额支付，非代理机构原因，服务费收取不退。费用包含在投标报价中（不需单列），无论计算与否，均视为已知。</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陕西省杨凌监狱</w:t>
      </w:r>
      <w:r>
        <w:rPr>
          <w:rFonts w:ascii="仿宋_GB2312" w:hAnsi="仿宋_GB2312" w:cs="仿宋_GB2312" w:eastAsia="仿宋_GB2312"/>
        </w:rPr>
        <w:t>和</w:t>
      </w:r>
      <w:r>
        <w:rPr>
          <w:rFonts w:ascii="仿宋_GB2312" w:hAnsi="仿宋_GB2312" w:cs="仿宋_GB2312" w:eastAsia="仿宋_GB2312"/>
        </w:rPr>
        <w:t>陕西中招招标有限责任公司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陕西省杨凌监狱</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陕西中招招标有限责任公司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陕西省杨凌监狱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陕西中招招标有限责任公司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1.履约验收主体：采购人是履约验收的第一责任人，负有对履约验收工作的主体责任。 2.履约单位义务与责任：①诚信履约：履约单位应严守契约精神，将诚信履约作为经营底线。签订采购合同后，应按照履约期限，向采购人提供符合招标文件要求、投标文件内容、合同约定交付标准的货物及服务内容，不得擅自降低质量标准、减少供货数量或减少配置及改变产品品牌/规格型号等。②主动配合验收，承担违约责任：履约单位应积极配合采购人开展的履约验收工作，提供与项目验收相关的资料。对不按合同履约、阻挠正常验收、拒不整改或整改不到位、履约过程违约的，采购人应依据采购合同及《民法典》等相关法律法规，依法追究其法律责任，必要时，可将违法线索报送监督部门予以查处。 3.履约验收方式、程序：交付时一次性验收。 4.履约验收小组：验收小组由熟悉项目需求的人员、财务人员、资产管理人员、使用人员、专业人员等至少3人以上单数组成。对技术复杂、专业性较强的采购项目，验收小组必须包含专业技术人员，该人员可由采购人从本单位指定，也可邀请专家、第三方专业机构等人员参与验收,相关验收意见作为验收书的参考资料。 5.履约验收内容：验收小组须严格落实法律法规、履约验收要求，按照招标文件、投标文件、合同约定的技术、服务以及履约期限、交付方式、售后服务条款等要求，客观、公正进行验收，出具验收意见、验收报告等。验收报告应载明验收依据、验收过程、各项验收内容的评价、发现的问题（如有）、处理建议及最终的验收结论（合格或不合格）等,由验收双方共同签署。 6.履约验收依据：验收人依据国家、行业现行相关标准及采购合同规定的标的、技术、数量、质量和安全标准等，对供应商履约情况进行验收，并出具验收报告。 7.履约验收标准：达到国家、行业相关现行标准，依据合同约定验收合格，符合本次采购要求。 8.履约验收问题处理：验收合格的项目,采购人应当根据采购合同的约定及时向中标人支付资金。验收不合格的项目,采购人应当依法及时处理。 9.履约争议、违约：采购合同履行、违约责任和解决争议的方式等适用采购合同及民法典。履约单位在履约过程中有相关法律法规规定的违法违规情形的,采购人应当及时报告监督部门。</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联系人：任老师</w:t>
      </w:r>
    </w:p>
    <w:p>
      <w:pPr>
        <w:pStyle w:val="null3"/>
      </w:pPr>
      <w:r>
        <w:rPr>
          <w:rFonts w:ascii="仿宋_GB2312" w:hAnsi="仿宋_GB2312" w:cs="仿宋_GB2312" w:eastAsia="仿宋_GB2312"/>
        </w:rPr>
        <w:t>联系电话：029-81510957</w:t>
      </w:r>
    </w:p>
    <w:p>
      <w:pPr>
        <w:pStyle w:val="null3"/>
      </w:pPr>
      <w:r>
        <w:rPr>
          <w:rFonts w:ascii="仿宋_GB2312" w:hAnsi="仿宋_GB2312" w:cs="仿宋_GB2312" w:eastAsia="仿宋_GB2312"/>
        </w:rPr>
        <w:t>地址：西安市沣惠路南段艺腾国际商务大厦十楼1015室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对陕西省杨凌监狱公务车（5辆）及伴随服务等进行采购。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公务用车</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标的名称：公务用车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3"/>
              <w:gridCol w:w="156"/>
              <w:gridCol w:w="2274"/>
            </w:tblGrid>
            <w:tr>
              <w:tc>
                <w:tcPr>
                  <w:tcW w:type="dxa" w:w="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参数性质</w:t>
                  </w:r>
                </w:p>
              </w:tc>
              <w:tc>
                <w:tcPr>
                  <w:tcW w:type="dxa" w:w="2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技术参数与性能指标</w:t>
                  </w:r>
                </w:p>
              </w:tc>
            </w:tr>
            <w:tr>
              <w:tc>
                <w:tcPr>
                  <w:tcW w:type="dxa" w:w="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一、技术要求</w:t>
                  </w:r>
                </w:p>
                <w:tbl>
                  <w:tblPr>
                    <w:tblBorders>
                      <w:top w:val="none" w:color="000000" w:sz="4"/>
                      <w:left w:val="none" w:color="000000" w:sz="4"/>
                      <w:bottom w:val="none" w:color="000000" w:sz="4"/>
                      <w:right w:val="none" w:color="000000" w:sz="4"/>
                      <w:insideH w:val="none"/>
                      <w:insideV w:val="none"/>
                    </w:tblBorders>
                  </w:tblPr>
                  <w:tblGrid>
                    <w:gridCol w:w="190"/>
                    <w:gridCol w:w="557"/>
                    <w:gridCol w:w="1310"/>
                  </w:tblGrid>
                  <w:tr>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名称</w:t>
                        </w:r>
                      </w:p>
                    </w:tc>
                    <w:tc>
                      <w:tcPr>
                        <w:tcW w:type="dxa" w:w="1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技术参数及配置</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车型</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轿车</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5辆（全新）</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3</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品牌</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国产自主品牌</w:t>
                        </w:r>
                      </w:p>
                    </w:tc>
                  </w:tr>
                  <w:tr>
                    <w:tc>
                      <w:tcPr>
                        <w:tcW w:type="dxa" w:w="20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发动机</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4</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排量</w:t>
                        </w:r>
                      </w:p>
                    </w:tc>
                    <w:tc>
                      <w:tcPr>
                        <w:tcW w:type="dxa" w:w="1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≤1.6L</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5</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燃油种类</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插电式混合动力</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6</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排放标准</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国六</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7</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发动机最大功率</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70-100KW</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8</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驱动形式</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前置前驱</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9</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发动机最大扭矩</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130-220N*m</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10</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2"/>
                            <w:b/>
                          </w:rPr>
                          <w:t>纯电续航</w:t>
                        </w:r>
                        <w:r>
                          <w:rPr>
                            <w:rFonts w:ascii="仿宋_GB2312" w:hAnsi="仿宋_GB2312" w:cs="仿宋_GB2312" w:eastAsia="仿宋_GB2312"/>
                            <w:sz w:val="22"/>
                            <w:b/>
                          </w:rPr>
                          <w:t>WLTC</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≥80KM</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11</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2"/>
                            <w:b/>
                          </w:rPr>
                          <w:t>WLTC最低荷电状态燃料消耗量</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≤5.0L/100km</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12</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最高车速</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150-220km/h</w:t>
                        </w:r>
                      </w:p>
                    </w:tc>
                  </w:tr>
                  <w:tr>
                    <w:tc>
                      <w:tcPr>
                        <w:tcW w:type="dxa" w:w="20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电动机</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13</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电动机总功率</w:t>
                        </w:r>
                      </w:p>
                    </w:tc>
                    <w:tc>
                      <w:tcPr>
                        <w:tcW w:type="dxa" w:w="1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 130kW</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14</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电动机总扭矩</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 250N·m</w:t>
                        </w:r>
                      </w:p>
                    </w:tc>
                  </w:tr>
                  <w:tr>
                    <w:tc>
                      <w:tcPr>
                        <w:tcW w:type="dxa" w:w="20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整车外形要求</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15</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车身总长、总宽、总高</w:t>
                        </w:r>
                      </w:p>
                    </w:tc>
                    <w:tc>
                      <w:tcPr>
                        <w:tcW w:type="dxa" w:w="1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≥4700mm、≥1800mm、≥1400mm</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16</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车身类型</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4门5座三厢车</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17</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车灯</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LED近光、远光前大灯；自动大灯；日间行车灯</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18</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制动型式</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前通风盘式</w:t>
                        </w:r>
                        <w:r>
                          <w:rPr>
                            <w:rFonts w:ascii="仿宋_GB2312" w:hAnsi="仿宋_GB2312" w:cs="仿宋_GB2312" w:eastAsia="仿宋_GB2312"/>
                            <w:sz w:val="22"/>
                            <w:b/>
                          </w:rPr>
                          <w:t>/后盘式</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19</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转向系统</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电动助力</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20</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悬架类型</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前后独立悬架</w:t>
                        </w:r>
                        <w:r>
                          <w:rPr>
                            <w:rFonts w:ascii="仿宋_GB2312" w:hAnsi="仿宋_GB2312" w:cs="仿宋_GB2312" w:eastAsia="仿宋_GB2312"/>
                            <w:sz w:val="22"/>
                            <w:b/>
                          </w:rPr>
                          <w:t>/</w:t>
                        </w:r>
                      </w:p>
                      <w:p>
                        <w:pPr>
                          <w:pStyle w:val="null3"/>
                          <w:jc w:val="center"/>
                        </w:pPr>
                        <w:r>
                          <w:rPr>
                            <w:rFonts w:ascii="仿宋_GB2312" w:hAnsi="仿宋_GB2312" w:cs="仿宋_GB2312" w:eastAsia="仿宋_GB2312"/>
                            <w:sz w:val="22"/>
                            <w:b/>
                          </w:rPr>
                          <w:t>前麦弗逊式独立悬挂，后多连杆独立悬挂</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21</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轮胎规格</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不低于</w:t>
                        </w:r>
                        <w:r>
                          <w:rPr>
                            <w:rFonts w:ascii="仿宋_GB2312" w:hAnsi="仿宋_GB2312" w:cs="仿宋_GB2312" w:eastAsia="仿宋_GB2312"/>
                            <w:sz w:val="22"/>
                            <w:b/>
                          </w:rPr>
                          <w:t>215/55 R17，铝合金轮辋</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22</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整备质量</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≥1100KG</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23</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满载质量</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≥1500KG</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24</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后备箱容积</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≥450L</w:t>
                        </w:r>
                      </w:p>
                    </w:tc>
                  </w:tr>
                  <w:tr>
                    <w:tc>
                      <w:tcPr>
                        <w:tcW w:type="dxa" w:w="20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配置要求</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25</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空调功能</w:t>
                        </w:r>
                      </w:p>
                    </w:tc>
                    <w:tc>
                      <w:tcPr>
                        <w:tcW w:type="dxa" w:w="1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自动空调（冷暖），后排配备独立出风口</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26</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2"/>
                            <w:b/>
                          </w:rPr>
                          <w:t>中控台</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≥12英寸大屏</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27</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座椅材质、座椅调节</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皮质或仿皮；</w:t>
                        </w:r>
                      </w:p>
                      <w:p>
                        <w:pPr>
                          <w:pStyle w:val="null3"/>
                          <w:jc w:val="center"/>
                        </w:pPr>
                        <w:r>
                          <w:rPr>
                            <w:rFonts w:ascii="仿宋_GB2312" w:hAnsi="仿宋_GB2312" w:cs="仿宋_GB2312" w:eastAsia="仿宋_GB2312"/>
                            <w:sz w:val="22"/>
                            <w:b/>
                          </w:rPr>
                          <w:t>主驾驶座电动调节（</w:t>
                        </w:r>
                        <w:r>
                          <w:rPr>
                            <w:rFonts w:ascii="仿宋_GB2312" w:hAnsi="仿宋_GB2312" w:cs="仿宋_GB2312" w:eastAsia="仿宋_GB2312"/>
                            <w:sz w:val="22"/>
                            <w:b/>
                          </w:rPr>
                          <w:t>≥6向）</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28</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其他</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具备天窗（电动）、遥控</w:t>
                        </w:r>
                        <w:r>
                          <w:rPr>
                            <w:rFonts w:ascii="仿宋_GB2312" w:hAnsi="仿宋_GB2312" w:cs="仿宋_GB2312" w:eastAsia="仿宋_GB2312"/>
                            <w:sz w:val="22"/>
                            <w:b/>
                          </w:rPr>
                          <w:t>/蓝牙钥匙、无钥匙进入、无钥匙启动、多功能方向盘、车内中控锁、四窗电动升降</w:t>
                        </w:r>
                      </w:p>
                    </w:tc>
                  </w:tr>
                  <w:tr>
                    <w:tc>
                      <w:tcPr>
                        <w:tcW w:type="dxa" w:w="20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shd w:fill="FFFFFF" w:val="clear"/>
                          </w:rPr>
                          <w:t>动力电池系统要求</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29</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电池类型</w:t>
                        </w:r>
                      </w:p>
                    </w:tc>
                    <w:tc>
                      <w:tcPr>
                        <w:tcW w:type="dxa" w:w="1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磷酸铁锂电池或三元锂电池</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30</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2"/>
                            <w:b/>
                          </w:rPr>
                          <w:t>电池防护等级</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≥IP67</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31</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电池管理系统</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具备单体电压监测、温度监测、过充保护、过放保护、短路保护、绝缘监测功能</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32</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电池冷却方式</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液冷</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33</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电池加热功能</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具备低温加热功能，确保冬季正常使用</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34</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电池容量</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≥18 kWh</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35</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2"/>
                            <w:b/>
                          </w:rPr>
                          <w:t>电池快冲时间</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20%-80% 电量 ≤30分钟</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36</w:t>
                        </w:r>
                      </w:p>
                    </w:tc>
                    <w:tc>
                      <w:tcPr>
                        <w:tcW w:type="dxa" w:w="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电池慢冲时间</w:t>
                        </w:r>
                      </w:p>
                    </w:tc>
                    <w:tc>
                      <w:tcPr>
                        <w:tcW w:type="dxa" w:w="1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≤6小时</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37</w:t>
                        </w:r>
                      </w:p>
                    </w:tc>
                    <w:tc>
                      <w:tcPr>
                        <w:tcW w:type="dxa" w:w="18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2"/>
                            <w:b/>
                            <w:shd w:fill="FFFFFF" w:val="clear"/>
                          </w:rPr>
                          <w:t>安全配置要求</w:t>
                        </w:r>
                      </w:p>
                    </w:tc>
                  </w:tr>
                  <w:tr>
                    <w:tc>
                      <w:tcPr>
                        <w:tcW w:type="dxa" w:w="20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①具备主/副驾驶安全气囊、②前排侧气囊、③头部侧气帘、④车身稳定系统（ESC/ESP）、⑤自动紧急制动（AEBS）、⑥ABS防抱死系统、⑦前碰撞预警（FCW）、⑧车道偏离预警（LDW）、⑨牵引力控制系统（TCS/ASR/TRC）、⑩坡道辅助系统（HAC/HSA）、⑪定速巡航系统、⑫胎压监测系统、⑬刹车辅助（EBA/BAS/BA等）、⑭倒车影像、⑮倒车雷达（探头数量不少于4个）、⑯北斗定位系统、⑰安全带未系提醒</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38</w:t>
                        </w:r>
                      </w:p>
                    </w:tc>
                    <w:tc>
                      <w:tcPr>
                        <w:tcW w:type="dxa" w:w="186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2"/>
                            <w:b/>
                            <w:shd w:fill="FFFFFF" w:val="clear"/>
                          </w:rPr>
                          <w:t>数据安全保障</w:t>
                        </w:r>
                      </w:p>
                    </w:tc>
                  </w:tr>
                  <w:tr>
                    <w:tc>
                      <w:tcPr>
                        <w:tcW w:type="dxa" w:w="20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1.车内不应具备收集人脸、声纹等生物特征的摄像头；若存在相关功能，须具备物理滑盖或软件一键关闭功能。</w:t>
                        </w:r>
                      </w:p>
                      <w:p>
                        <w:pPr>
                          <w:pStyle w:val="null3"/>
                          <w:jc w:val="both"/>
                        </w:pPr>
                        <w:r>
                          <w:rPr>
                            <w:rFonts w:ascii="仿宋_GB2312" w:hAnsi="仿宋_GB2312" w:cs="仿宋_GB2312" w:eastAsia="仿宋_GB2312"/>
                            <w:sz w:val="22"/>
                            <w:b/>
                          </w:rPr>
                          <w:t>2.不得具备车载终端外传数据至境外服务器的功能。</w:t>
                        </w:r>
                      </w:p>
                    </w:tc>
                  </w:tr>
                  <w:tr>
                    <w:tc>
                      <w:tcPr>
                        <w:tcW w:type="dxa" w:w="20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制式喷涂要求</w:t>
                        </w:r>
                      </w:p>
                    </w:tc>
                  </w:tr>
                  <w:tr>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39</w:t>
                        </w:r>
                      </w:p>
                    </w:tc>
                    <w:tc>
                      <w:tcPr>
                        <w:tcW w:type="dxa" w:w="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外观制式警车（含警灯、警报器、标识及喷涂）</w:t>
                        </w:r>
                      </w:p>
                    </w:tc>
                    <w:tc>
                      <w:tcPr>
                        <w:tcW w:type="dxa" w:w="1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1.警灯警报器：符合《警车管理规定》，内置式长排警灯（或车顶吸顶式），功率≥100W，具备音调可调功能。</w:t>
                        </w:r>
                        <w:r>
                          <w:br/>
                        </w:r>
                        <w:r>
                          <w:rPr>
                            <w:rFonts w:ascii="仿宋_GB2312" w:hAnsi="仿宋_GB2312" w:cs="仿宋_GB2312" w:eastAsia="仿宋_GB2312"/>
                            <w:sz w:val="22"/>
                            <w:b/>
                          </w:rPr>
                          <w:t>2.喷涂：车身颜色为“警蓝色+白色”，喷涂“司法”及“POLICE”标识，材质需耐腐蚀。</w:t>
                        </w:r>
                        <w:r>
                          <w:br/>
                        </w:r>
                        <w:r>
                          <w:rPr>
                            <w:rFonts w:ascii="仿宋_GB2312" w:hAnsi="仿宋_GB2312" w:cs="仿宋_GB2312" w:eastAsia="仿宋_GB2312"/>
                            <w:sz w:val="22"/>
                            <w:b/>
                          </w:rPr>
                          <w:t>3.预留接口：预留车载电台、图传设备、隐藏式布线槽及后备箱设备固定锚点。</w:t>
                        </w:r>
                      </w:p>
                      <w:p>
                        <w:pPr>
                          <w:pStyle w:val="null3"/>
                          <w:jc w:val="both"/>
                        </w:pPr>
                        <w:r>
                          <w:rPr>
                            <w:rFonts w:ascii="仿宋_GB2312" w:hAnsi="仿宋_GB2312" w:cs="仿宋_GB2312" w:eastAsia="仿宋_GB2312"/>
                            <w:sz w:val="22"/>
                            <w:b/>
                          </w:rPr>
                          <w:t>4.内设置USB/Type-C接口不少于3个，满足执法设备供电。</w:t>
                        </w:r>
                      </w:p>
                    </w:tc>
                  </w:tr>
                </w:tbl>
                <w:p>
                  <w:pPr>
                    <w:pStyle w:val="null3"/>
                  </w:pPr>
                  <w:r>
                    <w:rPr>
                      <w:rFonts w:ascii="仿宋_GB2312" w:hAnsi="仿宋_GB2312" w:cs="仿宋_GB2312" w:eastAsia="仿宋_GB2312"/>
                      <w:sz w:val="21"/>
                    </w:rPr>
                    <w:t>二、使用场景：执行公务</w:t>
                  </w:r>
                </w:p>
                <w:p>
                  <w:pPr>
                    <w:pStyle w:val="null3"/>
                    <w:jc w:val="both"/>
                  </w:pPr>
                  <w:r>
                    <w:rPr>
                      <w:rFonts w:ascii="仿宋_GB2312" w:hAnsi="仿宋_GB2312" w:cs="仿宋_GB2312" w:eastAsia="仿宋_GB2312"/>
                      <w:sz w:val="21"/>
                    </w:rPr>
                    <w:t>三、投标保证</w:t>
                  </w:r>
                </w:p>
                <w:p>
                  <w:pPr>
                    <w:pStyle w:val="null3"/>
                    <w:ind w:firstLine="240"/>
                    <w:jc w:val="both"/>
                  </w:pPr>
                  <w:r>
                    <w:rPr>
                      <w:rFonts w:ascii="仿宋_GB2312" w:hAnsi="仿宋_GB2312" w:cs="仿宋_GB2312" w:eastAsia="仿宋_GB2312"/>
                      <w:sz w:val="21"/>
                    </w:rPr>
                    <w:t>1.严把货物质量关，保证所投产品严格执行国家、行业相关现行</w:t>
                  </w:r>
                  <w:r>
                    <w:rPr>
                      <w:rFonts w:ascii="仿宋_GB2312" w:hAnsi="仿宋_GB2312" w:cs="仿宋_GB2312" w:eastAsia="仿宋_GB2312"/>
                      <w:sz w:val="21"/>
                    </w:rPr>
                    <w:t>质量标准</w:t>
                  </w:r>
                  <w:r>
                    <w:rPr>
                      <w:rFonts w:ascii="仿宋_GB2312" w:hAnsi="仿宋_GB2312" w:cs="仿宋_GB2312" w:eastAsia="仿宋_GB2312"/>
                      <w:sz w:val="21"/>
                    </w:rPr>
                    <w:t>、</w:t>
                  </w:r>
                  <w:r>
                    <w:rPr>
                      <w:rFonts w:ascii="仿宋_GB2312" w:hAnsi="仿宋_GB2312" w:cs="仿宋_GB2312" w:eastAsia="仿宋_GB2312"/>
                      <w:sz w:val="21"/>
                    </w:rPr>
                    <w:t>安全标准</w:t>
                  </w:r>
                  <w:r>
                    <w:rPr>
                      <w:rFonts w:ascii="仿宋_GB2312" w:hAnsi="仿宋_GB2312" w:cs="仿宋_GB2312" w:eastAsia="仿宋_GB2312"/>
                      <w:sz w:val="21"/>
                    </w:rPr>
                    <w:t>和行业规范，</w:t>
                  </w:r>
                  <w:r>
                    <w:rPr>
                      <w:rFonts w:ascii="仿宋_GB2312" w:hAnsi="仿宋_GB2312" w:cs="仿宋_GB2312" w:eastAsia="仿宋_GB2312"/>
                      <w:sz w:val="21"/>
                    </w:rPr>
                    <w:t>满足招标要求；</w:t>
                  </w:r>
                </w:p>
                <w:p>
                  <w:pPr>
                    <w:pStyle w:val="null3"/>
                    <w:ind w:firstLine="240"/>
                    <w:jc w:val="both"/>
                  </w:pPr>
                  <w:r>
                    <w:rPr>
                      <w:rFonts w:ascii="仿宋_GB2312" w:hAnsi="仿宋_GB2312" w:cs="仿宋_GB2312" w:eastAsia="仿宋_GB2312"/>
                      <w:sz w:val="21"/>
                    </w:rPr>
                    <w:t>2.</w:t>
                  </w:r>
                  <w:r>
                    <w:rPr>
                      <w:rFonts w:ascii="仿宋_GB2312" w:hAnsi="仿宋_GB2312" w:cs="仿宋_GB2312" w:eastAsia="仿宋_GB2312"/>
                      <w:sz w:val="21"/>
                    </w:rPr>
                    <w:t>选择正规且</w:t>
                  </w:r>
                  <w:r>
                    <w:rPr>
                      <w:rFonts w:ascii="仿宋_GB2312" w:hAnsi="仿宋_GB2312" w:cs="仿宋_GB2312" w:eastAsia="仿宋_GB2312"/>
                      <w:sz w:val="21"/>
                    </w:rPr>
                    <w:t>实力、</w:t>
                  </w:r>
                  <w:r>
                    <w:rPr>
                      <w:rFonts w:ascii="仿宋_GB2312" w:hAnsi="仿宋_GB2312" w:cs="仿宋_GB2312" w:eastAsia="仿宋_GB2312"/>
                      <w:sz w:val="21"/>
                    </w:rPr>
                    <w:t>信誉度高的</w:t>
                  </w:r>
                  <w:r>
                    <w:rPr>
                      <w:rFonts w:ascii="仿宋_GB2312" w:hAnsi="仿宋_GB2312" w:cs="仿宋_GB2312" w:eastAsia="仿宋_GB2312"/>
                      <w:sz w:val="21"/>
                    </w:rPr>
                    <w:t>制造商</w:t>
                  </w:r>
                  <w:r>
                    <w:rPr>
                      <w:rFonts w:ascii="仿宋_GB2312" w:hAnsi="仿宋_GB2312" w:cs="仿宋_GB2312" w:eastAsia="仿宋_GB2312"/>
                      <w:sz w:val="21"/>
                    </w:rPr>
                    <w:t>，产品来源合法、质量优良</w:t>
                  </w:r>
                  <w:r>
                    <w:rPr>
                      <w:rFonts w:ascii="仿宋_GB2312" w:hAnsi="仿宋_GB2312" w:cs="仿宋_GB2312" w:eastAsia="仿宋_GB2312"/>
                      <w:sz w:val="21"/>
                    </w:rPr>
                    <w:t>，</w:t>
                  </w:r>
                  <w:r>
                    <w:rPr>
                      <w:rFonts w:ascii="仿宋_GB2312" w:hAnsi="仿宋_GB2312" w:cs="仿宋_GB2312" w:eastAsia="仿宋_GB2312"/>
                      <w:sz w:val="21"/>
                    </w:rPr>
                    <w:t>佐证全面</w:t>
                  </w:r>
                  <w:r>
                    <w:rPr>
                      <w:rFonts w:ascii="仿宋_GB2312" w:hAnsi="仿宋_GB2312" w:cs="仿宋_GB2312" w:eastAsia="仿宋_GB2312"/>
                      <w:sz w:val="21"/>
                    </w:rPr>
                    <w:t>；</w:t>
                  </w:r>
                </w:p>
                <w:p>
                  <w:pPr>
                    <w:pStyle w:val="null3"/>
                    <w:ind w:firstLine="240"/>
                    <w:jc w:val="both"/>
                  </w:pPr>
                  <w:r>
                    <w:rPr>
                      <w:rFonts w:ascii="仿宋_GB2312" w:hAnsi="仿宋_GB2312" w:cs="仿宋_GB2312" w:eastAsia="仿宋_GB2312"/>
                      <w:sz w:val="21"/>
                    </w:rPr>
                    <w:t>3.所供货物（包括零部件）须为全新的、未使用过的原装合格正品，来源可靠、合法；保证不出现贴牌、假冒伪劣、以疵充好等现象发生，否则承担一切后果；</w:t>
                  </w:r>
                </w:p>
                <w:p>
                  <w:pPr>
                    <w:pStyle w:val="null3"/>
                    <w:ind w:firstLine="240"/>
                    <w:jc w:val="both"/>
                  </w:pPr>
                  <w:r>
                    <w:rPr>
                      <w:rFonts w:ascii="仿宋_GB2312" w:hAnsi="仿宋_GB2312" w:cs="仿宋_GB2312" w:eastAsia="仿宋_GB2312"/>
                      <w:sz w:val="21"/>
                    </w:rPr>
                    <w:t>4.投标</w:t>
                  </w:r>
                  <w:r>
                    <w:rPr>
                      <w:rFonts w:ascii="仿宋_GB2312" w:hAnsi="仿宋_GB2312" w:cs="仿宋_GB2312" w:eastAsia="仿宋_GB2312"/>
                      <w:sz w:val="21"/>
                    </w:rPr>
                    <w:t>产品须是成熟</w:t>
                  </w:r>
                  <w:r>
                    <w:rPr>
                      <w:rFonts w:ascii="仿宋_GB2312" w:hAnsi="仿宋_GB2312" w:cs="仿宋_GB2312" w:eastAsia="仿宋_GB2312"/>
                      <w:sz w:val="21"/>
                    </w:rPr>
                    <w:t>安全、质量可靠</w:t>
                  </w:r>
                  <w:r>
                    <w:rPr>
                      <w:rFonts w:ascii="仿宋_GB2312" w:hAnsi="仿宋_GB2312" w:cs="仿宋_GB2312" w:eastAsia="仿宋_GB2312"/>
                      <w:sz w:val="21"/>
                    </w:rPr>
                    <w:t>、市场供应充足、能保证正常履约。</w:t>
                  </w:r>
                  <w:r>
                    <w:rPr>
                      <w:rFonts w:ascii="仿宋_GB2312" w:hAnsi="仿宋_GB2312" w:cs="仿宋_GB2312" w:eastAsia="仿宋_GB2312"/>
                      <w:sz w:val="21"/>
                    </w:rPr>
                    <w:t>中标</w:t>
                  </w:r>
                  <w:r>
                    <w:rPr>
                      <w:rFonts w:ascii="仿宋_GB2312" w:hAnsi="仿宋_GB2312" w:cs="仿宋_GB2312" w:eastAsia="仿宋_GB2312"/>
                      <w:sz w:val="21"/>
                    </w:rPr>
                    <w:t>后</w:t>
                  </w:r>
                  <w:r>
                    <w:rPr>
                      <w:rFonts w:ascii="仿宋_GB2312" w:hAnsi="仿宋_GB2312" w:cs="仿宋_GB2312" w:eastAsia="仿宋_GB2312"/>
                      <w:sz w:val="21"/>
                    </w:rPr>
                    <w:t>中标</w:t>
                  </w:r>
                  <w:r>
                    <w:rPr>
                      <w:rFonts w:ascii="仿宋_GB2312" w:hAnsi="仿宋_GB2312" w:cs="仿宋_GB2312" w:eastAsia="仿宋_GB2312"/>
                      <w:sz w:val="21"/>
                    </w:rPr>
                    <w:t>人不能以任何理由对</w:t>
                  </w:r>
                  <w:r>
                    <w:rPr>
                      <w:rFonts w:ascii="仿宋_GB2312" w:hAnsi="仿宋_GB2312" w:cs="仿宋_GB2312" w:eastAsia="仿宋_GB2312"/>
                      <w:sz w:val="21"/>
                    </w:rPr>
                    <w:t>投标响应</w:t>
                  </w:r>
                  <w:r>
                    <w:rPr>
                      <w:rFonts w:ascii="仿宋_GB2312" w:hAnsi="仿宋_GB2312" w:cs="仿宋_GB2312" w:eastAsia="仿宋_GB2312"/>
                      <w:sz w:val="21"/>
                    </w:rPr>
                    <w:t>做实质性的修改（如更换品牌、减少配置、改变性能功能、变更价格、减少数量以及服务标准等），导致采购人与</w:t>
                  </w:r>
                  <w:r>
                    <w:rPr>
                      <w:rFonts w:ascii="仿宋_GB2312" w:hAnsi="仿宋_GB2312" w:cs="仿宋_GB2312" w:eastAsia="仿宋_GB2312"/>
                      <w:sz w:val="21"/>
                    </w:rPr>
                    <w:t>中标</w:t>
                  </w:r>
                  <w:r>
                    <w:rPr>
                      <w:rFonts w:ascii="仿宋_GB2312" w:hAnsi="仿宋_GB2312" w:cs="仿宋_GB2312" w:eastAsia="仿宋_GB2312"/>
                      <w:sz w:val="21"/>
                    </w:rPr>
                    <w:t>人之间权利义务发生重大变化，否则采购人有权单方面取消合同，造成的一切损失和法律后果均由</w:t>
                  </w:r>
                  <w:r>
                    <w:rPr>
                      <w:rFonts w:ascii="仿宋_GB2312" w:hAnsi="仿宋_GB2312" w:cs="仿宋_GB2312" w:eastAsia="仿宋_GB2312"/>
                      <w:sz w:val="21"/>
                    </w:rPr>
                    <w:t>中标</w:t>
                  </w:r>
                  <w:r>
                    <w:rPr>
                      <w:rFonts w:ascii="仿宋_GB2312" w:hAnsi="仿宋_GB2312" w:cs="仿宋_GB2312" w:eastAsia="仿宋_GB2312"/>
                      <w:sz w:val="21"/>
                    </w:rPr>
                    <w:t>人承担</w:t>
                  </w:r>
                  <w:r>
                    <w:rPr>
                      <w:rFonts w:ascii="仿宋_GB2312" w:hAnsi="仿宋_GB2312" w:cs="仿宋_GB2312" w:eastAsia="仿宋_GB2312"/>
                      <w:sz w:val="21"/>
                    </w:rPr>
                    <w:t>；</w:t>
                  </w:r>
                </w:p>
                <w:p>
                  <w:pPr>
                    <w:pStyle w:val="null3"/>
                    <w:ind w:firstLine="240"/>
                    <w:jc w:val="both"/>
                  </w:pPr>
                  <w:r>
                    <w:rPr>
                      <w:rFonts w:ascii="仿宋_GB2312" w:hAnsi="仿宋_GB2312" w:cs="仿宋_GB2312" w:eastAsia="仿宋_GB2312"/>
                      <w:sz w:val="21"/>
                    </w:rPr>
                    <w:t>5.</w:t>
                  </w:r>
                  <w:r>
                    <w:rPr>
                      <w:rFonts w:ascii="仿宋_GB2312" w:hAnsi="仿宋_GB2312" w:cs="仿宋_GB2312" w:eastAsia="仿宋_GB2312"/>
                      <w:sz w:val="21"/>
                    </w:rPr>
                    <w:t>由于监狱单位的特殊性，对于供应商在</w:t>
                  </w:r>
                  <w:r>
                    <w:rPr>
                      <w:rFonts w:ascii="仿宋_GB2312" w:hAnsi="仿宋_GB2312" w:cs="仿宋_GB2312" w:eastAsia="仿宋_GB2312"/>
                      <w:sz w:val="21"/>
                    </w:rPr>
                    <w:t>投标</w:t>
                  </w:r>
                  <w:r>
                    <w:rPr>
                      <w:rFonts w:ascii="仿宋_GB2312" w:hAnsi="仿宋_GB2312" w:cs="仿宋_GB2312" w:eastAsia="仿宋_GB2312"/>
                      <w:sz w:val="21"/>
                    </w:rPr>
                    <w:t>及履约过程中了解到的采购单位相关机密，要做到严格保密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四、履约保障</w:t>
                  </w:r>
                </w:p>
                <w:p>
                  <w:pPr>
                    <w:pStyle w:val="null3"/>
                    <w:ind w:firstLine="210"/>
                    <w:jc w:val="both"/>
                  </w:pPr>
                  <w:r>
                    <w:rPr>
                      <w:rFonts w:ascii="仿宋_GB2312" w:hAnsi="仿宋_GB2312" w:cs="仿宋_GB2312" w:eastAsia="仿宋_GB2312"/>
                      <w:sz w:val="21"/>
                    </w:rPr>
                    <w:t xml:space="preserve"> </w:t>
                  </w:r>
                  <w:r>
                    <w:rPr>
                      <w:rFonts w:ascii="仿宋_GB2312" w:hAnsi="仿宋_GB2312" w:cs="仿宋_GB2312" w:eastAsia="仿宋_GB2312"/>
                      <w:sz w:val="21"/>
                    </w:rPr>
                    <w:t>针对本项目提供备货方案、特殊车辆外观制作方案、质量及进度计划保障措施，</w:t>
                  </w:r>
                  <w:r>
                    <w:rPr>
                      <w:rFonts w:ascii="仿宋_GB2312" w:hAnsi="仿宋_GB2312" w:cs="仿宋_GB2312" w:eastAsia="仿宋_GB2312"/>
                      <w:sz w:val="21"/>
                    </w:rPr>
                    <w:t>保证供货及时，满足合同进度要求</w:t>
                  </w:r>
                  <w:r>
                    <w:rPr>
                      <w:rFonts w:ascii="仿宋_GB2312" w:hAnsi="仿宋_GB2312" w:cs="仿宋_GB2312" w:eastAsia="仿宋_GB2312"/>
                      <w:sz w:val="21"/>
                    </w:rPr>
                    <w:t>，</w:t>
                  </w:r>
                  <w:r>
                    <w:rPr>
                      <w:rFonts w:ascii="仿宋_GB2312" w:hAnsi="仿宋_GB2312" w:cs="仿宋_GB2312" w:eastAsia="仿宋_GB2312"/>
                      <w:sz w:val="21"/>
                    </w:rPr>
                    <w:t>并配置经验丰富的专业团队，分工明确，保障良好的售后服务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五、售后服务：</w:t>
                  </w:r>
                </w:p>
                <w:p>
                  <w:pPr>
                    <w:pStyle w:val="null3"/>
                    <w:ind w:firstLine="240"/>
                    <w:jc w:val="both"/>
                  </w:pPr>
                  <w:r>
                    <w:rPr>
                      <w:rFonts w:ascii="仿宋_GB2312" w:hAnsi="仿宋_GB2312" w:cs="仿宋_GB2312" w:eastAsia="仿宋_GB2312"/>
                      <w:sz w:val="21"/>
                    </w:rPr>
                    <w:t>1.</w:t>
                  </w:r>
                  <w:r>
                    <w:rPr>
                      <w:rFonts w:ascii="仿宋_GB2312" w:hAnsi="仿宋_GB2312" w:cs="仿宋_GB2312" w:eastAsia="仿宋_GB2312"/>
                      <w:sz w:val="21"/>
                    </w:rPr>
                    <w:t>明确售后服务范围及措施，至少包含故障排除和维修保养、售后服务流程等；</w:t>
                  </w:r>
                </w:p>
                <w:p>
                  <w:pPr>
                    <w:pStyle w:val="null3"/>
                    <w:ind w:firstLine="240"/>
                    <w:jc w:val="both"/>
                  </w:pPr>
                  <w:r>
                    <w:rPr>
                      <w:rFonts w:ascii="仿宋_GB2312" w:hAnsi="仿宋_GB2312" w:cs="仿宋_GB2312" w:eastAsia="仿宋_GB2312"/>
                      <w:sz w:val="21"/>
                    </w:rPr>
                    <w:t>2.</w:t>
                  </w:r>
                  <w:r>
                    <w:rPr>
                      <w:rFonts w:ascii="仿宋_GB2312" w:hAnsi="仿宋_GB2312" w:cs="仿宋_GB2312" w:eastAsia="仿宋_GB2312"/>
                      <w:sz w:val="21"/>
                    </w:rPr>
                    <w:t>售后服务</w:t>
                  </w:r>
                  <w:r>
                    <w:rPr>
                      <w:rFonts w:ascii="仿宋_GB2312" w:hAnsi="仿宋_GB2312" w:cs="仿宋_GB2312" w:eastAsia="仿宋_GB2312"/>
                      <w:sz w:val="21"/>
                    </w:rPr>
                    <w:t>及配件更换尽可能</w:t>
                  </w:r>
                  <w:r>
                    <w:rPr>
                      <w:rFonts w:ascii="仿宋_GB2312" w:hAnsi="仿宋_GB2312" w:cs="仿宋_GB2312" w:eastAsia="仿宋_GB2312"/>
                      <w:sz w:val="21"/>
                    </w:rPr>
                    <w:t>使用</w:t>
                  </w:r>
                  <w:r>
                    <w:rPr>
                      <w:rFonts w:ascii="仿宋_GB2312" w:hAnsi="仿宋_GB2312" w:cs="仿宋_GB2312" w:eastAsia="仿宋_GB2312"/>
                      <w:sz w:val="21"/>
                    </w:rPr>
                    <w:t>产品</w:t>
                  </w:r>
                  <w:r>
                    <w:rPr>
                      <w:rFonts w:ascii="仿宋_GB2312" w:hAnsi="仿宋_GB2312" w:cs="仿宋_GB2312" w:eastAsia="仿宋_GB2312"/>
                      <w:sz w:val="21"/>
                    </w:rPr>
                    <w:t>原厂售后，以保障</w:t>
                  </w:r>
                  <w:r>
                    <w:rPr>
                      <w:rFonts w:ascii="仿宋_GB2312" w:hAnsi="仿宋_GB2312" w:cs="仿宋_GB2312" w:eastAsia="仿宋_GB2312"/>
                      <w:sz w:val="21"/>
                    </w:rPr>
                    <w:t>所供产品</w:t>
                  </w:r>
                  <w:r>
                    <w:rPr>
                      <w:rFonts w:ascii="仿宋_GB2312" w:hAnsi="仿宋_GB2312" w:cs="仿宋_GB2312" w:eastAsia="仿宋_GB2312"/>
                      <w:sz w:val="21"/>
                    </w:rPr>
                    <w:t>质量</w:t>
                  </w:r>
                  <w:r>
                    <w:rPr>
                      <w:rFonts w:ascii="仿宋_GB2312" w:hAnsi="仿宋_GB2312" w:cs="仿宋_GB2312" w:eastAsia="仿宋_GB2312"/>
                      <w:sz w:val="21"/>
                    </w:rPr>
                    <w:t>；</w:t>
                  </w:r>
                </w:p>
                <w:p>
                  <w:pPr>
                    <w:pStyle w:val="null3"/>
                    <w:ind w:firstLine="240"/>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对车辆提供车载系统、导航地图数据等的软件升级及相关技术服务，保障后续产品的使用；</w:t>
                  </w:r>
                </w:p>
                <w:p>
                  <w:pPr>
                    <w:pStyle w:val="null3"/>
                    <w:ind w:firstLine="240"/>
                    <w:jc w:val="both"/>
                  </w:pPr>
                  <w:r>
                    <w:rPr>
                      <w:rFonts w:ascii="仿宋_GB2312" w:hAnsi="仿宋_GB2312" w:cs="仿宋_GB2312" w:eastAsia="仿宋_GB2312"/>
                      <w:sz w:val="21"/>
                    </w:rPr>
                    <w:t>4.提供本地化服务，保障采购人的工作顺利开展；</w:t>
                  </w:r>
                </w:p>
                <w:p>
                  <w:pPr>
                    <w:pStyle w:val="null3"/>
                    <w:ind w:firstLine="240"/>
                    <w:jc w:val="both"/>
                  </w:pPr>
                  <w:r>
                    <w:rPr>
                      <w:rFonts w:ascii="仿宋_GB2312" w:hAnsi="仿宋_GB2312" w:cs="仿宋_GB2312" w:eastAsia="仿宋_GB2312"/>
                      <w:sz w:val="21"/>
                    </w:rPr>
                    <w:t>5.中标</w:t>
                  </w:r>
                  <w:r>
                    <w:rPr>
                      <w:rFonts w:ascii="仿宋_GB2312" w:hAnsi="仿宋_GB2312" w:cs="仿宋_GB2312" w:eastAsia="仿宋_GB2312"/>
                      <w:sz w:val="21"/>
                    </w:rPr>
                    <w:t>人应提供全天候</w:t>
                  </w:r>
                  <w:r>
                    <w:rPr>
                      <w:rFonts w:ascii="仿宋_GB2312" w:hAnsi="仿宋_GB2312" w:cs="仿宋_GB2312" w:eastAsia="仿宋_GB2312"/>
                      <w:sz w:val="21"/>
                    </w:rPr>
                    <w:t>7×24小时售后电话热线及网上咨询等远程在线支持，并具备快速响应的现场服务能力。此外，</w:t>
                  </w:r>
                  <w:r>
                    <w:rPr>
                      <w:rFonts w:ascii="仿宋_GB2312" w:hAnsi="仿宋_GB2312" w:cs="仿宋_GB2312" w:eastAsia="仿宋_GB2312"/>
                      <w:sz w:val="21"/>
                    </w:rPr>
                    <w:t>中标</w:t>
                  </w:r>
                  <w:r>
                    <w:rPr>
                      <w:rFonts w:ascii="仿宋_GB2312" w:hAnsi="仿宋_GB2312" w:cs="仿宋_GB2312" w:eastAsia="仿宋_GB2312"/>
                      <w:sz w:val="21"/>
                    </w:rPr>
                    <w:t>人还需提供</w:t>
                  </w:r>
                  <w:r>
                    <w:rPr>
                      <w:rFonts w:ascii="仿宋_GB2312" w:hAnsi="仿宋_GB2312" w:cs="仿宋_GB2312" w:eastAsia="仿宋_GB2312"/>
                      <w:sz w:val="21"/>
                    </w:rPr>
                    <w:t>道路救援服务，全方位保障</w:t>
                  </w:r>
                  <w:r>
                    <w:rPr>
                      <w:rFonts w:ascii="仿宋_GB2312" w:hAnsi="仿宋_GB2312" w:cs="仿宋_GB2312" w:eastAsia="仿宋_GB2312"/>
                      <w:sz w:val="21"/>
                    </w:rPr>
                    <w:t>客户</w:t>
                  </w:r>
                  <w:r>
                    <w:rPr>
                      <w:rFonts w:ascii="仿宋_GB2312" w:hAnsi="仿宋_GB2312" w:cs="仿宋_GB2312" w:eastAsia="仿宋_GB2312"/>
                      <w:sz w:val="21"/>
                    </w:rPr>
                    <w:t>遇到的问题及时、高效解决</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六、培训</w:t>
                  </w:r>
                </w:p>
                <w:p>
                  <w:pPr>
                    <w:pStyle w:val="null3"/>
                    <w:ind w:firstLine="240"/>
                    <w:jc w:val="both"/>
                  </w:pPr>
                  <w:r>
                    <w:rPr>
                      <w:rFonts w:ascii="仿宋_GB2312" w:hAnsi="仿宋_GB2312" w:cs="仿宋_GB2312" w:eastAsia="仿宋_GB2312"/>
                      <w:sz w:val="21"/>
                    </w:rPr>
                    <w:t>配备专业技术人员对</w:t>
                  </w:r>
                  <w:r>
                    <w:rPr>
                      <w:rFonts w:ascii="仿宋_GB2312" w:hAnsi="仿宋_GB2312" w:cs="仿宋_GB2312" w:eastAsia="仿宋_GB2312"/>
                      <w:sz w:val="21"/>
                    </w:rPr>
                    <w:t>采购</w:t>
                  </w:r>
                  <w:r>
                    <w:rPr>
                      <w:rFonts w:ascii="仿宋_GB2312" w:hAnsi="仿宋_GB2312" w:cs="仿宋_GB2312" w:eastAsia="仿宋_GB2312"/>
                      <w:sz w:val="21"/>
                    </w:rPr>
                    <w:t>单位的管理、使用等</w:t>
                  </w:r>
                  <w:r>
                    <w:rPr>
                      <w:rFonts w:ascii="仿宋_GB2312" w:hAnsi="仿宋_GB2312" w:cs="仿宋_GB2312" w:eastAsia="仿宋_GB2312"/>
                      <w:sz w:val="21"/>
                    </w:rPr>
                    <w:t>人员</w:t>
                  </w:r>
                  <w:r>
                    <w:rPr>
                      <w:rFonts w:ascii="仿宋_GB2312" w:hAnsi="仿宋_GB2312" w:cs="仿宋_GB2312" w:eastAsia="仿宋_GB2312"/>
                      <w:sz w:val="21"/>
                    </w:rPr>
                    <w:t>进行</w:t>
                  </w:r>
                  <w:r>
                    <w:rPr>
                      <w:rFonts w:ascii="仿宋_GB2312" w:hAnsi="仿宋_GB2312" w:cs="仿宋_GB2312" w:eastAsia="仿宋_GB2312"/>
                      <w:sz w:val="21"/>
                    </w:rPr>
                    <w:t>车辆的操作原理</w:t>
                  </w:r>
                  <w:r>
                    <w:rPr>
                      <w:rFonts w:ascii="仿宋_GB2312" w:hAnsi="仿宋_GB2312" w:cs="仿宋_GB2312" w:eastAsia="仿宋_GB2312"/>
                      <w:sz w:val="21"/>
                    </w:rPr>
                    <w:t>及方法</w:t>
                  </w:r>
                  <w:r>
                    <w:rPr>
                      <w:rFonts w:ascii="仿宋_GB2312" w:hAnsi="仿宋_GB2312" w:cs="仿宋_GB2312" w:eastAsia="仿宋_GB2312"/>
                      <w:sz w:val="21"/>
                    </w:rPr>
                    <w:t>、</w:t>
                  </w:r>
                  <w:r>
                    <w:rPr>
                      <w:rFonts w:ascii="仿宋_GB2312" w:hAnsi="仿宋_GB2312" w:cs="仿宋_GB2312" w:eastAsia="仿宋_GB2312"/>
                      <w:sz w:val="21"/>
                    </w:rPr>
                    <w:t>日常养</w:t>
                  </w:r>
                  <w:r>
                    <w:rPr>
                      <w:rFonts w:ascii="仿宋_GB2312" w:hAnsi="仿宋_GB2312" w:cs="仿宋_GB2312" w:eastAsia="仿宋_GB2312"/>
                      <w:sz w:val="21"/>
                    </w:rPr>
                    <w:t>护、排除故障</w:t>
                  </w:r>
                  <w:r>
                    <w:rPr>
                      <w:rFonts w:ascii="仿宋_GB2312" w:hAnsi="仿宋_GB2312" w:cs="仿宋_GB2312" w:eastAsia="仿宋_GB2312"/>
                      <w:sz w:val="21"/>
                    </w:rPr>
                    <w:t>、安全注意事项</w:t>
                  </w:r>
                  <w:r>
                    <w:rPr>
                      <w:rFonts w:ascii="仿宋_GB2312" w:hAnsi="仿宋_GB2312" w:cs="仿宋_GB2312" w:eastAsia="仿宋_GB2312"/>
                      <w:sz w:val="21"/>
                    </w:rPr>
                    <w:t>等方面</w:t>
                  </w:r>
                  <w:r>
                    <w:rPr>
                      <w:rFonts w:ascii="仿宋_GB2312" w:hAnsi="仿宋_GB2312" w:cs="仿宋_GB2312" w:eastAsia="仿宋_GB2312"/>
                      <w:sz w:val="21"/>
                    </w:rPr>
                    <w:t>的培训，使其在日常工作中</w:t>
                  </w:r>
                  <w:r>
                    <w:rPr>
                      <w:rFonts w:ascii="仿宋_GB2312" w:hAnsi="仿宋_GB2312" w:cs="仿宋_GB2312" w:eastAsia="仿宋_GB2312"/>
                      <w:sz w:val="21"/>
                    </w:rPr>
                    <w:t>熟练操作、</w:t>
                  </w:r>
                  <w:r>
                    <w:rPr>
                      <w:rFonts w:ascii="仿宋_GB2312" w:hAnsi="仿宋_GB2312" w:cs="仿宋_GB2312" w:eastAsia="仿宋_GB2312"/>
                      <w:sz w:val="21"/>
                    </w:rPr>
                    <w:t>小故障排除及日常养护等</w:t>
                  </w:r>
                  <w:r>
                    <w:rPr>
                      <w:rFonts w:ascii="仿宋_GB2312" w:hAnsi="仿宋_GB2312" w:cs="仿宋_GB2312" w:eastAsia="仿宋_GB2312"/>
                      <w:sz w:val="21"/>
                    </w:rPr>
                    <w:t>。</w:t>
                  </w:r>
                </w:p>
                <w:p>
                  <w:pPr>
                    <w:pStyle w:val="null3"/>
                    <w:ind w:firstLine="240"/>
                    <w:jc w:val="both"/>
                  </w:pPr>
                  <w:r>
                    <w:rPr>
                      <w:rFonts w:ascii="仿宋_GB2312" w:hAnsi="仿宋_GB2312" w:cs="仿宋_GB2312" w:eastAsia="仿宋_GB2312"/>
                      <w:sz w:val="21"/>
                      <w:b/>
                    </w:rPr>
                    <w:t>说明：</w:t>
                  </w:r>
                </w:p>
                <w:p>
                  <w:pPr>
                    <w:pStyle w:val="null3"/>
                    <w:ind w:firstLine="241"/>
                  </w:pPr>
                  <w:r>
                    <w:rPr>
                      <w:rFonts w:ascii="仿宋_GB2312" w:hAnsi="仿宋_GB2312" w:cs="仿宋_GB2312" w:eastAsia="仿宋_GB2312"/>
                      <w:sz w:val="21"/>
                      <w:b/>
                    </w:rPr>
                    <w:t>1.</w:t>
                  </w:r>
                  <w:r>
                    <w:rPr>
                      <w:rFonts w:ascii="仿宋_GB2312" w:hAnsi="仿宋_GB2312" w:cs="仿宋_GB2312" w:eastAsia="仿宋_GB2312"/>
                      <w:sz w:val="21"/>
                      <w:b/>
                    </w:rPr>
                    <w:t>本文中</w:t>
                  </w:r>
                  <w:r>
                    <w:rPr>
                      <w:rFonts w:ascii="仿宋_GB2312" w:hAnsi="仿宋_GB2312" w:cs="仿宋_GB2312" w:eastAsia="仿宋_GB2312"/>
                      <w:sz w:val="21"/>
                      <w:b/>
                    </w:rPr>
                    <w:t>“</w:t>
                  </w:r>
                  <w:r>
                    <w:rPr>
                      <w:rFonts w:ascii="仿宋_GB2312" w:hAnsi="仿宋_GB2312" w:cs="仿宋_GB2312" w:eastAsia="仿宋_GB2312"/>
                      <w:sz w:val="21"/>
                      <w:b/>
                    </w:rPr>
                    <w:t>交货</w:t>
                  </w:r>
                  <w:r>
                    <w:rPr>
                      <w:rFonts w:ascii="仿宋_GB2312" w:hAnsi="仿宋_GB2312" w:cs="仿宋_GB2312" w:eastAsia="仿宋_GB2312"/>
                      <w:sz w:val="21"/>
                      <w:b/>
                    </w:rPr>
                    <w:t>时间</w:t>
                  </w:r>
                  <w:r>
                    <w:rPr>
                      <w:rFonts w:ascii="仿宋_GB2312" w:hAnsi="仿宋_GB2312" w:cs="仿宋_GB2312" w:eastAsia="仿宋_GB2312"/>
                      <w:sz w:val="21"/>
                      <w:b/>
                    </w:rPr>
                    <w:t>/交货期</w:t>
                  </w:r>
                  <w:r>
                    <w:rPr>
                      <w:rFonts w:ascii="仿宋_GB2312" w:hAnsi="仿宋_GB2312" w:cs="仿宋_GB2312" w:eastAsia="仿宋_GB2312"/>
                      <w:sz w:val="21"/>
                      <w:b/>
                    </w:rPr>
                    <w:t>”=“合同履行期限”</w:t>
                  </w:r>
                  <w:r>
                    <w:rPr>
                      <w:rFonts w:ascii="仿宋_GB2312" w:hAnsi="仿宋_GB2312" w:cs="仿宋_GB2312" w:eastAsia="仿宋_GB2312"/>
                      <w:sz w:val="21"/>
                      <w:b/>
                    </w:rPr>
                    <w:t>；</w:t>
                  </w:r>
                </w:p>
                <w:p>
                  <w:pPr>
                    <w:pStyle w:val="null3"/>
                    <w:ind w:firstLine="241"/>
                  </w:pPr>
                  <w:r>
                    <w:rPr>
                      <w:rFonts w:ascii="仿宋_GB2312" w:hAnsi="仿宋_GB2312" w:cs="仿宋_GB2312" w:eastAsia="仿宋_GB2312"/>
                      <w:sz w:val="21"/>
                      <w:b/>
                    </w:rPr>
                    <w:t>2.核心产品为“公务车”。</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自合同签订生效之日起30日内按照采购要求完成车辆交付。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中标供应商指定合法正规的拟投产品销售点（4S店、经销网点等）。（交货地点距采购人单位单程超出300公里，由中标供应商负责送货至采购单位，期间发生的费用及一切责任由中标供应商承担）。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 ，所有车辆制式外观标准、完整并完成交付，经验收合格，双方无异议后，达到付款条件起15个工作日内，支付合同总金额的100.0%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1.验收标准：符合国家强制性规定及相关标准、规范要求，且满足招标及合同要求。 2.验收方法：由采购方直接对交货产品进行验收，必要时可委托第三方进行履约验收。 3、验收内容（不限）：①随车必备资料、文件核对查验： 对照采购合同和铭牌，核对品牌型号、车辆颜色、VIN码（应一致）、发动机号、出厂日期（通常为近6个月内）、行驶里程（新车≤50km）、合格证、三包凭证、使用手册、保养手册、首保卡、车钥匙、备胎、千斤顶、三角牌、灭火器等，保证证件、车体、投标响应一致。 ②外观、内饰验收（不限）： 漆面无划痕、色差、修补痕迹；钣金缝隙均匀平整；玻璃、轮胎完整无磨损，轮胎日期早于整车出厂日期；备胎及工具齐全；内饰整洁无破损，各项调节功能正常；制式外观喷涂标准合规等。 ③试车：整车验收。主要检查空调通风情况、方向盘灵活程度、乘坐舒适度、中控台流畅度、加速平顺性、动能回收性能、底盘质感以及其他功能的测试验收等。关键功能正常工作，无故障， 车辆行驶平稳，无异响。 4、详细记录验收情况，双方签字确认，发现问题及时整改处置。 5、退换货： 5.1验收不合格货物，均由中标单位负责无条件退换，并承担由此发生的一切费用。做到24小时内响应，3日内处置完成。 5.2无论何时，若发现货物存在翻新、参数虚标、虚假响应、贴牌、以次充好、恶意竞标等欺诈行为，除退货外，供应商须按合同金额的50%向采购方支付违约金，上报监管部门，取消其合同履约资格，列入采购黑名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货物特性选择合适规范的包装，确保运输过程货物的完整无损无污染，涉及快递包装，应符合财办库〔2020〕123号文《快递包装政府采购需求标准（试行）》的要求，包装应适应于远距离运输、防潮、防震、防锈和防野蛮装卸等，以确保货物安全无损运抵指定地点。 2.包装、标识：符合相关标准要求，标识清晰、完整、合规。包含：产品名称、商标、执行标准、厂家信息、生产日期、质保期限、认证等关键信息。 3.供应商需自行负责货物的运输、装卸、安全、保险等一切费用，采购人不承担任何责任，也不再另行支付任何费用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一、质量保修范围：整车质保和三电质保 ①整车质保：除易损易耗件外，车辆出厂全部原厂零部件，因制造质量缺陷免费维修、更换，跟车不跟人，过户不失效；易损件如雨刮、轮胎、刹车片、各类滤芯、12V小电瓶、皮带、火花塞、保险丝、遥控器电池、离合片等，1年内免费更换。 ②三电系统基础质保：动力电池、驱动电机、电控，同样受整车质保覆盖。 ③三电质保：主要指电池、电机、电控，容量衰减至70%–80%以下，非人为免费换电池（电池外壳磕碰变形、托底破损、涉水浸泡、私自拆修电池包、人为损坏、改装快充、第三方均衡电池等除外）。 二、质保期：自项目验收合格之日起整车质保（不低于）：4年/12万公里，三电（电机、电池、电控）质保：8年/20万公里。（两者以先到为准；若国家/行业有明确规定且高于此质保期的，执行国家/行业规定）。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的货物不符合招标文件、投标文件或本合同规定，或乙方怠于履行合同，经催告后，仍未严格按照合同履行相关内容，甲方有权解除合同，已支付的费用乙方应如数退回，且不再支付任何费用，并且乙方须向甲方支付本合同总价10%的违约金。 2、乙方未能按本合同规定的时间提供货物及服务，从逾期之日起每日按本合同总价0.3%的数额向甲方支付违约金；逾期半个月以上的，甲方有权解除合同，已支付的费用乙方应如数退回，且不再支付任何费用，由此造成的甲方经济损失由乙方承担。 3、乙方工作人员在履行合同过程中发生的人身伤亡等，与甲方无关，由乙方自行承担。 4、乙方在履行合同过程中产生的民事、行政及刑事责任，与甲方无关，由乙方自行承担。 5、乙方违约造成甲方损失的，乙方除应负法律责任外，还应赔偿给甲方造成的损失(包括直接经济损失、间接经济损失以及可得利益损失)，甲方有权要求乙方赔偿相应损失以及甲方维护合法权益产生的合理费用(包括但不限于律师费、诉讼费、保全费、公告费、公证费、鉴定费差旅费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（一）供应商投标须知见附件“补充说明”。 （二）线下纸质文件编制、提交：为方便评审和采购资料备案留存，要求供应商提交线下纸质投标文件，具体要求如下：①线上文件编制完成定稿后，供应商应及时将其完整下载并打印（须有本项目水印），装订成册。线上线下文件内容不一致或未按要求提交纸质投标文件造成的后果自负。②装订：按资质、商务、技术等顺序装订成一册，并编制目录（可分上中下或第一、二、...册等多册，以胶装或线装等非活页形式装订）。③数量：两套。④提交时间、地点：在投标文件线上提交时间截止后半小时内，由供应商授权人提交至代理机构指定地点（地点：西安市沣惠路南段艺腾国际商务大厦十楼中招第一会议室）。④线下与线上文件不一致以线上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法定代表人（或负责人）资格证明</w:t>
            </w:r>
          </w:p>
        </w:tc>
        <w:tc>
          <w:tcPr>
            <w:tcW w:type="dxa" w:w="3322"/>
          </w:tcPr>
          <w:p>
            <w:pPr>
              <w:pStyle w:val="null3"/>
            </w:pPr>
            <w:r>
              <w:rPr>
                <w:rFonts w:ascii="仿宋_GB2312" w:hAnsi="仿宋_GB2312" w:cs="仿宋_GB2312" w:eastAsia="仿宋_GB2312"/>
              </w:rPr>
              <w:t>提供法定代表人（或负责人）资格证明；</w:t>
            </w:r>
          </w:p>
        </w:tc>
        <w:tc>
          <w:tcPr>
            <w:tcW w:type="dxa" w:w="1661"/>
          </w:tcPr>
          <w:p>
            <w:pPr>
              <w:pStyle w:val="null3"/>
            </w:pPr>
            <w:r>
              <w:rPr>
                <w:rFonts w:ascii="仿宋_GB2312" w:hAnsi="仿宋_GB2312" w:cs="仿宋_GB2312" w:eastAsia="仿宋_GB2312"/>
              </w:rPr>
              <w:t>法定代表人（或负责人）资格证明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营业执照或等同</w:t>
            </w:r>
          </w:p>
        </w:tc>
        <w:tc>
          <w:tcPr>
            <w:tcW w:type="dxa" w:w="3322"/>
          </w:tcPr>
          <w:p>
            <w:pPr>
              <w:pStyle w:val="null3"/>
            </w:pPr>
            <w:r>
              <w:rPr>
                <w:rFonts w:ascii="仿宋_GB2312" w:hAnsi="仿宋_GB2312" w:cs="仿宋_GB2312" w:eastAsia="仿宋_GB2312"/>
              </w:rPr>
              <w:t>国内合法注册，具有独立承担民事责任能力的法人或其他组织（分公司提供总公司合法有效授权）；</w:t>
            </w:r>
          </w:p>
        </w:tc>
        <w:tc>
          <w:tcPr>
            <w:tcW w:type="dxa" w:w="1661"/>
          </w:tcPr>
          <w:p>
            <w:pPr>
              <w:pStyle w:val="null3"/>
            </w:pPr>
            <w:r>
              <w:rPr>
                <w:rFonts w:ascii="仿宋_GB2312" w:hAnsi="仿宋_GB2312" w:cs="仿宋_GB2312" w:eastAsia="仿宋_GB2312"/>
              </w:rPr>
              <w:t>总公司有效授权 营业执照</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提供供应商2025年年度财务报表（资产负债表、利润表、现金流量表）或针对本项目开具的银行资信证明；</w:t>
            </w:r>
          </w:p>
        </w:tc>
        <w:tc>
          <w:tcPr>
            <w:tcW w:type="dxa" w:w="1661"/>
          </w:tcPr>
          <w:p>
            <w:pPr>
              <w:pStyle w:val="null3"/>
            </w:pPr>
            <w:r>
              <w:rPr>
                <w:rFonts w:ascii="仿宋_GB2312" w:hAnsi="仿宋_GB2312" w:cs="仿宋_GB2312" w:eastAsia="仿宋_GB2312"/>
              </w:rPr>
              <w:t>财务报表或资信证明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完税及社保缴纳证明</w:t>
            </w:r>
          </w:p>
        </w:tc>
        <w:tc>
          <w:tcPr>
            <w:tcW w:type="dxa" w:w="3322"/>
          </w:tcPr>
          <w:p>
            <w:pPr>
              <w:pStyle w:val="null3"/>
            </w:pPr>
            <w:r>
              <w:rPr>
                <w:rFonts w:ascii="仿宋_GB2312" w:hAnsi="仿宋_GB2312" w:cs="仿宋_GB2312" w:eastAsia="仿宋_GB2312"/>
              </w:rPr>
              <w:t>提供供应商2025年6月至今任意一个月完税证明及社保缴纳凭证（须含养老），依法免税提供免税相关证明材料。至投标截止时间成立不足一月的，提供供应商符合完税及社保缴纳的相关规定的证明或承诺。时间以税款/社保所属日期为准；凭证应有税务机关或代收机关的公章或业务专用章；</w:t>
            </w:r>
          </w:p>
        </w:tc>
        <w:tc>
          <w:tcPr>
            <w:tcW w:type="dxa" w:w="1661"/>
          </w:tcPr>
          <w:p>
            <w:pPr>
              <w:pStyle w:val="null3"/>
            </w:pPr>
            <w:r>
              <w:rPr>
                <w:rFonts w:ascii="仿宋_GB2312" w:hAnsi="仿宋_GB2312" w:cs="仿宋_GB2312" w:eastAsia="仿宋_GB2312"/>
              </w:rPr>
              <w:t>完税及社保缴纳凭证 供应商符合完税及社保缴纳的相关规定的证明或承诺</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车企及投标产品</w:t>
            </w:r>
          </w:p>
        </w:tc>
        <w:tc>
          <w:tcPr>
            <w:tcW w:type="dxa" w:w="3322"/>
          </w:tcPr>
          <w:p>
            <w:pPr>
              <w:pStyle w:val="null3"/>
            </w:pPr>
            <w:r>
              <w:rPr>
                <w:rFonts w:ascii="仿宋_GB2312" w:hAnsi="仿宋_GB2312" w:cs="仿宋_GB2312" w:eastAsia="仿宋_GB2312"/>
              </w:rPr>
              <w:t>车辆生产企业及投标产品须在国家相关部门公布的《道路机动车辆生产企业及产品公告》目录内；</w:t>
            </w:r>
          </w:p>
        </w:tc>
        <w:tc>
          <w:tcPr>
            <w:tcW w:type="dxa" w:w="1661"/>
          </w:tcPr>
          <w:p>
            <w:pPr>
              <w:pStyle w:val="null3"/>
            </w:pPr>
            <w:r>
              <w:rPr>
                <w:rFonts w:ascii="仿宋_GB2312" w:hAnsi="仿宋_GB2312" w:cs="仿宋_GB2312" w:eastAsia="仿宋_GB2312"/>
              </w:rPr>
              <w:t>目录截图</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不得在“信用中国”（www.creditchina.gov.cn）和“中国政府采购网”（www.ccgp.gov.cn）有失信记录。（1.“信用中国：未被列入失信被执行人和重大税收违法案件当事人;2.“中国政府采购网”:未被列入严重违法失信行为记录名单。）；</w:t>
            </w:r>
          </w:p>
        </w:tc>
        <w:tc>
          <w:tcPr>
            <w:tcW w:type="dxa" w:w="1661"/>
          </w:tcPr>
          <w:p>
            <w:pPr>
              <w:pStyle w:val="null3"/>
            </w:pPr>
            <w:r>
              <w:rPr>
                <w:rFonts w:ascii="仿宋_GB2312" w:hAnsi="仿宋_GB2312" w:cs="仿宋_GB2312" w:eastAsia="仿宋_GB2312"/>
              </w:rPr>
              <w:t>信用截图</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无违法违规行为声明</w:t>
            </w:r>
          </w:p>
        </w:tc>
        <w:tc>
          <w:tcPr>
            <w:tcW w:type="dxa" w:w="3322"/>
          </w:tcPr>
          <w:p>
            <w:pPr>
              <w:pStyle w:val="null3"/>
            </w:pPr>
            <w:r>
              <w:rPr>
                <w:rFonts w:ascii="仿宋_GB2312" w:hAnsi="仿宋_GB2312" w:cs="仿宋_GB2312" w:eastAsia="仿宋_GB2312"/>
              </w:rPr>
              <w:t>供应商参加本政府采购活动前三年内（2023年6月至投标截止时间止）在经营活动中无重大违法违规记录、无重大行政处罚、无重大安全事故的书面声明；</w:t>
            </w:r>
          </w:p>
        </w:tc>
        <w:tc>
          <w:tcPr>
            <w:tcW w:type="dxa" w:w="1661"/>
          </w:tcPr>
          <w:p>
            <w:pPr>
              <w:pStyle w:val="null3"/>
            </w:pPr>
            <w:r>
              <w:rPr>
                <w:rFonts w:ascii="仿宋_GB2312" w:hAnsi="仿宋_GB2312" w:cs="仿宋_GB2312" w:eastAsia="仿宋_GB2312"/>
              </w:rPr>
              <w:t>无重大违法违规等记录的声明</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缴纳投标保证金</w:t>
            </w:r>
          </w:p>
        </w:tc>
        <w:tc>
          <w:tcPr>
            <w:tcW w:type="dxa" w:w="3322"/>
          </w:tcPr>
          <w:p>
            <w:pPr>
              <w:pStyle w:val="null3"/>
            </w:pPr>
            <w:r>
              <w:rPr>
                <w:rFonts w:ascii="仿宋_GB2312" w:hAnsi="仿宋_GB2312" w:cs="仿宋_GB2312" w:eastAsia="仿宋_GB2312"/>
              </w:rPr>
              <w:t>提供投标保证金凭证或投标保函；</w:t>
            </w:r>
          </w:p>
        </w:tc>
        <w:tc>
          <w:tcPr>
            <w:tcW w:type="dxa" w:w="1661"/>
          </w:tcPr>
          <w:p>
            <w:pPr>
              <w:pStyle w:val="null3"/>
            </w:pPr>
            <w:r>
              <w:rPr>
                <w:rFonts w:ascii="仿宋_GB2312" w:hAnsi="仿宋_GB2312" w:cs="仿宋_GB2312" w:eastAsia="仿宋_GB2312"/>
              </w:rPr>
              <w:t>投标保函 保证金缴纳凭证</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禁止投标</w:t>
            </w:r>
          </w:p>
        </w:tc>
        <w:tc>
          <w:tcPr>
            <w:tcW w:type="dxa" w:w="3322"/>
          </w:tcPr>
          <w:p>
            <w:pPr>
              <w:pStyle w:val="null3"/>
            </w:pPr>
            <w:r>
              <w:rPr>
                <w:rFonts w:ascii="仿宋_GB2312" w:hAnsi="仿宋_GB2312" w:cs="仿宋_GB2312" w:eastAsia="仿宋_GB2312"/>
              </w:rPr>
              <w:t>禁止投标情形：①法定代表人或负责人为同一人或存在直接控股、管理关系的不同单位，不得同时参加本项目投标；②与采购人存在利害关系的单位不得参加本项目投标；③法律法规规定的其他禁止投标情形；</w:t>
            </w:r>
          </w:p>
        </w:tc>
        <w:tc>
          <w:tcPr>
            <w:tcW w:type="dxa" w:w="1661"/>
          </w:tcPr>
          <w:p>
            <w:pPr>
              <w:pStyle w:val="null3"/>
            </w:pPr>
            <w:r>
              <w:rPr>
                <w:rFonts w:ascii="仿宋_GB2312" w:hAnsi="仿宋_GB2312" w:cs="仿宋_GB2312" w:eastAsia="仿宋_GB2312"/>
              </w:rPr>
              <w:t>供应商关联关系声明 法定代表人（或负责人）关联关系声明 禁止投标情形承诺书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提供非联合体投标声明函。</w:t>
            </w:r>
          </w:p>
        </w:tc>
        <w:tc>
          <w:tcPr>
            <w:tcW w:type="dxa" w:w="1661"/>
          </w:tcPr>
          <w:p>
            <w:pPr>
              <w:pStyle w:val="null3"/>
            </w:pPr>
            <w:r>
              <w:rPr>
                <w:rFonts w:ascii="仿宋_GB2312" w:hAnsi="仿宋_GB2312" w:cs="仿宋_GB2312" w:eastAsia="仿宋_GB2312"/>
              </w:rPr>
              <w:t>非联合体投标声明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产品品牌</w:t>
            </w:r>
          </w:p>
        </w:tc>
        <w:tc>
          <w:tcPr>
            <w:tcW w:type="dxa" w:w="3322"/>
          </w:tcPr>
          <w:p>
            <w:pPr>
              <w:pStyle w:val="null3"/>
            </w:pPr>
            <w:r>
              <w:rPr>
                <w:rFonts w:ascii="仿宋_GB2312" w:hAnsi="仿宋_GB2312" w:cs="仿宋_GB2312" w:eastAsia="仿宋_GB2312"/>
              </w:rPr>
              <w:t>不同投标人提供核心产品（公务车）品牌满足三家及以上</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进口产品</w:t>
            </w:r>
          </w:p>
        </w:tc>
        <w:tc>
          <w:tcPr>
            <w:tcW w:type="dxa" w:w="3322"/>
          </w:tcPr>
          <w:p>
            <w:pPr>
              <w:pStyle w:val="null3"/>
            </w:pPr>
            <w:r>
              <w:rPr>
                <w:rFonts w:ascii="仿宋_GB2312" w:hAnsi="仿宋_GB2312" w:cs="仿宋_GB2312" w:eastAsia="仿宋_GB2312"/>
              </w:rPr>
              <w:t>非进品产品</w:t>
            </w:r>
          </w:p>
        </w:tc>
        <w:tc>
          <w:tcPr>
            <w:tcW w:type="dxa" w:w="1661"/>
          </w:tcPr>
          <w:p>
            <w:pPr>
              <w:pStyle w:val="null3"/>
            </w:pPr>
            <w:r>
              <w:rPr>
                <w:rFonts w:ascii="仿宋_GB2312" w:hAnsi="仿宋_GB2312" w:cs="仿宋_GB2312" w:eastAsia="仿宋_GB2312"/>
              </w:rPr>
              <w:t>明细报价表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①唯一且未超过项目最高限价（60万）及《陕西省党政机关公务用车管理办法》执法执勤用车配备价格（12万元/辆），报价范围完整； ②车辆数量满足招标要求</w:t>
            </w:r>
          </w:p>
        </w:tc>
        <w:tc>
          <w:tcPr>
            <w:tcW w:type="dxa" w:w="1661"/>
          </w:tcPr>
          <w:p>
            <w:pPr>
              <w:pStyle w:val="null3"/>
            </w:pPr>
            <w:r>
              <w:rPr>
                <w:rFonts w:ascii="仿宋_GB2312" w:hAnsi="仿宋_GB2312" w:cs="仿宋_GB2312" w:eastAsia="仿宋_GB2312"/>
              </w:rPr>
              <w:t>开标一览表 报价承诺 明细报价表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强制性3C认证产品</w:t>
            </w:r>
          </w:p>
        </w:tc>
        <w:tc>
          <w:tcPr>
            <w:tcW w:type="dxa" w:w="3322"/>
          </w:tcPr>
          <w:p>
            <w:pPr>
              <w:pStyle w:val="null3"/>
            </w:pPr>
            <w:r>
              <w:rPr>
                <w:rFonts w:ascii="仿宋_GB2312" w:hAnsi="仿宋_GB2312" w:cs="仿宋_GB2312" w:eastAsia="仿宋_GB2312"/>
              </w:rPr>
              <w:t>“公务车”的3C认证证书</w:t>
            </w:r>
          </w:p>
        </w:tc>
        <w:tc>
          <w:tcPr>
            <w:tcW w:type="dxa" w:w="1661"/>
          </w:tcPr>
          <w:p>
            <w:pPr>
              <w:pStyle w:val="null3"/>
            </w:pPr>
            <w:r>
              <w:rPr>
                <w:rFonts w:ascii="仿宋_GB2312" w:hAnsi="仿宋_GB2312" w:cs="仿宋_GB2312" w:eastAsia="仿宋_GB2312"/>
              </w:rPr>
              <w:t>3C认证证书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排放标准</w:t>
            </w:r>
          </w:p>
        </w:tc>
        <w:tc>
          <w:tcPr>
            <w:tcW w:type="dxa" w:w="3322"/>
          </w:tcPr>
          <w:p>
            <w:pPr>
              <w:pStyle w:val="null3"/>
            </w:pPr>
            <w:r>
              <w:rPr>
                <w:rFonts w:ascii="仿宋_GB2312" w:hAnsi="仿宋_GB2312" w:cs="仿宋_GB2312" w:eastAsia="仿宋_GB2312"/>
              </w:rPr>
              <w:t>全国范围全面实施国六排放标准</w:t>
            </w:r>
          </w:p>
        </w:tc>
        <w:tc>
          <w:tcPr>
            <w:tcW w:type="dxa" w:w="1661"/>
          </w:tcPr>
          <w:p>
            <w:pPr>
              <w:pStyle w:val="null3"/>
            </w:pPr>
            <w:r>
              <w:rPr>
                <w:rFonts w:ascii="仿宋_GB2312" w:hAnsi="仿宋_GB2312" w:cs="仿宋_GB2312" w:eastAsia="仿宋_GB2312"/>
              </w:rPr>
              <w:t>排放达标证明</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付 款</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实质性响应合同条款要求</w:t>
            </w:r>
          </w:p>
        </w:tc>
        <w:tc>
          <w:tcPr>
            <w:tcW w:type="dxa" w:w="1661"/>
          </w:tcPr>
          <w:p>
            <w:pPr>
              <w:pStyle w:val="null3"/>
            </w:pPr>
            <w:r>
              <w:rPr>
                <w:rFonts w:ascii="仿宋_GB2312" w:hAnsi="仿宋_GB2312" w:cs="仿宋_GB2312" w:eastAsia="仿宋_GB2312"/>
              </w:rPr>
              <w:t>商务响应（偏离）表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一、“▲”参数36分： 1.续航及油耗（5分）： ①纯电续航＞110km且WLTC最低荷电状态燃料消耗量【3，4】L/100km，得5分； ②纯电续航（100km-110km】且WLTC最低荷电状态燃料消耗量（4，4.5】L/100km，得3分； ③纯电续航【80km-100km】且WLTC最低荷电状态燃料消耗量（4.5，5.0】L/100km，得1分。其余不得分。 2.电池容量（3分）： ①容量≥19kWh，得3分； ②容量【18，19），得1分。其余不得分。 3.中控台（3分）： ①≥14英寸，得3分； ②12≤X＜14英寸，得1分。其余不得分。 4.电池快充（6分）： 充至80%，15≤t≤20分钟，得6分； 充至80%，20＜t≤25分钟，得3分； 充至80%，25＜t≤30分钟，得1分。其余不得分。 5.安全配置及数据安全保障要求（19分）： 安全配置齐全达标（17项）、数据安全保障有效（2项），得19分；每缺失1项扣1分，19分扣完为止。 二、一般参数（4分）： 根据技术响应偏离表，全部响应要求得4分，一项负偏离扣0.5分，五项及以上负偏离4分扣完。 说明： （1）“▲”须提供制造商官网公开的功能截图/产品说明书/检测机构出具的检测报告等有效的证明材料（符合一单一库要求的须提供CMA检测报告，且供应商提供一单一库截图并醒目标注所涉及内容在清单及项目库中的位置），未提供或无效证明不得分。 （2）供应商需在提供的佐证上醒目标注出所要佐证的对应参数序号，否则导致的不利后果自负。</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p>
            <w:pPr>
              <w:pStyle w:val="null3"/>
            </w:pPr>
            <w:r>
              <w:rPr>
                <w:rFonts w:ascii="仿宋_GB2312" w:hAnsi="仿宋_GB2312" w:cs="仿宋_GB2312" w:eastAsia="仿宋_GB2312"/>
              </w:rPr>
              <w:t>续航及油耗佐证</w:t>
            </w:r>
          </w:p>
          <w:p>
            <w:pPr>
              <w:pStyle w:val="null3"/>
            </w:pPr>
            <w:r>
              <w:rPr>
                <w:rFonts w:ascii="仿宋_GB2312" w:hAnsi="仿宋_GB2312" w:cs="仿宋_GB2312" w:eastAsia="仿宋_GB2312"/>
              </w:rPr>
              <w:t>电池容量佐证</w:t>
            </w:r>
          </w:p>
          <w:p>
            <w:pPr>
              <w:pStyle w:val="null3"/>
            </w:pPr>
            <w:r>
              <w:rPr>
                <w:rFonts w:ascii="仿宋_GB2312" w:hAnsi="仿宋_GB2312" w:cs="仿宋_GB2312" w:eastAsia="仿宋_GB2312"/>
              </w:rPr>
              <w:t>中控台佐证</w:t>
            </w:r>
          </w:p>
          <w:p>
            <w:pPr>
              <w:pStyle w:val="null3"/>
            </w:pPr>
            <w:r>
              <w:rPr>
                <w:rFonts w:ascii="仿宋_GB2312" w:hAnsi="仿宋_GB2312" w:cs="仿宋_GB2312" w:eastAsia="仿宋_GB2312"/>
              </w:rPr>
              <w:t>安全配置及数据安全保障佐证</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1.评审内容： 提供所投产品的合法来源渠道证明文件（包括原厂授权/协议、授权代理商/经销商授权/协议等）。 2.赋分规则：证明文件有效得1分，未提供不得分。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来源渠道证明</w:t>
            </w:r>
          </w:p>
        </w:tc>
      </w:tr>
      <w:tr>
        <w:tc>
          <w:tcPr>
            <w:tcW w:type="dxa" w:w="831"/>
            <w:vMerge/>
          </w:tcPr>
          <w:p/>
        </w:tc>
        <w:tc>
          <w:tcPr>
            <w:tcW w:type="dxa" w:w="1661"/>
          </w:tcPr>
          <w:p>
            <w:pPr>
              <w:pStyle w:val="null3"/>
            </w:pPr>
            <w:r>
              <w:rPr>
                <w:rFonts w:ascii="仿宋_GB2312" w:hAnsi="仿宋_GB2312" w:cs="仿宋_GB2312" w:eastAsia="仿宋_GB2312"/>
              </w:rPr>
              <w:t>质保</w:t>
            </w:r>
          </w:p>
        </w:tc>
        <w:tc>
          <w:tcPr>
            <w:tcW w:type="dxa" w:w="2492"/>
          </w:tcPr>
          <w:p>
            <w:pPr>
              <w:pStyle w:val="null3"/>
            </w:pPr>
            <w:r>
              <w:rPr>
                <w:rFonts w:ascii="仿宋_GB2312" w:hAnsi="仿宋_GB2312" w:cs="仿宋_GB2312" w:eastAsia="仿宋_GB2312"/>
              </w:rPr>
              <w:t>1.整车质保：年、公里数分别由长到短排序，最长各得1分，次之得0.5分，第三名得0.1分，其余不得分，最高2分； 2.三电（电机、电池、电控）质保：年、公里数分别由长到短排序，最长各得1分，次之得0.5分，第三名得0.1分，其余不得分，最高2分。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商务响应（偏离）表</w:t>
            </w:r>
          </w:p>
        </w:tc>
      </w:tr>
      <w:tr>
        <w:tc>
          <w:tcPr>
            <w:tcW w:type="dxa" w:w="831"/>
            <w:vMerge/>
          </w:tcPr>
          <w:p/>
        </w:tc>
        <w:tc>
          <w:tcPr>
            <w:tcW w:type="dxa" w:w="1661"/>
          </w:tcPr>
          <w:p>
            <w:pPr>
              <w:pStyle w:val="null3"/>
            </w:pPr>
            <w:r>
              <w:rPr>
                <w:rFonts w:ascii="仿宋_GB2312" w:hAnsi="仿宋_GB2312" w:cs="仿宋_GB2312" w:eastAsia="仿宋_GB2312"/>
              </w:rPr>
              <w:t>优先采购</w:t>
            </w:r>
          </w:p>
        </w:tc>
        <w:tc>
          <w:tcPr>
            <w:tcW w:type="dxa" w:w="2492"/>
          </w:tcPr>
          <w:p>
            <w:pPr>
              <w:pStyle w:val="null3"/>
            </w:pPr>
            <w:r>
              <w:rPr>
                <w:rFonts w:ascii="仿宋_GB2312" w:hAnsi="仿宋_GB2312" w:cs="仿宋_GB2312" w:eastAsia="仿宋_GB2312"/>
              </w:rPr>
              <w:t>车辆取得中国环境标志认证证书，得1分，否则不得分。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中国环境标志认证</w:t>
            </w:r>
          </w:p>
        </w:tc>
      </w:tr>
      <w:tr>
        <w:tc>
          <w:tcPr>
            <w:tcW w:type="dxa" w:w="831"/>
            <w:vMerge/>
          </w:tcPr>
          <w:p/>
        </w:tc>
        <w:tc>
          <w:tcPr>
            <w:tcW w:type="dxa" w:w="1661"/>
          </w:tcPr>
          <w:p>
            <w:pPr>
              <w:pStyle w:val="null3"/>
            </w:pPr>
            <w:r>
              <w:rPr>
                <w:rFonts w:ascii="仿宋_GB2312" w:hAnsi="仿宋_GB2312" w:cs="仿宋_GB2312" w:eastAsia="仿宋_GB2312"/>
              </w:rPr>
              <w:t>质保方案</w:t>
            </w:r>
          </w:p>
        </w:tc>
        <w:tc>
          <w:tcPr>
            <w:tcW w:type="dxa" w:w="2492"/>
          </w:tcPr>
          <w:p>
            <w:pPr>
              <w:pStyle w:val="null3"/>
            </w:pPr>
            <w:r>
              <w:rPr>
                <w:rFonts w:ascii="仿宋_GB2312" w:hAnsi="仿宋_GB2312" w:cs="仿宋_GB2312" w:eastAsia="仿宋_GB2312"/>
              </w:rPr>
              <w:t>1.评审内容： ①质保方案（不仅限质保范围、内容、成本控制及质保响应时效等）；②备品备件供应保证方案。 2.赋分规则： 每项最高得3分，有1个缺陷扣1分。缺陷是指：与各项主题针对性不强（文不对题）；内容不详细/重点不突出（逻辑混乱主线不明确/内容繁杂 、抄袭、堆砌）；落地效果不强（执行后预估效果不显）。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质保方案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①质量控制方案；②进度及交货保证措施；③车辆制式喷涂计划方案；④验收问题预防及处置方案。 2.赋分规则： 每项最高得2分，有1个缺陷扣0.5分。缺陷是指：与各项主题针对性不强（文不对题）；内容不详细/重点不突出（逻辑混乱主线不明确）；内容繁杂 /抄袭/堆砌；落地效果不强（执行后预估效果不显）。</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1.评审内容： ①售后服务计划（不限于服务网点、服务人员、服务内容、服务程序等）；②技术服务方案（不限于车载系统、导航地图数据等的软件升级服务、日常故障排除与技术指导、道路救援等）③培训计划（含培训内容、培训师资、培训频次、时间地点等）。 2.赋分规则： 每项最高得2分，有1个缺陷扣0.5分。缺陷是指：与各项主题针对性不强（文不对题）；内容不详细/重点不突出（逻辑混乱主线不明确）；内容繁杂 /抄袭/堆砌；落地效果不强（执行后预估效果不显）。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至今类似业绩（新能源车/警用车辆供货）证明，1份得2分，最高4分，未提供或不符合要求得0分。时间以合同落款时间为准，无合同签订时间无效。要求：合同页面完整、清晰。若无法辨别，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1）评标基准价：即最低投标报价＝评标基准价；低价优先法。 2）投标报价得分=评标基准价/投标报价×30。投标报价=评标基准价，其价格得分为30分； 3）四舍五入，取小数点后两位，不计负分。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详见附件：营业执照</w:t>
      </w:r>
    </w:p>
    <w:p>
      <w:pPr>
        <w:pStyle w:val="null3"/>
        <w:ind w:firstLine="960"/>
      </w:pPr>
      <w:r>
        <w:rPr>
          <w:rFonts w:ascii="仿宋_GB2312" w:hAnsi="仿宋_GB2312" w:cs="仿宋_GB2312" w:eastAsia="仿宋_GB2312"/>
        </w:rPr>
        <w:t>详见附件：法定代表人（或负责人）资格证明</w:t>
      </w:r>
    </w:p>
    <w:p>
      <w:pPr>
        <w:pStyle w:val="null3"/>
        <w:ind w:firstLine="960"/>
      </w:pPr>
      <w:r>
        <w:rPr>
          <w:rFonts w:ascii="仿宋_GB2312" w:hAnsi="仿宋_GB2312" w:cs="仿宋_GB2312" w:eastAsia="仿宋_GB2312"/>
        </w:rPr>
        <w:t>详见附件：总公司有效授权</w:t>
      </w:r>
    </w:p>
    <w:p>
      <w:pPr>
        <w:pStyle w:val="null3"/>
        <w:ind w:firstLine="960"/>
      </w:pPr>
      <w:r>
        <w:rPr>
          <w:rFonts w:ascii="仿宋_GB2312" w:hAnsi="仿宋_GB2312" w:cs="仿宋_GB2312" w:eastAsia="仿宋_GB2312"/>
        </w:rPr>
        <w:t>详见附件：财务报表或资信证明</w:t>
      </w:r>
    </w:p>
    <w:p>
      <w:pPr>
        <w:pStyle w:val="null3"/>
        <w:ind w:firstLine="960"/>
      </w:pPr>
      <w:r>
        <w:rPr>
          <w:rFonts w:ascii="仿宋_GB2312" w:hAnsi="仿宋_GB2312" w:cs="仿宋_GB2312" w:eastAsia="仿宋_GB2312"/>
        </w:rPr>
        <w:t>详见附件：完税及社保缴纳凭证</w:t>
      </w:r>
    </w:p>
    <w:p>
      <w:pPr>
        <w:pStyle w:val="null3"/>
        <w:ind w:firstLine="960"/>
      </w:pPr>
      <w:r>
        <w:rPr>
          <w:rFonts w:ascii="仿宋_GB2312" w:hAnsi="仿宋_GB2312" w:cs="仿宋_GB2312" w:eastAsia="仿宋_GB2312"/>
        </w:rPr>
        <w:t>详见附件：供应商符合完税及社保缴纳的相关规定的证明或承诺</w:t>
      </w:r>
    </w:p>
    <w:p>
      <w:pPr>
        <w:pStyle w:val="null3"/>
        <w:ind w:firstLine="960"/>
      </w:pPr>
      <w:r>
        <w:rPr>
          <w:rFonts w:ascii="仿宋_GB2312" w:hAnsi="仿宋_GB2312" w:cs="仿宋_GB2312" w:eastAsia="仿宋_GB2312"/>
        </w:rPr>
        <w:t>详见附件：目录截图</w:t>
      </w:r>
    </w:p>
    <w:p>
      <w:pPr>
        <w:pStyle w:val="null3"/>
        <w:ind w:firstLine="960"/>
      </w:pPr>
      <w:r>
        <w:rPr>
          <w:rFonts w:ascii="仿宋_GB2312" w:hAnsi="仿宋_GB2312" w:cs="仿宋_GB2312" w:eastAsia="仿宋_GB2312"/>
        </w:rPr>
        <w:t>详见附件：信用截图</w:t>
      </w:r>
    </w:p>
    <w:p>
      <w:pPr>
        <w:pStyle w:val="null3"/>
        <w:ind w:firstLine="960"/>
      </w:pPr>
      <w:r>
        <w:rPr>
          <w:rFonts w:ascii="仿宋_GB2312" w:hAnsi="仿宋_GB2312" w:cs="仿宋_GB2312" w:eastAsia="仿宋_GB2312"/>
        </w:rPr>
        <w:t>详见附件：投标保函</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详见附件：法定代表人（或负责人）关联关系声明</w:t>
      </w:r>
    </w:p>
    <w:p>
      <w:pPr>
        <w:pStyle w:val="null3"/>
        <w:ind w:firstLine="960"/>
      </w:pPr>
      <w:r>
        <w:rPr>
          <w:rFonts w:ascii="仿宋_GB2312" w:hAnsi="仿宋_GB2312" w:cs="仿宋_GB2312" w:eastAsia="仿宋_GB2312"/>
        </w:rPr>
        <w:t>详见附件：禁止投标情形承诺书</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详见附件：报价承诺</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详见附件：3C认证证书</w:t>
      </w:r>
    </w:p>
    <w:p>
      <w:pPr>
        <w:pStyle w:val="null3"/>
        <w:ind w:firstLine="960"/>
      </w:pPr>
      <w:r>
        <w:rPr>
          <w:rFonts w:ascii="仿宋_GB2312" w:hAnsi="仿宋_GB2312" w:cs="仿宋_GB2312" w:eastAsia="仿宋_GB2312"/>
        </w:rPr>
        <w:t>详见附件：排放达标证明</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详见附件：续航及油耗佐证</w:t>
      </w:r>
    </w:p>
    <w:p>
      <w:pPr>
        <w:pStyle w:val="null3"/>
        <w:ind w:firstLine="960"/>
      </w:pPr>
      <w:r>
        <w:rPr>
          <w:rFonts w:ascii="仿宋_GB2312" w:hAnsi="仿宋_GB2312" w:cs="仿宋_GB2312" w:eastAsia="仿宋_GB2312"/>
        </w:rPr>
        <w:t>详见附件：电池容量佐证</w:t>
      </w:r>
    </w:p>
    <w:p>
      <w:pPr>
        <w:pStyle w:val="null3"/>
        <w:ind w:firstLine="960"/>
      </w:pPr>
      <w:r>
        <w:rPr>
          <w:rFonts w:ascii="仿宋_GB2312" w:hAnsi="仿宋_GB2312" w:cs="仿宋_GB2312" w:eastAsia="仿宋_GB2312"/>
        </w:rPr>
        <w:t>详见附件：中控台佐证</w:t>
      </w:r>
    </w:p>
    <w:p>
      <w:pPr>
        <w:pStyle w:val="null3"/>
        <w:ind w:firstLine="960"/>
      </w:pPr>
      <w:r>
        <w:rPr>
          <w:rFonts w:ascii="仿宋_GB2312" w:hAnsi="仿宋_GB2312" w:cs="仿宋_GB2312" w:eastAsia="仿宋_GB2312"/>
        </w:rPr>
        <w:t>详见附件：安全配置及数据安全保障佐证</w:t>
      </w:r>
    </w:p>
    <w:p>
      <w:pPr>
        <w:pStyle w:val="null3"/>
        <w:ind w:firstLine="960"/>
      </w:pPr>
      <w:r>
        <w:rPr>
          <w:rFonts w:ascii="仿宋_GB2312" w:hAnsi="仿宋_GB2312" w:cs="仿宋_GB2312" w:eastAsia="仿宋_GB2312"/>
        </w:rPr>
        <w:t>详见附件：来源渠道证明</w:t>
      </w:r>
    </w:p>
    <w:p>
      <w:pPr>
        <w:pStyle w:val="null3"/>
        <w:ind w:firstLine="960"/>
      </w:pPr>
      <w:r>
        <w:rPr>
          <w:rFonts w:ascii="仿宋_GB2312" w:hAnsi="仿宋_GB2312" w:cs="仿宋_GB2312" w:eastAsia="仿宋_GB2312"/>
        </w:rPr>
        <w:t>详见附件：中国环境标志认证</w:t>
      </w:r>
    </w:p>
    <w:p>
      <w:pPr>
        <w:pStyle w:val="null3"/>
        <w:ind w:firstLine="960"/>
      </w:pPr>
      <w:r>
        <w:rPr>
          <w:rFonts w:ascii="仿宋_GB2312" w:hAnsi="仿宋_GB2312" w:cs="仿宋_GB2312" w:eastAsia="仿宋_GB2312"/>
        </w:rPr>
        <w:t>详见附件：质保方案</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详见附件：售后服务方案</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详见附件：无重大违法违规等记录的声明</w:t>
      </w:r>
    </w:p>
    <w:p>
      <w:pPr>
        <w:pStyle w:val="null3"/>
        <w:ind w:firstLine="960"/>
      </w:pPr>
      <w:r>
        <w:rPr>
          <w:rFonts w:ascii="仿宋_GB2312" w:hAnsi="仿宋_GB2312" w:cs="仿宋_GB2312" w:eastAsia="仿宋_GB2312"/>
        </w:rPr>
        <w:t>详见附件：供应商关联关系声明</w:t>
      </w:r>
    </w:p>
    <w:p>
      <w:pPr>
        <w:pStyle w:val="null3"/>
        <w:ind w:firstLine="960"/>
      </w:pPr>
      <w:r>
        <w:rPr>
          <w:rFonts w:ascii="仿宋_GB2312" w:hAnsi="仿宋_GB2312" w:cs="仿宋_GB2312" w:eastAsia="仿宋_GB2312"/>
        </w:rPr>
        <w:t>详见附件：非联合体投标声明</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详见附件：明细报价表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