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EC0360">
      <w:pPr>
        <w:pStyle w:val="9"/>
        <w:jc w:val="center"/>
        <w:outlineLvl w:val="1"/>
        <w:rPr>
          <w:rFonts w:hint="eastAsia" w:ascii="仿宋_GB2312" w:hAnsi="仿宋_GB2312" w:eastAsia="仿宋_GB2312" w:cs="仿宋_GB2312"/>
          <w:b/>
          <w:sz w:val="36"/>
          <w:lang w:val="en-US" w:eastAsia="zh-CN"/>
        </w:rPr>
      </w:pPr>
      <w:r>
        <w:rPr>
          <w:rFonts w:hint="eastAsia" w:ascii="仿宋_GB2312" w:hAnsi="仿宋_GB2312" w:eastAsia="仿宋_GB2312" w:cs="仿宋_GB2312"/>
          <w:b/>
          <w:sz w:val="36"/>
          <w:lang w:val="en-US" w:eastAsia="zh-CN"/>
        </w:rPr>
        <w:t>补充说明</w:t>
      </w:r>
      <w:bookmarkStart w:id="0" w:name="_GoBack"/>
      <w:bookmarkEnd w:id="0"/>
    </w:p>
    <w:tbl>
      <w:tblPr>
        <w:tblStyle w:val="7"/>
        <w:tblW w:w="93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
        <w:gridCol w:w="1907"/>
        <w:gridCol w:w="6589"/>
      </w:tblGrid>
      <w:tr w14:paraId="7F488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7C4E2F76">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907" w:type="dxa"/>
            <w:vAlign w:val="center"/>
          </w:tcPr>
          <w:p w14:paraId="55C3A70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条款名称</w:t>
            </w:r>
          </w:p>
        </w:tc>
        <w:tc>
          <w:tcPr>
            <w:tcW w:w="6589" w:type="dxa"/>
            <w:vAlign w:val="center"/>
          </w:tcPr>
          <w:p w14:paraId="7AC16FA2">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lang w:val="en-US" w:eastAsia="zh-CN"/>
              </w:rPr>
              <w:t>内容</w:t>
            </w:r>
          </w:p>
        </w:tc>
      </w:tr>
      <w:tr w14:paraId="5FF0B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shd w:val="clear" w:color="auto" w:fill="auto"/>
            <w:vAlign w:val="center"/>
          </w:tcPr>
          <w:p w14:paraId="2ABB45C7">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i w:val="0"/>
                <w:iCs w:val="0"/>
                <w:color w:val="auto"/>
                <w:kern w:val="2"/>
                <w:sz w:val="24"/>
                <w:szCs w:val="24"/>
                <w:lang w:val="en-US" w:eastAsia="zh-CN" w:bidi="ar-SA"/>
              </w:rPr>
            </w:pPr>
            <w:r>
              <w:rPr>
                <w:rFonts w:hint="eastAsia" w:ascii="仿宋" w:hAnsi="仿宋" w:eastAsia="仿宋" w:cs="仿宋"/>
                <w:color w:val="auto"/>
                <w:sz w:val="24"/>
                <w:szCs w:val="24"/>
                <w:lang w:val="en-US" w:eastAsia="zh-CN"/>
              </w:rPr>
              <w:t>1</w:t>
            </w:r>
          </w:p>
        </w:tc>
        <w:tc>
          <w:tcPr>
            <w:tcW w:w="1907" w:type="dxa"/>
            <w:shd w:val="clear" w:color="auto" w:fill="auto"/>
            <w:vAlign w:val="center"/>
          </w:tcPr>
          <w:p w14:paraId="28FF3294">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供应商</w:t>
            </w:r>
          </w:p>
          <w:p w14:paraId="5181A2A5">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i w:val="0"/>
                <w:iCs w:val="0"/>
                <w:color w:val="auto"/>
                <w:kern w:val="2"/>
                <w:sz w:val="24"/>
                <w:szCs w:val="24"/>
                <w:lang w:val="en-US" w:eastAsia="zh-CN" w:bidi="ar-SA"/>
              </w:rPr>
            </w:pPr>
            <w:r>
              <w:rPr>
                <w:rFonts w:hint="eastAsia" w:ascii="仿宋" w:hAnsi="仿宋" w:eastAsia="仿宋" w:cs="仿宋"/>
                <w:color w:val="auto"/>
                <w:sz w:val="24"/>
                <w:szCs w:val="24"/>
                <w:lang w:val="en-US" w:eastAsia="zh-CN"/>
              </w:rPr>
              <w:t>资格连续性</w:t>
            </w:r>
          </w:p>
        </w:tc>
        <w:tc>
          <w:tcPr>
            <w:tcW w:w="6589" w:type="dxa"/>
            <w:shd w:val="clear" w:color="auto" w:fill="auto"/>
            <w:vAlign w:val="center"/>
          </w:tcPr>
          <w:p w14:paraId="35287F26">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1）供应商发生合并、分立、破产等重大变化的，应及时</w:t>
            </w:r>
            <w:r>
              <w:rPr>
                <w:rFonts w:hint="default" w:ascii="仿宋" w:hAnsi="仿宋" w:eastAsia="仿宋" w:cs="仿宋"/>
                <w:color w:val="auto"/>
                <w:sz w:val="24"/>
                <w:szCs w:val="24"/>
                <w:lang w:val="en-US" w:eastAsia="zh-CN"/>
              </w:rPr>
              <w:t>书面</w:t>
            </w:r>
            <w:r>
              <w:rPr>
                <w:rFonts w:hint="eastAsia" w:ascii="仿宋" w:hAnsi="仿宋" w:eastAsia="仿宋" w:cs="仿宋"/>
                <w:color w:val="auto"/>
                <w:kern w:val="2"/>
                <w:sz w:val="24"/>
                <w:szCs w:val="24"/>
                <w:highlight w:val="none"/>
                <w:lang w:val="en-US" w:eastAsia="zh-CN" w:bidi="ar-SA"/>
              </w:rPr>
              <w:t>告知采购人，否则承担一切不利后果。</w:t>
            </w:r>
            <w:r>
              <w:rPr>
                <w:rFonts w:hint="eastAsia" w:ascii="仿宋" w:hAnsi="仿宋" w:eastAsia="仿宋" w:cs="仿宋"/>
                <w:color w:val="auto"/>
                <w:sz w:val="24"/>
                <w:szCs w:val="24"/>
                <w:lang w:val="en-US" w:eastAsia="zh-CN"/>
              </w:rPr>
              <w:t>重大变化导致</w:t>
            </w:r>
            <w:r>
              <w:rPr>
                <w:rFonts w:hint="eastAsia" w:ascii="仿宋" w:hAnsi="仿宋" w:eastAsia="仿宋" w:cs="仿宋"/>
                <w:color w:val="auto"/>
                <w:kern w:val="2"/>
                <w:sz w:val="24"/>
                <w:szCs w:val="24"/>
                <w:highlight w:val="none"/>
                <w:lang w:val="en-US" w:eastAsia="zh-CN" w:bidi="ar-SA"/>
              </w:rPr>
              <w:t>供应商</w:t>
            </w:r>
            <w:r>
              <w:rPr>
                <w:rFonts w:hint="eastAsia" w:ascii="仿宋" w:hAnsi="仿宋" w:eastAsia="仿宋" w:cs="仿宋"/>
                <w:color w:val="auto"/>
                <w:sz w:val="24"/>
                <w:szCs w:val="24"/>
                <w:lang w:val="en-US" w:eastAsia="zh-CN"/>
              </w:rPr>
              <w:t>或中标人不再符合采购要求或不能正常履约的，任何时候采购人均有权取消其投标或中标资格。</w:t>
            </w:r>
          </w:p>
          <w:p w14:paraId="51BCAB93">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2）中标人应保证企业、投标产品及与项目履约相关的必备资质及相关证书的有效性、连续性。如遇资质或证书临界到期需更换，</w:t>
            </w:r>
            <w:r>
              <w:rPr>
                <w:rFonts w:hint="default" w:ascii="仿宋" w:hAnsi="仿宋" w:eastAsia="仿宋" w:cs="仿宋"/>
                <w:color w:val="auto"/>
                <w:sz w:val="24"/>
                <w:szCs w:val="24"/>
                <w:lang w:val="en-US" w:eastAsia="zh-CN"/>
              </w:rPr>
              <w:t>中标人</w:t>
            </w:r>
            <w:r>
              <w:rPr>
                <w:rFonts w:hint="eastAsia" w:ascii="仿宋" w:hAnsi="仿宋" w:eastAsia="仿宋" w:cs="仿宋"/>
                <w:color w:val="auto"/>
                <w:kern w:val="2"/>
                <w:sz w:val="24"/>
                <w:szCs w:val="24"/>
                <w:highlight w:val="none"/>
                <w:lang w:val="en-US" w:eastAsia="zh-CN" w:bidi="ar-SA"/>
              </w:rPr>
              <w:t>应提前及时续办，确保中标人资格合规合法有效，否则采购人有权随时取消其</w:t>
            </w:r>
            <w:r>
              <w:rPr>
                <w:rFonts w:hint="default" w:ascii="仿宋" w:hAnsi="仿宋" w:eastAsia="仿宋" w:cs="仿宋"/>
                <w:color w:val="auto"/>
                <w:sz w:val="24"/>
                <w:szCs w:val="24"/>
                <w:lang w:val="en-US" w:eastAsia="zh-CN"/>
              </w:rPr>
              <w:t>中标</w:t>
            </w:r>
            <w:r>
              <w:rPr>
                <w:rFonts w:hint="eastAsia" w:ascii="仿宋" w:hAnsi="仿宋" w:eastAsia="仿宋" w:cs="仿宋"/>
                <w:color w:val="auto"/>
                <w:kern w:val="2"/>
                <w:sz w:val="24"/>
                <w:szCs w:val="24"/>
                <w:highlight w:val="none"/>
                <w:lang w:val="en-US" w:eastAsia="zh-CN" w:bidi="ar-SA"/>
              </w:rPr>
              <w:t>或履约资格，由此造成的后果由</w:t>
            </w:r>
            <w:r>
              <w:rPr>
                <w:rFonts w:hint="default" w:ascii="仿宋" w:hAnsi="仿宋" w:eastAsia="仿宋" w:cs="仿宋"/>
                <w:color w:val="auto"/>
                <w:sz w:val="24"/>
                <w:szCs w:val="24"/>
                <w:lang w:val="en-US" w:eastAsia="zh-CN"/>
              </w:rPr>
              <w:t>中标人</w:t>
            </w:r>
            <w:r>
              <w:rPr>
                <w:rFonts w:hint="eastAsia" w:ascii="仿宋" w:hAnsi="仿宋" w:eastAsia="仿宋" w:cs="仿宋"/>
                <w:color w:val="auto"/>
                <w:kern w:val="2"/>
                <w:sz w:val="24"/>
                <w:szCs w:val="24"/>
                <w:highlight w:val="none"/>
                <w:lang w:val="en-US" w:eastAsia="zh-CN" w:bidi="ar-SA"/>
              </w:rPr>
              <w:t>自行承担。</w:t>
            </w:r>
          </w:p>
        </w:tc>
      </w:tr>
      <w:tr w14:paraId="7CB4D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shd w:val="clear" w:color="auto" w:fill="auto"/>
            <w:vAlign w:val="center"/>
          </w:tcPr>
          <w:p w14:paraId="5588C562">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2</w:t>
            </w:r>
          </w:p>
        </w:tc>
        <w:tc>
          <w:tcPr>
            <w:tcW w:w="1907" w:type="dxa"/>
            <w:shd w:val="clear" w:color="auto" w:fill="auto"/>
            <w:vAlign w:val="center"/>
          </w:tcPr>
          <w:p w14:paraId="3B8F510F">
            <w:pPr>
              <w:keepNext w:val="0"/>
              <w:keepLines w:val="0"/>
              <w:pageBreakBefore w:val="0"/>
              <w:kinsoku/>
              <w:wordWrap/>
              <w:overflowPunct/>
              <w:topLinePunct w:val="0"/>
              <w:autoSpaceDE/>
              <w:autoSpaceDN/>
              <w:bidi w:val="0"/>
              <w:adjustRightInd/>
              <w:spacing w:line="500" w:lineRule="exact"/>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现场勘查</w:t>
            </w:r>
          </w:p>
        </w:tc>
        <w:tc>
          <w:tcPr>
            <w:tcW w:w="6589" w:type="dxa"/>
            <w:shd w:val="clear" w:color="auto" w:fill="auto"/>
            <w:vAlign w:val="center"/>
          </w:tcPr>
          <w:p w14:paraId="007AAFC7">
            <w:pPr>
              <w:pStyle w:val="2"/>
              <w:keepNext w:val="0"/>
              <w:keepLines w:val="0"/>
              <w:pageBreakBefore w:val="0"/>
              <w:kinsoku/>
              <w:wordWrap/>
              <w:overflowPunct/>
              <w:topLinePunct w:val="0"/>
              <w:autoSpaceDE/>
              <w:autoSpaceDN/>
              <w:bidi w:val="0"/>
              <w:adjustRightInd/>
              <w:spacing w:line="500" w:lineRule="exact"/>
              <w:ind w:firstLine="0" w:firstLineChars="0"/>
              <w:rPr>
                <w:rFonts w:hint="eastAsia" w:ascii="仿宋" w:hAnsi="仿宋" w:eastAsia="仿宋" w:cs="仿宋"/>
                <w:color w:val="auto"/>
                <w:sz w:val="24"/>
                <w:szCs w:val="24"/>
                <w:lang w:eastAsia="zh-CN"/>
              </w:rPr>
            </w:pPr>
            <w:r>
              <w:rPr>
                <w:rFonts w:hint="eastAsia" w:ascii="仿宋" w:hAnsi="仿宋" w:eastAsia="仿宋" w:cs="仿宋"/>
                <w:color w:val="auto"/>
                <w:sz w:val="24"/>
                <w:szCs w:val="24"/>
              </w:rPr>
              <w:t>不组织</w:t>
            </w:r>
            <w:r>
              <w:rPr>
                <w:rFonts w:hint="eastAsia" w:ascii="仿宋" w:hAnsi="仿宋" w:eastAsia="仿宋" w:cs="仿宋"/>
                <w:color w:val="auto"/>
                <w:sz w:val="24"/>
                <w:szCs w:val="24"/>
                <w:lang w:eastAsia="zh-CN"/>
              </w:rPr>
              <w:t>。</w:t>
            </w:r>
          </w:p>
          <w:p w14:paraId="01DF90FF">
            <w:pPr>
              <w:pStyle w:val="2"/>
              <w:keepNext w:val="0"/>
              <w:keepLines w:val="0"/>
              <w:pageBreakBefore w:val="0"/>
              <w:kinsoku/>
              <w:wordWrap/>
              <w:overflowPunct/>
              <w:topLinePunct w:val="0"/>
              <w:autoSpaceDE/>
              <w:autoSpaceDN/>
              <w:bidi w:val="0"/>
              <w:adjustRightInd/>
              <w:spacing w:line="500" w:lineRule="exact"/>
              <w:ind w:firstLine="0" w:firstLineChars="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1.若需自行踏勘，请联系采购人。在踏勘现场中发生的费用、人员伤亡和财产损失均由供应商自行负责。</w:t>
            </w:r>
          </w:p>
          <w:p w14:paraId="3FA789AE">
            <w:pPr>
              <w:pStyle w:val="2"/>
              <w:keepNext w:val="0"/>
              <w:keepLines w:val="0"/>
              <w:pageBreakBefore w:val="0"/>
              <w:kinsoku/>
              <w:wordWrap/>
              <w:overflowPunct/>
              <w:topLinePunct w:val="0"/>
              <w:autoSpaceDE/>
              <w:autoSpaceDN/>
              <w:bidi w:val="0"/>
              <w:adjustRightInd/>
              <w:spacing w:line="500" w:lineRule="exact"/>
              <w:ind w:firstLine="0" w:firstLineChars="0"/>
              <w:rPr>
                <w:rFonts w:hint="eastAsia"/>
                <w:lang w:val="en-US" w:eastAsia="zh-CN"/>
              </w:rPr>
            </w:pPr>
            <w:r>
              <w:rPr>
                <w:rFonts w:hint="eastAsia" w:ascii="仿宋" w:hAnsi="仿宋" w:eastAsia="仿宋" w:cs="仿宋"/>
                <w:color w:val="auto"/>
                <w:sz w:val="24"/>
                <w:szCs w:val="24"/>
                <w:lang w:val="en-US" w:eastAsia="zh-CN"/>
              </w:rPr>
              <w:t>2.供应商在踏勘现场中了解到的相关情况，仅供其在投标文件时参考，采购人不对供应商据此作出的判断和决策负责。</w:t>
            </w:r>
          </w:p>
        </w:tc>
      </w:tr>
      <w:tr w14:paraId="513CF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shd w:val="clear" w:color="auto" w:fill="auto"/>
            <w:vAlign w:val="center"/>
          </w:tcPr>
          <w:p w14:paraId="56F3C211">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kern w:val="2"/>
                <w:sz w:val="24"/>
                <w:szCs w:val="24"/>
                <w:lang w:val="en-US" w:eastAsia="zh-CN" w:bidi="ar-SA"/>
              </w:rPr>
              <w:t>3</w:t>
            </w:r>
          </w:p>
        </w:tc>
        <w:tc>
          <w:tcPr>
            <w:tcW w:w="1907" w:type="dxa"/>
            <w:shd w:val="clear" w:color="auto" w:fill="auto"/>
            <w:vAlign w:val="center"/>
          </w:tcPr>
          <w:p w14:paraId="5E00AA48">
            <w:pPr>
              <w:keepNext w:val="0"/>
              <w:keepLines w:val="0"/>
              <w:pageBreakBefore w:val="0"/>
              <w:kinsoku/>
              <w:wordWrap/>
              <w:overflowPunct/>
              <w:topLinePunct w:val="0"/>
              <w:autoSpaceDE/>
              <w:autoSpaceDN/>
              <w:bidi w:val="0"/>
              <w:adjustRightInd/>
              <w:spacing w:line="50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标前答疑会</w:t>
            </w:r>
          </w:p>
        </w:tc>
        <w:tc>
          <w:tcPr>
            <w:tcW w:w="6589" w:type="dxa"/>
            <w:shd w:val="clear" w:color="auto" w:fill="auto"/>
            <w:vAlign w:val="center"/>
          </w:tcPr>
          <w:p w14:paraId="5A208169">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kern w:val="2"/>
                <w:sz w:val="24"/>
                <w:szCs w:val="24"/>
                <w:highlight w:val="none"/>
                <w:lang w:val="en-US" w:eastAsia="zh-CN" w:bidi="ar-SA"/>
              </w:rPr>
              <w:t>不组织。</w:t>
            </w:r>
          </w:p>
        </w:tc>
      </w:tr>
      <w:tr w14:paraId="6B1B7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shd w:val="clear" w:color="auto" w:fill="auto"/>
            <w:vAlign w:val="center"/>
          </w:tcPr>
          <w:p w14:paraId="6C5C0ABC">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4</w:t>
            </w:r>
          </w:p>
        </w:tc>
        <w:tc>
          <w:tcPr>
            <w:tcW w:w="1907" w:type="dxa"/>
            <w:tcBorders>
              <w:right w:val="nil"/>
            </w:tcBorders>
            <w:vAlign w:val="center"/>
          </w:tcPr>
          <w:p w14:paraId="4D43951F">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招标</w:t>
            </w:r>
            <w:r>
              <w:rPr>
                <w:rFonts w:hint="eastAsia" w:ascii="仿宋" w:hAnsi="仿宋" w:eastAsia="仿宋" w:cs="仿宋"/>
                <w:color w:val="auto"/>
                <w:sz w:val="24"/>
                <w:szCs w:val="24"/>
              </w:rPr>
              <w:t>文件</w:t>
            </w:r>
          </w:p>
        </w:tc>
        <w:tc>
          <w:tcPr>
            <w:tcW w:w="6589" w:type="dxa"/>
            <w:tcBorders>
              <w:left w:val="nil"/>
            </w:tcBorders>
            <w:vAlign w:val="center"/>
          </w:tcPr>
          <w:p w14:paraId="7EFA9F13">
            <w:pPr>
              <w:pStyle w:val="2"/>
              <w:keepNext w:val="0"/>
              <w:keepLines w:val="0"/>
              <w:pageBreakBefore w:val="0"/>
              <w:kinsoku/>
              <w:wordWrap/>
              <w:overflowPunct/>
              <w:topLinePunct w:val="0"/>
              <w:autoSpaceDE/>
              <w:autoSpaceDN/>
              <w:bidi w:val="0"/>
              <w:adjustRightInd/>
              <w:spacing w:line="500" w:lineRule="exact"/>
              <w:ind w:firstLine="0" w:firstLineChars="0"/>
              <w:rPr>
                <w:rFonts w:hint="eastAsia" w:ascii="仿宋" w:hAnsi="仿宋" w:eastAsia="仿宋" w:cs="仿宋"/>
                <w:color w:val="auto"/>
                <w:sz w:val="24"/>
                <w:szCs w:val="24"/>
                <w:lang w:val="en-US" w:eastAsia="zh-CN"/>
              </w:rPr>
            </w:pPr>
          </w:p>
        </w:tc>
      </w:tr>
      <w:tr w14:paraId="27574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77451D87">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4.1</w:t>
            </w:r>
          </w:p>
        </w:tc>
        <w:tc>
          <w:tcPr>
            <w:tcW w:w="1907" w:type="dxa"/>
            <w:vAlign w:val="center"/>
          </w:tcPr>
          <w:p w14:paraId="190BBC95">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lang w:val="en-US" w:eastAsia="zh-CN"/>
              </w:rPr>
              <w:t>招标</w:t>
            </w:r>
            <w:r>
              <w:rPr>
                <w:rFonts w:hint="eastAsia" w:ascii="仿宋" w:hAnsi="仿宋" w:eastAsia="仿宋" w:cs="仿宋"/>
                <w:color w:val="auto"/>
                <w:sz w:val="24"/>
                <w:szCs w:val="24"/>
                <w:highlight w:val="none"/>
              </w:rPr>
              <w:t>文件的</w:t>
            </w:r>
          </w:p>
          <w:p w14:paraId="4FDA5B09">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说明、</w:t>
            </w:r>
            <w:r>
              <w:rPr>
                <w:rFonts w:hint="eastAsia" w:ascii="仿宋" w:hAnsi="仿宋" w:eastAsia="仿宋" w:cs="仿宋"/>
                <w:color w:val="auto"/>
                <w:sz w:val="24"/>
                <w:szCs w:val="24"/>
                <w:highlight w:val="none"/>
              </w:rPr>
              <w:t>澄清、修改</w:t>
            </w:r>
          </w:p>
        </w:tc>
        <w:tc>
          <w:tcPr>
            <w:tcW w:w="6589" w:type="dxa"/>
            <w:vAlign w:val="top"/>
          </w:tcPr>
          <w:p w14:paraId="7B0B5CE1">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1.招标文件发出后，</w:t>
            </w:r>
            <w:r>
              <w:rPr>
                <w:rFonts w:hint="eastAsia" w:ascii="仿宋" w:hAnsi="仿宋" w:eastAsia="仿宋" w:cs="仿宋"/>
                <w:color w:val="auto"/>
                <w:kern w:val="2"/>
                <w:sz w:val="24"/>
                <w:szCs w:val="24"/>
                <w:lang w:val="en-US" w:eastAsia="zh-CN" w:bidi="ar-SA"/>
              </w:rPr>
              <w:t>采购人或者代理机构可以对已发出的</w:t>
            </w:r>
            <w:r>
              <w:rPr>
                <w:rFonts w:hint="eastAsia" w:ascii="仿宋" w:hAnsi="仿宋" w:eastAsia="仿宋" w:cs="仿宋"/>
                <w:color w:val="auto"/>
                <w:sz w:val="24"/>
                <w:szCs w:val="24"/>
                <w:lang w:val="en-US" w:eastAsia="zh-CN"/>
              </w:rPr>
              <w:t>招标</w:t>
            </w:r>
            <w:r>
              <w:rPr>
                <w:rFonts w:hint="eastAsia" w:ascii="仿宋" w:hAnsi="仿宋" w:eastAsia="仿宋" w:cs="仿宋"/>
                <w:color w:val="auto"/>
                <w:kern w:val="2"/>
                <w:sz w:val="24"/>
                <w:szCs w:val="24"/>
                <w:lang w:val="en-US" w:eastAsia="zh-CN" w:bidi="ar-SA"/>
              </w:rPr>
              <w:t>文件进行必要的</w:t>
            </w:r>
            <w:r>
              <w:rPr>
                <w:rFonts w:hint="eastAsia" w:ascii="仿宋" w:hAnsi="仿宋" w:eastAsia="仿宋" w:cs="仿宋"/>
                <w:color w:val="auto"/>
                <w:sz w:val="24"/>
                <w:szCs w:val="24"/>
                <w:highlight w:val="none"/>
                <w:lang w:val="en-US" w:eastAsia="zh-CN"/>
              </w:rPr>
              <w:t>说明、</w:t>
            </w:r>
            <w:r>
              <w:rPr>
                <w:rFonts w:hint="eastAsia" w:ascii="仿宋" w:hAnsi="仿宋" w:eastAsia="仿宋" w:cs="仿宋"/>
                <w:color w:val="auto"/>
                <w:kern w:val="2"/>
                <w:sz w:val="24"/>
                <w:szCs w:val="24"/>
                <w:lang w:val="en-US" w:eastAsia="zh-CN" w:bidi="ar-SA"/>
              </w:rPr>
              <w:t>澄清或者修改。</w:t>
            </w:r>
          </w:p>
          <w:p w14:paraId="4E091996">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2.</w:t>
            </w:r>
            <w:r>
              <w:rPr>
                <w:rFonts w:hint="eastAsia" w:ascii="仿宋" w:hAnsi="仿宋" w:eastAsia="仿宋" w:cs="仿宋"/>
                <w:sz w:val="24"/>
                <w:szCs w:val="24"/>
                <w:lang w:val="en-US" w:eastAsia="zh-CN"/>
              </w:rPr>
              <w:t>说明、澄清或修改</w:t>
            </w:r>
            <w:r>
              <w:rPr>
                <w:rFonts w:hint="eastAsia" w:ascii="仿宋" w:hAnsi="仿宋" w:eastAsia="仿宋" w:cs="仿宋"/>
                <w:color w:val="auto"/>
                <w:kern w:val="2"/>
                <w:sz w:val="24"/>
                <w:szCs w:val="24"/>
                <w:lang w:val="en-US" w:eastAsia="zh-CN" w:bidi="ar-SA"/>
              </w:rPr>
              <w:t>的内容为招标文件的组成部分，采购人或者代理机构将在陕西省政府采购网以公告形式通知所有已合法获取招标文件的供应商。澄清、修改内容可能影响投标文件编制的，应在投标截止之日15日前进行，不足顺延。</w:t>
            </w:r>
          </w:p>
          <w:p w14:paraId="092D8E93">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3.供应商应及时关注并了解本项目更正信息，按更正后的最新要求进行应标，若未按最新要求应标的，自行承担不利后果。采购人或代理机构不承担由于供应商联络信息不准确、人员变动等自身原因造成的信息接收不及时、不准确等后果。</w:t>
            </w:r>
          </w:p>
        </w:tc>
      </w:tr>
      <w:tr w14:paraId="20649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65989576">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4.2</w:t>
            </w:r>
          </w:p>
        </w:tc>
        <w:tc>
          <w:tcPr>
            <w:tcW w:w="1907" w:type="dxa"/>
            <w:vAlign w:val="center"/>
          </w:tcPr>
          <w:p w14:paraId="11FB1B2F">
            <w:pPr>
              <w:keepNext w:val="0"/>
              <w:keepLines w:val="0"/>
              <w:pageBreakBefore w:val="0"/>
              <w:widowControl/>
              <w:kinsoku/>
              <w:wordWrap/>
              <w:overflowPunct/>
              <w:topLinePunct w:val="0"/>
              <w:autoSpaceDE/>
              <w:autoSpaceDN/>
              <w:bidi w:val="0"/>
              <w:adjustRightInd/>
              <w:spacing w:beforeAutospacing="0" w:afterAutospacing="0" w:line="500" w:lineRule="exact"/>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供应商对</w:t>
            </w:r>
            <w:r>
              <w:rPr>
                <w:rFonts w:hint="eastAsia" w:ascii="仿宋" w:hAnsi="仿宋" w:eastAsia="仿宋" w:cs="仿宋"/>
                <w:color w:val="auto"/>
                <w:sz w:val="24"/>
                <w:szCs w:val="24"/>
                <w:lang w:val="en-US" w:eastAsia="zh-CN"/>
              </w:rPr>
              <w:t>招标</w:t>
            </w:r>
            <w:r>
              <w:rPr>
                <w:rFonts w:hint="eastAsia" w:ascii="仿宋" w:hAnsi="仿宋" w:eastAsia="仿宋" w:cs="仿宋"/>
                <w:color w:val="auto"/>
                <w:kern w:val="0"/>
                <w:sz w:val="24"/>
                <w:szCs w:val="24"/>
                <w:highlight w:val="none"/>
                <w:lang w:val="en-US" w:eastAsia="zh-CN"/>
              </w:rPr>
              <w:t>文件的</w:t>
            </w:r>
            <w:r>
              <w:rPr>
                <w:rFonts w:hint="eastAsia" w:ascii="仿宋" w:hAnsi="仿宋" w:eastAsia="仿宋" w:cs="仿宋"/>
                <w:color w:val="auto"/>
                <w:sz w:val="24"/>
                <w:szCs w:val="24"/>
                <w:highlight w:val="none"/>
                <w:lang w:val="en-US" w:eastAsia="zh-CN"/>
              </w:rPr>
              <w:t>咨询</w:t>
            </w:r>
          </w:p>
        </w:tc>
        <w:tc>
          <w:tcPr>
            <w:tcW w:w="6589" w:type="dxa"/>
            <w:vAlign w:val="top"/>
          </w:tcPr>
          <w:p w14:paraId="5F1E5362">
            <w:pPr>
              <w:keepNext w:val="0"/>
              <w:keepLines w:val="0"/>
              <w:pageBreakBefore w:val="0"/>
              <w:widowControl/>
              <w:numPr>
                <w:ilvl w:val="0"/>
                <w:numId w:val="0"/>
              </w:numPr>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highlight w:val="cyan"/>
                <w:lang w:val="en-US" w:eastAsia="zh-CN"/>
              </w:rPr>
            </w:pPr>
            <w:r>
              <w:rPr>
                <w:rFonts w:hint="eastAsia" w:ascii="仿宋" w:hAnsi="仿宋" w:eastAsia="仿宋" w:cs="仿宋"/>
                <w:color w:val="auto"/>
                <w:kern w:val="0"/>
                <w:sz w:val="24"/>
                <w:szCs w:val="24"/>
                <w:highlight w:val="none"/>
                <w:lang w:val="en-US" w:eastAsia="zh-CN"/>
              </w:rPr>
              <w:t>1.供应商</w:t>
            </w:r>
            <w:r>
              <w:rPr>
                <w:rFonts w:hint="eastAsia" w:ascii="仿宋" w:hAnsi="仿宋" w:eastAsia="仿宋" w:cs="仿宋"/>
                <w:color w:val="auto"/>
                <w:sz w:val="24"/>
                <w:szCs w:val="24"/>
                <w:highlight w:val="none"/>
                <w:lang w:val="en-US" w:eastAsia="zh-CN"/>
              </w:rPr>
              <w:t>获取</w:t>
            </w:r>
            <w:r>
              <w:rPr>
                <w:rFonts w:hint="eastAsia" w:ascii="仿宋" w:hAnsi="仿宋" w:eastAsia="仿宋" w:cs="仿宋"/>
                <w:color w:val="auto"/>
                <w:sz w:val="24"/>
                <w:szCs w:val="24"/>
                <w:lang w:val="en-US" w:eastAsia="zh-CN"/>
              </w:rPr>
              <w:t>招标</w:t>
            </w:r>
            <w:r>
              <w:rPr>
                <w:rFonts w:hint="eastAsia" w:ascii="仿宋" w:hAnsi="仿宋" w:eastAsia="仿宋" w:cs="仿宋"/>
                <w:color w:val="auto"/>
                <w:kern w:val="0"/>
                <w:sz w:val="24"/>
                <w:szCs w:val="24"/>
                <w:highlight w:val="none"/>
                <w:lang w:val="en-US" w:eastAsia="zh-CN"/>
              </w:rPr>
              <w:t>文件后，应尽快阅读，</w:t>
            </w:r>
            <w:r>
              <w:rPr>
                <w:rFonts w:hint="eastAsia" w:ascii="仿宋" w:hAnsi="仿宋" w:eastAsia="仿宋" w:cs="仿宋"/>
                <w:color w:val="auto"/>
                <w:sz w:val="24"/>
                <w:highlight w:val="none"/>
                <w:lang w:val="en-US" w:eastAsia="zh-CN"/>
              </w:rPr>
              <w:t>对于</w:t>
            </w:r>
            <w:r>
              <w:rPr>
                <w:rFonts w:hint="eastAsia" w:ascii="仿宋" w:hAnsi="仿宋" w:eastAsia="仿宋" w:cs="仿宋"/>
                <w:color w:val="auto"/>
                <w:sz w:val="24"/>
                <w:szCs w:val="24"/>
                <w:lang w:val="en-US" w:eastAsia="zh-CN"/>
              </w:rPr>
              <w:t>招标</w:t>
            </w:r>
            <w:r>
              <w:rPr>
                <w:rFonts w:hint="eastAsia" w:ascii="仿宋" w:hAnsi="仿宋" w:eastAsia="仿宋" w:cs="仿宋"/>
                <w:color w:val="auto"/>
                <w:sz w:val="24"/>
                <w:highlight w:val="none"/>
                <w:lang w:val="en-US" w:eastAsia="zh-CN"/>
              </w:rPr>
              <w:t>文件中出现的同一内容前后不一致、表述不准确、笔误/瑕疵、漏项等问题，供应商应及时向代理公司提出咨询、确认，否则应视为其完全理解和接受</w:t>
            </w:r>
            <w:r>
              <w:rPr>
                <w:rFonts w:hint="eastAsia" w:ascii="仿宋" w:hAnsi="仿宋" w:eastAsia="仿宋" w:cs="仿宋"/>
                <w:color w:val="auto"/>
                <w:sz w:val="24"/>
                <w:szCs w:val="24"/>
                <w:lang w:val="en-US" w:eastAsia="zh-CN"/>
              </w:rPr>
              <w:t>招标</w:t>
            </w:r>
            <w:r>
              <w:rPr>
                <w:rFonts w:hint="eastAsia" w:ascii="仿宋" w:hAnsi="仿宋" w:eastAsia="仿宋" w:cs="仿宋"/>
                <w:color w:val="auto"/>
                <w:sz w:val="24"/>
                <w:highlight w:val="none"/>
                <w:lang w:val="en-US" w:eastAsia="zh-CN"/>
              </w:rPr>
              <w:t>文件，对此造成的投标不良后果自担</w:t>
            </w:r>
            <w:r>
              <w:rPr>
                <w:rFonts w:hint="eastAsia" w:ascii="仿宋" w:hAnsi="仿宋" w:eastAsia="仿宋" w:cs="仿宋"/>
                <w:color w:val="auto"/>
                <w:sz w:val="24"/>
                <w:szCs w:val="24"/>
                <w:highlight w:val="none"/>
                <w:lang w:val="en-US" w:eastAsia="zh-CN"/>
              </w:rPr>
              <w:t>。</w:t>
            </w:r>
          </w:p>
          <w:p w14:paraId="3A454FF0">
            <w:pPr>
              <w:keepNext w:val="0"/>
              <w:keepLines w:val="0"/>
              <w:pageBreakBefore w:val="0"/>
              <w:widowControl/>
              <w:numPr>
                <w:ilvl w:val="0"/>
                <w:numId w:val="0"/>
              </w:numPr>
              <w:kinsoku/>
              <w:wordWrap/>
              <w:overflowPunct/>
              <w:topLinePunct w:val="0"/>
              <w:autoSpaceDE/>
              <w:autoSpaceDN/>
              <w:bidi w:val="0"/>
              <w:adjustRightInd/>
              <w:spacing w:beforeAutospacing="0" w:afterAutospacing="0" w:line="50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2.供应商未及时查看获取项目相关信息及对招标文件的自我理解、判定、推测等造成的不利后果，供应商自行承担。</w:t>
            </w:r>
          </w:p>
          <w:p w14:paraId="482F3E46">
            <w:pPr>
              <w:keepNext w:val="0"/>
              <w:keepLines w:val="0"/>
              <w:pageBreakBefore w:val="0"/>
              <w:widowControl/>
              <w:numPr>
                <w:ilvl w:val="0"/>
                <w:numId w:val="0"/>
              </w:numPr>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kern w:val="0"/>
                <w:sz w:val="24"/>
                <w:szCs w:val="24"/>
                <w:highlight w:val="none"/>
                <w:lang w:val="en-US" w:eastAsia="zh-CN"/>
              </w:rPr>
              <w:t>3.采购人有权拒绝接收或回复供应商逾期提出的任何要求。</w:t>
            </w:r>
          </w:p>
        </w:tc>
      </w:tr>
      <w:tr w14:paraId="72C3D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404AFAD7">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highlight w:val="none"/>
                <w:lang w:val="en-US" w:eastAsia="zh-CN"/>
              </w:rPr>
              <w:t>5</w:t>
            </w:r>
          </w:p>
        </w:tc>
        <w:tc>
          <w:tcPr>
            <w:tcW w:w="1907" w:type="dxa"/>
            <w:tcBorders>
              <w:right w:val="nil"/>
            </w:tcBorders>
            <w:vAlign w:val="center"/>
          </w:tcPr>
          <w:p w14:paraId="4A628B1C">
            <w:pPr>
              <w:pStyle w:val="10"/>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投标</w:t>
            </w:r>
            <w:r>
              <w:rPr>
                <w:rFonts w:hint="eastAsia" w:ascii="仿宋" w:hAnsi="仿宋" w:eastAsia="仿宋" w:cs="仿宋"/>
                <w:color w:val="auto"/>
                <w:sz w:val="24"/>
                <w:szCs w:val="24"/>
              </w:rPr>
              <w:t>文件</w:t>
            </w:r>
          </w:p>
        </w:tc>
        <w:tc>
          <w:tcPr>
            <w:tcW w:w="6589" w:type="dxa"/>
            <w:tcBorders>
              <w:left w:val="nil"/>
            </w:tcBorders>
            <w:vAlign w:val="top"/>
          </w:tcPr>
          <w:p w14:paraId="04FD0AD3">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0"/>
                <w:sz w:val="24"/>
                <w:szCs w:val="24"/>
                <w:lang w:val="en-US" w:eastAsia="zh-CN"/>
              </w:rPr>
            </w:pPr>
          </w:p>
        </w:tc>
      </w:tr>
      <w:tr w14:paraId="60FA0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7D38CBC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kern w:val="2"/>
                <w:sz w:val="24"/>
                <w:szCs w:val="24"/>
                <w:lang w:val="en-US" w:eastAsia="zh-CN" w:bidi="ar-SA"/>
              </w:rPr>
              <w:t>.1</w:t>
            </w:r>
          </w:p>
        </w:tc>
        <w:tc>
          <w:tcPr>
            <w:tcW w:w="1907" w:type="dxa"/>
            <w:shd w:val="clear" w:color="auto" w:fill="auto"/>
            <w:vAlign w:val="center"/>
          </w:tcPr>
          <w:p w14:paraId="05C9431F">
            <w:pPr>
              <w:pStyle w:val="10"/>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lang w:val="en-US" w:eastAsia="zh-CN"/>
              </w:rPr>
              <w:t>供应商对</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lang w:val="en-US" w:eastAsia="zh-CN"/>
              </w:rPr>
              <w:t>文件的补充、修改、澄清</w:t>
            </w:r>
          </w:p>
        </w:tc>
        <w:tc>
          <w:tcPr>
            <w:tcW w:w="6589" w:type="dxa"/>
            <w:shd w:val="clear" w:color="auto" w:fill="auto"/>
            <w:vAlign w:val="top"/>
          </w:tcPr>
          <w:p w14:paraId="67D1BEFD">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1.供应商</w:t>
            </w:r>
            <w:r>
              <w:rPr>
                <w:rFonts w:hint="eastAsia" w:ascii="仿宋" w:hAnsi="仿宋" w:eastAsia="仿宋" w:cs="仿宋"/>
                <w:color w:val="auto"/>
                <w:kern w:val="0"/>
                <w:sz w:val="24"/>
                <w:szCs w:val="24"/>
              </w:rPr>
              <w:t>在</w:t>
            </w:r>
            <w:r>
              <w:rPr>
                <w:rFonts w:hint="eastAsia" w:ascii="仿宋" w:hAnsi="仿宋" w:eastAsia="仿宋" w:cs="仿宋"/>
                <w:color w:val="auto"/>
                <w:kern w:val="0"/>
                <w:sz w:val="24"/>
                <w:szCs w:val="24"/>
                <w:lang w:val="en-US" w:eastAsia="zh-CN"/>
              </w:rPr>
              <w:t>投标</w:t>
            </w:r>
            <w:r>
              <w:rPr>
                <w:rFonts w:hint="eastAsia" w:ascii="仿宋" w:hAnsi="仿宋" w:eastAsia="仿宋" w:cs="仿宋"/>
                <w:color w:val="auto"/>
                <w:kern w:val="0"/>
                <w:sz w:val="24"/>
                <w:szCs w:val="24"/>
              </w:rPr>
              <w:t>截止时间</w:t>
            </w:r>
            <w:r>
              <w:rPr>
                <w:rFonts w:hint="eastAsia" w:ascii="仿宋" w:hAnsi="仿宋" w:eastAsia="仿宋" w:cs="仿宋"/>
                <w:color w:val="auto"/>
                <w:sz w:val="24"/>
                <w:szCs w:val="24"/>
                <w:highlight w:val="none"/>
                <w:lang w:val="en-US" w:eastAsia="zh-CN"/>
              </w:rPr>
              <w:t>前，供应商可以补充、修改或者撤回已成功提交的投标文件；对投标文件进行补充、修改的，应当先行撤回已提交的投标文件，补充、修改后重新提交。</w:t>
            </w:r>
          </w:p>
          <w:p w14:paraId="7F700373">
            <w:pPr>
              <w:keepNext w:val="0"/>
              <w:keepLines w:val="0"/>
              <w:pageBreakBefore w:val="0"/>
              <w:kinsoku/>
              <w:wordWrap/>
              <w:overflowPunct/>
              <w:topLinePunct w:val="0"/>
              <w:autoSpaceDE/>
              <w:autoSpaceDN/>
              <w:bidi w:val="0"/>
              <w:adjustRightInd/>
              <w:spacing w:line="500" w:lineRule="exact"/>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2.供应商投标文件撤回后，视为未提交投标文件。</w:t>
            </w:r>
          </w:p>
        </w:tc>
      </w:tr>
      <w:tr w14:paraId="1CBF3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12AD38D8">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5.2</w:t>
            </w:r>
          </w:p>
        </w:tc>
        <w:tc>
          <w:tcPr>
            <w:tcW w:w="1907" w:type="dxa"/>
            <w:shd w:val="clear" w:color="auto" w:fill="auto"/>
            <w:vAlign w:val="center"/>
          </w:tcPr>
          <w:p w14:paraId="0A92E65A">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报</w:t>
            </w:r>
            <w:r>
              <w:rPr>
                <w:rFonts w:hint="eastAsia" w:ascii="仿宋" w:hAnsi="仿宋" w:eastAsia="仿宋" w:cs="仿宋"/>
                <w:sz w:val="24"/>
                <w:szCs w:val="24"/>
                <w:highlight w:val="none"/>
              </w:rPr>
              <w:t>价</w:t>
            </w:r>
          </w:p>
        </w:tc>
        <w:tc>
          <w:tcPr>
            <w:tcW w:w="6589" w:type="dxa"/>
            <w:shd w:val="clear" w:color="auto" w:fill="auto"/>
            <w:vAlign w:val="center"/>
          </w:tcPr>
          <w:p w14:paraId="6CFC9074">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1.人民币报价，为含税价。</w:t>
            </w:r>
          </w:p>
          <w:p w14:paraId="1E4A3A83">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2.本项目为固定总价合同（全费用交钥匙价），包含按采购要求及投标响应完成本项目所发生的可预见和不可预见的一切费用，采购人不再支付任何费用（合同另有约定的事项除外）。</w:t>
            </w:r>
          </w:p>
          <w:p w14:paraId="2503E35D">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3.本项目中标价在合同期内应固定不变。（不可抗力、法定情形或合法变更等影响价格情形除外）。</w:t>
            </w:r>
          </w:p>
          <w:p w14:paraId="715A227D">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供应商应全面考虑风险，及时了解和掌握项目情况及所在地区与本项目相关的政策、规定及价格等情况，结合企业自身技术力量、装备管理水平及市场行情，做到报价准确合理、合法合规，减少失误。不得违反《价格法》和《反不正当竞争法》的相关规定。因误读、理解偏差、对文件、项目或政策了解不全等原因造成的后果，将按照对采购人有利的方法进行处理，不利后果由供应商自行承担。</w:t>
            </w:r>
          </w:p>
          <w:p w14:paraId="69C57A1D">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5.若有“免费”视为表述，对其相应成本费用视为已均摊入投标报价中。漏报、少报费用也视为已含在投标报价中（实质性要求除外），且不对招标范围、招标内容及项目质量等完整履约产生任何影响</w:t>
            </w:r>
            <w:r>
              <w:rPr>
                <w:rFonts w:hint="eastAsia" w:ascii="仿宋" w:hAnsi="仿宋" w:eastAsia="仿宋" w:cs="仿宋"/>
                <w:color w:val="auto"/>
                <w:sz w:val="24"/>
                <w:szCs w:val="24"/>
                <w:lang w:val="en-US" w:eastAsia="zh-CN"/>
              </w:rPr>
              <w:t>。</w:t>
            </w:r>
          </w:p>
        </w:tc>
      </w:tr>
      <w:tr w14:paraId="08363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051B3731">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5.3</w:t>
            </w:r>
          </w:p>
        </w:tc>
        <w:tc>
          <w:tcPr>
            <w:tcW w:w="1907" w:type="dxa"/>
            <w:shd w:val="clear" w:color="auto" w:fill="auto"/>
            <w:vAlign w:val="center"/>
          </w:tcPr>
          <w:p w14:paraId="1EF6C7D7">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投标响应</w:t>
            </w:r>
          </w:p>
        </w:tc>
        <w:tc>
          <w:tcPr>
            <w:tcW w:w="6589" w:type="dxa"/>
            <w:shd w:val="clear" w:color="auto" w:fill="auto"/>
            <w:vAlign w:val="center"/>
          </w:tcPr>
          <w:p w14:paraId="62BEBB1F">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投标提供的货物、技术、质量、服务等应满足国家、行业现行标准规范及本次采购要求是基本要求；对于国家、行业相关的强制性要求，无论招标文件是否要求/规定，投标人也均应完全满足且提供必须的佐证资料，否则投标无效。</w:t>
            </w:r>
          </w:p>
          <w:p w14:paraId="2F191B64">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评标小组须依据招标文件规定的关联文件进行要素评审：关联文件相应内容与投标文件前后不一致，以关联文件内容为准；投标文件其他内容前后不一致，以澄清后的内容为准，若未经澄清，则以对采购人有利的内容为准。</w:t>
            </w:r>
          </w:p>
          <w:p w14:paraId="36C26916">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3.若合同签订或履约期间与项目相关的国家、行业标准规范废止或更新，双方可依法进行上报、变更，经监督管理部门审核批准后，由合同双方以补充协议的方式进行并做好详细说明、记录。</w:t>
            </w:r>
          </w:p>
          <w:p w14:paraId="6879DD69">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4.中标后/合同签订前，采购人有权对中标人的投标文件原件及关键参数、功能进行核查、检验，拒不配合或有不实，可上报监管部门随时取消其中标资格，造成损失的就当赔偿。</w:t>
            </w:r>
          </w:p>
        </w:tc>
      </w:tr>
      <w:tr w14:paraId="1FE2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251DCBAF">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5.4</w:t>
            </w:r>
          </w:p>
        </w:tc>
        <w:tc>
          <w:tcPr>
            <w:tcW w:w="1907" w:type="dxa"/>
            <w:vAlign w:val="center"/>
          </w:tcPr>
          <w:p w14:paraId="0349E79E">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rPr>
              <w:t>投标</w:t>
            </w:r>
            <w:r>
              <w:rPr>
                <w:rFonts w:hint="eastAsia" w:ascii="仿宋" w:hAnsi="仿宋" w:eastAsia="仿宋" w:cs="仿宋"/>
                <w:color w:val="auto"/>
                <w:sz w:val="24"/>
                <w:szCs w:val="24"/>
                <w:highlight w:val="none"/>
                <w:lang w:val="en-US" w:eastAsia="zh-CN"/>
              </w:rPr>
              <w:t>备选方案</w:t>
            </w:r>
          </w:p>
        </w:tc>
        <w:tc>
          <w:tcPr>
            <w:tcW w:w="6589" w:type="dxa"/>
            <w:vAlign w:val="center"/>
          </w:tcPr>
          <w:p w14:paraId="1FD66A72">
            <w:pPr>
              <w:keepNext w:val="0"/>
              <w:keepLines w:val="0"/>
              <w:pageBreakBefore w:val="0"/>
              <w:kinsoku/>
              <w:wordWrap/>
              <w:overflowPunct/>
              <w:topLinePunct w:val="0"/>
              <w:autoSpaceDE/>
              <w:autoSpaceDN/>
              <w:bidi w:val="0"/>
              <w:adjustRightInd/>
              <w:snapToGrid w:val="0"/>
              <w:spacing w:line="500" w:lineRule="exact"/>
              <w:jc w:val="left"/>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不允许</w:t>
            </w:r>
          </w:p>
        </w:tc>
      </w:tr>
      <w:tr w14:paraId="3D5AE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shd w:val="clear" w:color="auto" w:fill="auto"/>
            <w:vAlign w:val="center"/>
          </w:tcPr>
          <w:p w14:paraId="2F6E477B">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6</w:t>
            </w:r>
          </w:p>
        </w:tc>
        <w:tc>
          <w:tcPr>
            <w:tcW w:w="1907" w:type="dxa"/>
            <w:shd w:val="clear" w:color="auto" w:fill="auto"/>
            <w:vAlign w:val="center"/>
          </w:tcPr>
          <w:p w14:paraId="4413C4F5">
            <w:pPr>
              <w:pStyle w:val="4"/>
              <w:keepNext w:val="0"/>
              <w:keepLines w:val="0"/>
              <w:pageBreakBefore w:val="0"/>
              <w:kinsoku/>
              <w:wordWrap/>
              <w:overflowPunct/>
              <w:topLinePunct w:val="0"/>
              <w:autoSpaceDE/>
              <w:autoSpaceDN/>
              <w:bidi w:val="0"/>
              <w:adjustRightInd/>
              <w:spacing w:before="0" w:beforeAutospacing="0" w:afterAutospacing="0" w:line="500" w:lineRule="exact"/>
              <w:jc w:val="center"/>
              <w:textAlignment w:val="auto"/>
              <w:rPr>
                <w:rFonts w:hint="eastAsia" w:ascii="仿宋" w:hAnsi="仿宋" w:eastAsia="仿宋" w:cs="仿宋"/>
                <w:strike/>
                <w:dstrike w:val="0"/>
                <w:color w:val="auto"/>
                <w:kern w:val="2"/>
                <w:sz w:val="24"/>
                <w:szCs w:val="24"/>
                <w:highlight w:val="none"/>
                <w:lang w:val="en-US" w:eastAsia="zh-CN" w:bidi="ar-SA"/>
              </w:rPr>
            </w:pPr>
            <w:r>
              <w:rPr>
                <w:rFonts w:hint="eastAsia" w:ascii="仿宋" w:hAnsi="仿宋" w:eastAsia="仿宋" w:cs="仿宋"/>
                <w:strike w:val="0"/>
                <w:dstrike w:val="0"/>
                <w:color w:val="auto"/>
                <w:szCs w:val="24"/>
                <w:highlight w:val="none"/>
                <w:lang w:val="en-US" w:eastAsia="zh-CN"/>
              </w:rPr>
              <w:t>产品包装</w:t>
            </w:r>
          </w:p>
        </w:tc>
        <w:tc>
          <w:tcPr>
            <w:tcW w:w="6589" w:type="dxa"/>
            <w:shd w:val="clear" w:color="auto" w:fill="auto"/>
            <w:vAlign w:val="center"/>
          </w:tcPr>
          <w:p w14:paraId="39C996FE">
            <w:pPr>
              <w:keepNext w:val="0"/>
              <w:keepLines w:val="0"/>
              <w:pageBreakBefore w:val="0"/>
              <w:widowControl w:val="0"/>
              <w:kinsoku/>
              <w:wordWrap/>
              <w:overflowPunct/>
              <w:topLinePunct w:val="0"/>
              <w:autoSpaceDE/>
              <w:autoSpaceDN/>
              <w:bidi w:val="0"/>
              <w:adjustRightInd/>
              <w:snapToGrid/>
              <w:spacing w:beforeAutospacing="0" w:afterAutospacing="0" w:line="500" w:lineRule="exact"/>
              <w:textAlignment w:val="auto"/>
              <w:rPr>
                <w:rFonts w:hint="eastAsia" w:ascii="仿宋" w:hAnsi="仿宋" w:eastAsia="仿宋" w:cs="仿宋"/>
                <w:strike/>
                <w:dstrike w:val="0"/>
                <w:color w:val="auto"/>
                <w:kern w:val="2"/>
                <w:sz w:val="24"/>
                <w:szCs w:val="24"/>
                <w:highlight w:val="green"/>
                <w:lang w:val="en-US" w:eastAsia="zh-CN" w:bidi="ar-SA"/>
              </w:rPr>
            </w:pPr>
            <w:r>
              <w:rPr>
                <w:rFonts w:hint="eastAsia" w:ascii="仿宋" w:hAnsi="仿宋" w:eastAsia="仿宋" w:cs="仿宋"/>
                <w:color w:val="auto"/>
                <w:sz w:val="24"/>
                <w:szCs w:val="24"/>
                <w:highlight w:val="none"/>
                <w:lang w:val="en-US" w:eastAsia="zh-CN"/>
              </w:rPr>
              <w:t>符合财办库〔2020〕123号文《商品包装政府采购需求标准（试行）》、《快递包装政府采购需求标准（试行）》的要求。</w:t>
            </w:r>
          </w:p>
        </w:tc>
      </w:tr>
      <w:tr w14:paraId="71399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shd w:val="clear" w:color="auto" w:fill="auto"/>
            <w:vAlign w:val="center"/>
          </w:tcPr>
          <w:p w14:paraId="448592EB">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7</w:t>
            </w:r>
          </w:p>
        </w:tc>
        <w:tc>
          <w:tcPr>
            <w:tcW w:w="1907" w:type="dxa"/>
            <w:shd w:val="clear" w:color="auto" w:fill="auto"/>
            <w:vAlign w:val="center"/>
          </w:tcPr>
          <w:p w14:paraId="39CFA701">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center"/>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进口产品</w:t>
            </w:r>
          </w:p>
        </w:tc>
        <w:tc>
          <w:tcPr>
            <w:tcW w:w="6589" w:type="dxa"/>
            <w:shd w:val="clear" w:color="auto" w:fill="auto"/>
            <w:vAlign w:val="center"/>
          </w:tcPr>
          <w:p w14:paraId="45C4793C">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/（指终端标的）</w:t>
            </w:r>
          </w:p>
        </w:tc>
      </w:tr>
      <w:tr w14:paraId="041D1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shd w:val="clear" w:color="auto" w:fill="auto"/>
            <w:vAlign w:val="center"/>
          </w:tcPr>
          <w:p w14:paraId="51B7207B">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8</w:t>
            </w:r>
          </w:p>
        </w:tc>
        <w:tc>
          <w:tcPr>
            <w:tcW w:w="1907" w:type="dxa"/>
            <w:shd w:val="clear" w:color="auto" w:fill="auto"/>
            <w:vAlign w:val="center"/>
          </w:tcPr>
          <w:p w14:paraId="48FF7038">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w:t>
            </w:r>
            <w:r>
              <w:rPr>
                <w:rFonts w:hint="eastAsia" w:ascii="仿宋" w:hAnsi="仿宋" w:eastAsia="仿宋" w:cs="仿宋"/>
                <w:b w:val="0"/>
                <w:bCs w:val="0"/>
                <w:color w:val="auto"/>
                <w:kern w:val="0"/>
                <w:sz w:val="24"/>
                <w:szCs w:val="24"/>
                <w:lang w:val="en-US" w:eastAsia="zh-CN" w:bidi="ar-SA"/>
              </w:rPr>
              <w:t>实质性要求</w:t>
            </w:r>
          </w:p>
        </w:tc>
        <w:tc>
          <w:tcPr>
            <w:tcW w:w="6589" w:type="dxa"/>
            <w:shd w:val="clear" w:color="auto" w:fill="auto"/>
            <w:vAlign w:val="center"/>
          </w:tcPr>
          <w:p w14:paraId="577BBED3">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0"/>
                <w:sz w:val="24"/>
                <w:szCs w:val="24"/>
                <w:lang w:val="en-US" w:eastAsia="zh-CN" w:bidi="ar-SA"/>
              </w:rPr>
              <w:t>1.供应商资格要求；2.符合性要求；</w:t>
            </w:r>
            <w:r>
              <w:rPr>
                <w:rFonts w:hint="eastAsia" w:ascii="仿宋" w:hAnsi="仿宋" w:eastAsia="仿宋" w:cs="仿宋"/>
                <w:b w:val="0"/>
                <w:bCs w:val="0"/>
                <w:color w:val="auto"/>
                <w:sz w:val="24"/>
                <w:szCs w:val="24"/>
                <w:highlight w:val="none"/>
                <w:lang w:val="en-US" w:eastAsia="zh-CN"/>
              </w:rPr>
              <w:t>3.法律法规和招标文件规定的其他实质性要求。</w:t>
            </w:r>
          </w:p>
        </w:tc>
      </w:tr>
      <w:tr w14:paraId="69C89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shd w:val="clear" w:color="auto" w:fill="auto"/>
            <w:vAlign w:val="center"/>
          </w:tcPr>
          <w:p w14:paraId="7DA6474D">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9</w:t>
            </w:r>
          </w:p>
        </w:tc>
        <w:tc>
          <w:tcPr>
            <w:tcW w:w="1907" w:type="dxa"/>
            <w:shd w:val="clear" w:color="auto" w:fill="auto"/>
            <w:vAlign w:val="center"/>
          </w:tcPr>
          <w:p w14:paraId="6157D5EC">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b w:val="0"/>
                <w:bCs w:val="0"/>
                <w:color w:val="auto"/>
                <w:kern w:val="0"/>
                <w:sz w:val="24"/>
                <w:szCs w:val="24"/>
                <w:lang w:val="en-US" w:eastAsia="zh-CN" w:bidi="ar-SA"/>
              </w:rPr>
              <w:t>约定与标准</w:t>
            </w:r>
          </w:p>
        </w:tc>
        <w:tc>
          <w:tcPr>
            <w:tcW w:w="6589" w:type="dxa"/>
            <w:shd w:val="clear" w:color="auto" w:fill="auto"/>
            <w:vAlign w:val="center"/>
          </w:tcPr>
          <w:p w14:paraId="64F6407A">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1.中标人在投标或履约过程中，应严格遵守诚信原则与全面履约义务。对于采购活动中有关服务、质量、技术等约定不明确的，应首先按国家强制性标准、推荐性标准、地方标准依次执行，其次应符合国家、行业/地方现行标准规范和采购要求，最终达到满足实现本合同目的和功能的特定标准。</w:t>
            </w:r>
          </w:p>
          <w:p w14:paraId="23AA635B">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2.本招标文件所拟订的技术为基本/主要技术要求，并未对一切技术细节做出规定，也未充分引述有关标准和规范条文，供应商所提供的服务、货物、性能和功能应不低于本文件条款的要求，并应按本招标文件的要求提交符合本技术要求规定及与项目有关的完整的技术方案。</w:t>
            </w:r>
          </w:p>
          <w:p w14:paraId="53A57BA8">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3.供应商必须保证所提供服务、货物等的质量满足国家或行业现行法律法规及相关规章和采购要求，并且承担所有在合同中指定的责任和义务。</w:t>
            </w:r>
          </w:p>
          <w:p w14:paraId="2990D06D">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4.供应商拟提供的产品须是成熟的、先进的、市场供应充足的、能保证正常履约的。中标后不能以任何理由对招投标做实质性的修改（如变更货物品牌、减少配置、改变性能功能、变更价格、减少数量、服务内容、服务标准、交货期等），导致采购人与中标人之间权利义务发生重大变化。若确实需要变更，则由采购人上报监管部门审批，依法进行处理。</w:t>
            </w:r>
          </w:p>
          <w:p w14:paraId="6E6D9403">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5.供应商的投标，视为已充分考虑了本项目的特殊性、作业限制性及现场可能存在的所有现场风险，所报价格已涵盖了本项目已明确或未明确但与项目相关联的伴随服务等全部内容，无漏项、缺项，后续不能因未踏勘、未核实现场信息、现场细节及其他问题提出任何调价、索赔和异议。</w:t>
            </w:r>
          </w:p>
          <w:p w14:paraId="6F14E612">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default"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6.中标后若遇相关强制性标准变更导致无法正常履约（或采购方要求按新标准执行），经监督部门审批同意后，双方可签定补充协议，协商按新标准调整方案。</w:t>
            </w:r>
          </w:p>
        </w:tc>
      </w:tr>
      <w:tr w14:paraId="5D096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shd w:val="clear" w:color="auto" w:fill="auto"/>
            <w:vAlign w:val="center"/>
          </w:tcPr>
          <w:p w14:paraId="39C187B3">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10</w:t>
            </w:r>
          </w:p>
        </w:tc>
        <w:tc>
          <w:tcPr>
            <w:tcW w:w="1907" w:type="dxa"/>
            <w:shd w:val="clear" w:color="auto" w:fill="auto"/>
            <w:vAlign w:val="center"/>
          </w:tcPr>
          <w:p w14:paraId="01A5CA59">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数字计算</w:t>
            </w:r>
          </w:p>
        </w:tc>
        <w:tc>
          <w:tcPr>
            <w:tcW w:w="6589" w:type="dxa"/>
            <w:shd w:val="clear" w:color="auto" w:fill="auto"/>
            <w:vAlign w:val="center"/>
          </w:tcPr>
          <w:p w14:paraId="2DD5B8E2">
            <w:pPr>
              <w:keepNext w:val="0"/>
              <w:keepLines w:val="0"/>
              <w:pageBreakBefore w:val="0"/>
              <w:kinsoku/>
              <w:wordWrap/>
              <w:overflowPunct/>
              <w:topLinePunct w:val="0"/>
              <w:autoSpaceDE/>
              <w:autoSpaceDN/>
              <w:bidi w:val="0"/>
              <w:adjustRightInd/>
              <w:spacing w:line="500" w:lineRule="exact"/>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四舍五入，保留小数点后两位</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（特殊说明除外）</w:t>
            </w:r>
          </w:p>
        </w:tc>
      </w:tr>
      <w:tr w14:paraId="34AEC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shd w:val="clear" w:color="auto" w:fill="auto"/>
            <w:vAlign w:val="center"/>
          </w:tcPr>
          <w:p w14:paraId="7D3A0A99">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11</w:t>
            </w:r>
          </w:p>
        </w:tc>
        <w:tc>
          <w:tcPr>
            <w:tcW w:w="1907" w:type="dxa"/>
            <w:tcBorders>
              <w:right w:val="nil"/>
            </w:tcBorders>
            <w:vAlign w:val="center"/>
          </w:tcPr>
          <w:p w14:paraId="5B230032">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lang w:eastAsia="zh-CN"/>
              </w:rPr>
              <w:t>中小企业</w:t>
            </w:r>
          </w:p>
        </w:tc>
        <w:tc>
          <w:tcPr>
            <w:tcW w:w="6589" w:type="dxa"/>
            <w:tcBorders>
              <w:left w:val="nil"/>
            </w:tcBorders>
            <w:vAlign w:val="center"/>
          </w:tcPr>
          <w:p w14:paraId="4A46F7F7">
            <w:pPr>
              <w:keepNext w:val="0"/>
              <w:keepLines w:val="0"/>
              <w:pageBreakBefore w:val="0"/>
              <w:tabs>
                <w:tab w:val="left" w:pos="7013"/>
              </w:tabs>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p>
        </w:tc>
      </w:tr>
      <w:tr w14:paraId="48623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50A8F5F8">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11</w:t>
            </w:r>
            <w:r>
              <w:rPr>
                <w:rFonts w:hint="eastAsia" w:ascii="仿宋" w:hAnsi="仿宋" w:eastAsia="仿宋" w:cs="仿宋"/>
                <w:color w:val="auto"/>
                <w:sz w:val="24"/>
                <w:szCs w:val="24"/>
                <w:lang w:val="en-US" w:eastAsia="zh-CN"/>
              </w:rPr>
              <w:t>.1</w:t>
            </w:r>
          </w:p>
        </w:tc>
        <w:tc>
          <w:tcPr>
            <w:tcW w:w="1907" w:type="dxa"/>
            <w:shd w:val="clear" w:color="auto" w:fill="auto"/>
            <w:vAlign w:val="center"/>
          </w:tcPr>
          <w:p w14:paraId="237A9DE3">
            <w:pPr>
              <w:keepNext w:val="0"/>
              <w:keepLines w:val="0"/>
              <w:pageBreakBefore w:val="0"/>
              <w:tabs>
                <w:tab w:val="left" w:pos="0"/>
              </w:tabs>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lang w:eastAsia="zh-CN"/>
              </w:rPr>
              <w:t>中小企业</w:t>
            </w:r>
          </w:p>
        </w:tc>
        <w:tc>
          <w:tcPr>
            <w:tcW w:w="6589" w:type="dxa"/>
            <w:shd w:val="clear" w:color="auto" w:fill="auto"/>
            <w:vAlign w:val="center"/>
          </w:tcPr>
          <w:p w14:paraId="5EB5C336">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highlight w:val="none"/>
                <w:lang w:val="en-US" w:eastAsia="zh-CN"/>
              </w:rPr>
              <w:t>中小企业判定依据：《中小企业划型标准规定》</w:t>
            </w:r>
            <w:r>
              <w:rPr>
                <w:rFonts w:hint="eastAsia" w:ascii="仿宋" w:hAnsi="仿宋" w:eastAsia="仿宋" w:cs="仿宋"/>
                <w:color w:val="auto"/>
                <w:sz w:val="24"/>
                <w:szCs w:val="24"/>
                <w:lang w:val="en-US" w:eastAsia="zh-CN"/>
              </w:rPr>
              <w:t>。</w:t>
            </w:r>
          </w:p>
          <w:p w14:paraId="555B7C7D">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2.中小企业，是指在中华人民共和国境内依法设立，依据国务院批准的中小企业划分标准确定的中型企业、小型企业和微型企业，但与大企业的负责人为同一人，或者与大企业存在直接控股、管理关系的除外。</w:t>
            </w:r>
          </w:p>
          <w:p w14:paraId="715AF363">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3.符合中小企业划分标准的个体工商户，在政府采购活动中视同中小企业。符合条件的监狱企业、残疾人福利性单位视同小微企业，在参加政府采购活动时享受扶持政策。</w:t>
            </w:r>
          </w:p>
          <w:p w14:paraId="7F509991">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4.供应商提供《</w:t>
            </w:r>
            <w:r>
              <w:rPr>
                <w:rFonts w:hint="eastAsia" w:ascii="仿宋" w:hAnsi="仿宋" w:eastAsia="仿宋" w:cs="仿宋"/>
                <w:color w:val="auto"/>
                <w:kern w:val="0"/>
                <w:sz w:val="24"/>
                <w:highlight w:val="none"/>
                <w:lang w:val="en-US" w:eastAsia="zh-CN"/>
              </w:rPr>
              <w:t>中</w:t>
            </w:r>
            <w:r>
              <w:rPr>
                <w:rFonts w:hint="eastAsia" w:ascii="仿宋" w:hAnsi="仿宋" w:eastAsia="仿宋" w:cs="仿宋"/>
                <w:color w:val="auto"/>
                <w:kern w:val="0"/>
                <w:sz w:val="24"/>
                <w:highlight w:val="none"/>
              </w:rPr>
              <w:t>小企业</w:t>
            </w:r>
            <w:r>
              <w:rPr>
                <w:rFonts w:hint="eastAsia" w:ascii="仿宋" w:hAnsi="仿宋" w:eastAsia="仿宋" w:cs="仿宋"/>
                <w:color w:val="auto"/>
                <w:kern w:val="0"/>
                <w:sz w:val="24"/>
              </w:rPr>
              <w:t>声明函</w:t>
            </w:r>
            <w:r>
              <w:rPr>
                <w:rFonts w:hint="eastAsia" w:ascii="仿宋" w:hAnsi="仿宋" w:eastAsia="仿宋" w:cs="仿宋"/>
                <w:color w:val="auto"/>
                <w:sz w:val="24"/>
                <w:szCs w:val="24"/>
                <w:lang w:val="en-US" w:eastAsia="zh-CN"/>
              </w:rPr>
              <w:t>》（或《残疾人福利性单位声明函》、《监狱或戒毒企业声明函》），并对声明的真实性、准确性</w:t>
            </w:r>
            <w:r>
              <w:rPr>
                <w:rFonts w:hint="eastAsia" w:ascii="仿宋" w:hAnsi="仿宋" w:eastAsia="仿宋" w:cs="仿宋"/>
                <w:color w:val="auto"/>
                <w:kern w:val="0"/>
                <w:sz w:val="24"/>
                <w:lang w:val="en-US" w:eastAsia="zh-CN"/>
              </w:rPr>
              <w:t>、有效性</w:t>
            </w:r>
            <w:r>
              <w:rPr>
                <w:rFonts w:hint="eastAsia" w:ascii="仿宋" w:hAnsi="仿宋" w:eastAsia="仿宋" w:cs="仿宋"/>
                <w:color w:val="auto"/>
                <w:kern w:val="0"/>
                <w:sz w:val="24"/>
              </w:rPr>
              <w:t>负责</w:t>
            </w:r>
            <w:r>
              <w:rPr>
                <w:rFonts w:hint="eastAsia" w:ascii="仿宋" w:hAnsi="仿宋" w:eastAsia="仿宋" w:cs="仿宋"/>
                <w:color w:val="auto"/>
                <w:kern w:val="0"/>
                <w:sz w:val="24"/>
                <w:lang w:val="en-US" w:eastAsia="zh-CN"/>
              </w:rPr>
              <w:t>（供应商应认真、审慎、客观获取制造商相关信息，不利后果由供应商承担）</w:t>
            </w:r>
            <w:r>
              <w:rPr>
                <w:rFonts w:hint="eastAsia" w:ascii="仿宋" w:hAnsi="仿宋" w:eastAsia="仿宋" w:cs="仿宋"/>
                <w:color w:val="auto"/>
                <w:kern w:val="0"/>
                <w:sz w:val="24"/>
                <w:lang w:eastAsia="zh-CN"/>
              </w:rPr>
              <w:t>。</w:t>
            </w:r>
          </w:p>
          <w:p w14:paraId="4ABC1ACA">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5.中标人提供的《</w:t>
            </w:r>
            <w:r>
              <w:rPr>
                <w:rFonts w:hint="eastAsia" w:ascii="仿宋" w:hAnsi="仿宋" w:eastAsia="仿宋" w:cs="仿宋"/>
                <w:color w:val="auto"/>
                <w:kern w:val="0"/>
                <w:sz w:val="24"/>
                <w:highlight w:val="none"/>
                <w:lang w:val="en-US" w:eastAsia="zh-CN"/>
              </w:rPr>
              <w:t>中</w:t>
            </w:r>
            <w:r>
              <w:rPr>
                <w:rFonts w:hint="eastAsia" w:ascii="仿宋" w:hAnsi="仿宋" w:eastAsia="仿宋" w:cs="仿宋"/>
                <w:color w:val="auto"/>
                <w:kern w:val="0"/>
                <w:sz w:val="24"/>
                <w:highlight w:val="none"/>
              </w:rPr>
              <w:t>小企业</w:t>
            </w:r>
            <w:r>
              <w:rPr>
                <w:rFonts w:hint="eastAsia" w:ascii="仿宋" w:hAnsi="仿宋" w:eastAsia="仿宋" w:cs="仿宋"/>
                <w:color w:val="auto"/>
                <w:kern w:val="0"/>
                <w:sz w:val="24"/>
              </w:rPr>
              <w:t>声明函</w:t>
            </w:r>
            <w:r>
              <w:rPr>
                <w:rFonts w:hint="eastAsia" w:ascii="仿宋" w:hAnsi="仿宋" w:eastAsia="仿宋" w:cs="仿宋"/>
                <w:color w:val="auto"/>
                <w:sz w:val="24"/>
                <w:szCs w:val="24"/>
                <w:lang w:val="en-US" w:eastAsia="zh-CN"/>
              </w:rPr>
              <w:t>》、《残疾人福利性单位声明函》、《监狱或戒毒企业声明函》随同中标结果公示，接受社会监督，若有不实，将承担经济和法律后果。</w:t>
            </w:r>
          </w:p>
          <w:p w14:paraId="2704EADD">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b w:val="0"/>
                <w:bCs w:val="0"/>
                <w:color w:val="auto"/>
                <w:sz w:val="24"/>
                <w:szCs w:val="24"/>
                <w:lang w:val="en-US" w:eastAsia="zh-CN"/>
              </w:rPr>
              <w:t>6.</w:t>
            </w:r>
            <w:r>
              <w:rPr>
                <w:rFonts w:hint="eastAsia" w:ascii="仿宋" w:hAnsi="仿宋" w:eastAsia="仿宋" w:cs="仿宋"/>
                <w:color w:val="auto"/>
                <w:sz w:val="24"/>
                <w:szCs w:val="24"/>
                <w:highlight w:val="none"/>
                <w:lang w:val="en-US" w:eastAsia="zh-CN"/>
              </w:rPr>
              <w:t>享受扶持政策获得政府采购合同的，小微企业不得将合同分包给大中型企业，中型企业不得将合同分包给大型企业。</w:t>
            </w:r>
          </w:p>
          <w:p w14:paraId="5B3BB8B4">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7.发生纠纷时，</w:t>
            </w:r>
            <w:r>
              <w:rPr>
                <w:rFonts w:hint="eastAsia" w:ascii="仿宋" w:hAnsi="仿宋" w:eastAsia="仿宋" w:cs="仿宋"/>
                <w:color w:val="auto"/>
                <w:sz w:val="24"/>
                <w:szCs w:val="24"/>
                <w:highlight w:val="none"/>
              </w:rPr>
              <w:t>对中小企业的</w:t>
            </w:r>
            <w:r>
              <w:rPr>
                <w:rFonts w:hint="eastAsia" w:ascii="仿宋" w:hAnsi="仿宋" w:eastAsia="仿宋" w:cs="仿宋"/>
                <w:color w:val="auto"/>
                <w:sz w:val="24"/>
                <w:szCs w:val="24"/>
                <w:highlight w:val="none"/>
                <w:lang w:val="en-US" w:eastAsia="zh-CN"/>
              </w:rPr>
              <w:t>最终</w:t>
            </w:r>
            <w:r>
              <w:rPr>
                <w:rFonts w:hint="eastAsia" w:ascii="仿宋" w:hAnsi="仿宋" w:eastAsia="仿宋" w:cs="仿宋"/>
                <w:color w:val="auto"/>
                <w:sz w:val="24"/>
                <w:szCs w:val="24"/>
                <w:highlight w:val="none"/>
              </w:rPr>
              <w:t>认定，由</w:t>
            </w:r>
            <w:r>
              <w:rPr>
                <w:rFonts w:hint="eastAsia" w:ascii="仿宋" w:hAnsi="仿宋" w:eastAsia="仿宋" w:cs="仿宋"/>
                <w:color w:val="auto"/>
                <w:sz w:val="24"/>
                <w:szCs w:val="24"/>
                <w:highlight w:val="none"/>
                <w:lang w:val="en-US" w:eastAsia="zh-CN"/>
              </w:rPr>
              <w:t>投标企业</w:t>
            </w:r>
            <w:r>
              <w:rPr>
                <w:rFonts w:hint="eastAsia" w:ascii="仿宋" w:hAnsi="仿宋" w:eastAsia="仿宋" w:cs="仿宋"/>
                <w:color w:val="auto"/>
                <w:sz w:val="24"/>
                <w:szCs w:val="24"/>
                <w:highlight w:val="none"/>
              </w:rPr>
              <w:t>注册登记所在地的县级以上人民政府中小企业主管部门负责。</w:t>
            </w:r>
          </w:p>
        </w:tc>
      </w:tr>
      <w:tr w14:paraId="5E8F2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0936C44F">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11</w:t>
            </w:r>
            <w:r>
              <w:rPr>
                <w:rFonts w:hint="eastAsia" w:ascii="仿宋" w:hAnsi="仿宋" w:eastAsia="仿宋" w:cs="仿宋"/>
                <w:color w:val="auto"/>
                <w:sz w:val="24"/>
                <w:szCs w:val="24"/>
                <w:lang w:val="en-US" w:eastAsia="zh-CN"/>
              </w:rPr>
              <w:t>.2</w:t>
            </w:r>
          </w:p>
        </w:tc>
        <w:tc>
          <w:tcPr>
            <w:tcW w:w="1907" w:type="dxa"/>
            <w:shd w:val="clear" w:color="auto" w:fill="auto"/>
            <w:vAlign w:val="center"/>
          </w:tcPr>
          <w:p w14:paraId="5120B1F3">
            <w:pPr>
              <w:pStyle w:val="4"/>
              <w:keepNext w:val="0"/>
              <w:keepLines w:val="0"/>
              <w:pageBreakBefore w:val="0"/>
              <w:widowControl w:val="0"/>
              <w:kinsoku/>
              <w:wordWrap/>
              <w:overflowPunct/>
              <w:topLinePunct w:val="0"/>
              <w:autoSpaceDE/>
              <w:autoSpaceDN/>
              <w:bidi w:val="0"/>
              <w:adjustRightInd/>
              <w:snapToGrid/>
              <w:spacing w:before="0" w:beforeAutospacing="0" w:afterAutospacing="0" w:line="500" w:lineRule="exact"/>
              <w:ind w:left="0" w:left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中小企业</w:t>
            </w:r>
          </w:p>
          <w:p w14:paraId="78EA3838">
            <w:pPr>
              <w:pStyle w:val="4"/>
              <w:keepNext w:val="0"/>
              <w:keepLines w:val="0"/>
              <w:pageBreakBefore w:val="0"/>
              <w:widowControl w:val="0"/>
              <w:kinsoku/>
              <w:wordWrap/>
              <w:overflowPunct/>
              <w:topLinePunct w:val="0"/>
              <w:autoSpaceDE/>
              <w:autoSpaceDN/>
              <w:bidi w:val="0"/>
              <w:adjustRightInd/>
              <w:snapToGrid/>
              <w:spacing w:before="0" w:beforeAutospacing="0" w:afterAutospacing="0" w:line="500" w:lineRule="exact"/>
              <w:ind w:left="0" w:leftChars="0"/>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划型标准</w:t>
            </w:r>
          </w:p>
        </w:tc>
        <w:tc>
          <w:tcPr>
            <w:tcW w:w="6589" w:type="dxa"/>
            <w:shd w:val="clear" w:color="auto" w:fill="auto"/>
            <w:vAlign w:val="center"/>
          </w:tcPr>
          <w:p w14:paraId="1092DEF4">
            <w:pPr>
              <w:pStyle w:val="4"/>
              <w:keepNext w:val="0"/>
              <w:keepLines w:val="0"/>
              <w:pageBreakBefore w:val="0"/>
              <w:widowControl w:val="0"/>
              <w:kinsoku/>
              <w:wordWrap/>
              <w:overflowPunct/>
              <w:topLinePunct w:val="0"/>
              <w:autoSpaceDE/>
              <w:autoSpaceDN/>
              <w:bidi w:val="0"/>
              <w:adjustRightInd/>
              <w:snapToGrid/>
              <w:spacing w:before="0" w:beforeAutospacing="0" w:afterAutospacing="0" w:line="500" w:lineRule="exact"/>
              <w:ind w:left="0" w:leftChars="0"/>
              <w:jc w:val="both"/>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b/>
                <w:bCs/>
                <w:color w:val="auto"/>
                <w:kern w:val="2"/>
                <w:sz w:val="24"/>
                <w:szCs w:val="24"/>
                <w:highlight w:val="none"/>
                <w:lang w:val="en-US" w:eastAsia="zh-CN" w:bidi="ar-SA"/>
              </w:rPr>
              <w:t>1.本项目所属行业：</w:t>
            </w:r>
            <w:r>
              <w:rPr>
                <w:rFonts w:hint="eastAsia" w:ascii="仿宋" w:hAnsi="仿宋" w:eastAsia="仿宋" w:cs="仿宋"/>
                <w:snapToGrid w:val="0"/>
                <w:color w:val="auto"/>
                <w:kern w:val="0"/>
                <w:sz w:val="24"/>
                <w:szCs w:val="24"/>
                <w:highlight w:val="none"/>
                <w:lang w:val="en-US" w:eastAsia="zh-CN" w:bidi="ar-SA"/>
              </w:rPr>
              <w:t>工业</w:t>
            </w:r>
          </w:p>
          <w:p w14:paraId="6673F8DB">
            <w:pPr>
              <w:pStyle w:val="6"/>
              <w:keepNext w:val="0"/>
              <w:keepLines w:val="0"/>
              <w:pageBreakBefore w:val="0"/>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2.划型标准</w:t>
            </w:r>
            <w:r>
              <w:rPr>
                <w:rFonts w:hint="eastAsia" w:ascii="仿宋" w:hAnsi="仿宋" w:eastAsia="仿宋" w:cs="仿宋"/>
                <w:color w:val="auto"/>
                <w:kern w:val="2"/>
                <w:sz w:val="24"/>
                <w:szCs w:val="24"/>
                <w:highlight w:val="none"/>
                <w:lang w:val="en-US" w:eastAsia="zh-CN" w:bidi="ar-SA"/>
              </w:rPr>
              <w:t>：</w:t>
            </w:r>
            <w:r>
              <w:rPr>
                <w:rFonts w:hint="default" w:ascii="仿宋" w:hAnsi="仿宋" w:eastAsia="仿宋" w:cs="仿宋"/>
                <w:snapToGrid w:val="0"/>
                <w:color w:val="auto"/>
                <w:kern w:val="0"/>
                <w:sz w:val="24"/>
                <w:szCs w:val="24"/>
                <w:highlight w:val="none"/>
                <w:lang w:val="en-US" w:eastAsia="zh-CN" w:bidi="ar-SA"/>
              </w:rPr>
              <w:t>①</w:t>
            </w:r>
            <w:r>
              <w:rPr>
                <w:rFonts w:hint="eastAsia" w:ascii="仿宋" w:hAnsi="仿宋" w:eastAsia="仿宋" w:cs="仿宋"/>
                <w:snapToGrid w:val="0"/>
                <w:color w:val="auto"/>
                <w:kern w:val="0"/>
                <w:sz w:val="24"/>
                <w:szCs w:val="24"/>
                <w:highlight w:val="none"/>
                <w:lang w:val="en-US" w:eastAsia="zh-CN" w:bidi="ar-SA"/>
              </w:rPr>
              <w:t>从业人员</w:t>
            </w:r>
            <w:r>
              <w:rPr>
                <w:rFonts w:hint="default" w:ascii="仿宋" w:hAnsi="仿宋" w:eastAsia="仿宋" w:cs="仿宋"/>
                <w:snapToGrid w:val="0"/>
                <w:color w:val="auto"/>
                <w:kern w:val="0"/>
                <w:sz w:val="24"/>
                <w:szCs w:val="24"/>
                <w:highlight w:val="none"/>
                <w:lang w:val="en-US" w:eastAsia="zh-CN" w:bidi="ar-SA"/>
              </w:rPr>
              <w:t>≥</w:t>
            </w:r>
            <w:r>
              <w:rPr>
                <w:rFonts w:hint="eastAsia" w:ascii="仿宋" w:hAnsi="仿宋" w:eastAsia="仿宋" w:cs="仿宋"/>
                <w:snapToGrid w:val="0"/>
                <w:color w:val="auto"/>
                <w:kern w:val="0"/>
                <w:sz w:val="24"/>
                <w:szCs w:val="24"/>
                <w:highlight w:val="none"/>
                <w:lang w:val="en-US" w:eastAsia="zh-CN" w:bidi="ar-SA"/>
              </w:rPr>
              <w:t>1000人，营业收入</w:t>
            </w:r>
            <w:r>
              <w:rPr>
                <w:rFonts w:hint="default" w:ascii="仿宋" w:hAnsi="仿宋" w:eastAsia="仿宋" w:cs="仿宋"/>
                <w:snapToGrid w:val="0"/>
                <w:color w:val="auto"/>
                <w:kern w:val="0"/>
                <w:sz w:val="24"/>
                <w:szCs w:val="24"/>
                <w:highlight w:val="none"/>
                <w:lang w:val="en-US" w:eastAsia="zh-CN" w:bidi="ar-SA"/>
              </w:rPr>
              <w:t>≥</w:t>
            </w:r>
            <w:r>
              <w:rPr>
                <w:rFonts w:hint="eastAsia" w:ascii="仿宋" w:hAnsi="仿宋" w:eastAsia="仿宋" w:cs="仿宋"/>
                <w:snapToGrid w:val="0"/>
                <w:color w:val="auto"/>
                <w:kern w:val="0"/>
                <w:sz w:val="24"/>
                <w:szCs w:val="24"/>
                <w:highlight w:val="none"/>
                <w:lang w:val="en-US" w:eastAsia="zh-CN" w:bidi="ar-SA"/>
              </w:rPr>
              <w:t>40000万元，为大型企业；</w:t>
            </w:r>
            <w:r>
              <w:rPr>
                <w:rFonts w:hint="default" w:ascii="仿宋" w:hAnsi="仿宋" w:eastAsia="仿宋" w:cs="仿宋"/>
                <w:snapToGrid w:val="0"/>
                <w:color w:val="auto"/>
                <w:kern w:val="0"/>
                <w:sz w:val="24"/>
                <w:szCs w:val="24"/>
                <w:highlight w:val="none"/>
                <w:lang w:val="en-US" w:eastAsia="zh-CN" w:bidi="ar-SA"/>
              </w:rPr>
              <w:t>②</w:t>
            </w:r>
            <w:r>
              <w:rPr>
                <w:rFonts w:hint="eastAsia" w:ascii="仿宋" w:hAnsi="仿宋" w:eastAsia="仿宋" w:cs="仿宋"/>
                <w:snapToGrid w:val="0"/>
                <w:color w:val="auto"/>
                <w:kern w:val="0"/>
                <w:sz w:val="24"/>
                <w:szCs w:val="24"/>
                <w:highlight w:val="none"/>
                <w:lang w:val="en-US" w:eastAsia="zh-CN" w:bidi="ar-SA"/>
              </w:rPr>
              <w:t>300人</w:t>
            </w:r>
            <w:r>
              <w:rPr>
                <w:rFonts w:hint="default" w:ascii="仿宋" w:hAnsi="仿宋" w:eastAsia="仿宋" w:cs="仿宋"/>
                <w:snapToGrid w:val="0"/>
                <w:color w:val="auto"/>
                <w:kern w:val="0"/>
                <w:sz w:val="24"/>
                <w:szCs w:val="24"/>
                <w:highlight w:val="none"/>
                <w:lang w:val="en-US" w:eastAsia="zh-CN" w:bidi="ar-SA"/>
              </w:rPr>
              <w:t>≤</w:t>
            </w:r>
            <w:r>
              <w:rPr>
                <w:rFonts w:hint="eastAsia" w:ascii="仿宋" w:hAnsi="仿宋" w:eastAsia="仿宋" w:cs="仿宋"/>
                <w:snapToGrid w:val="0"/>
                <w:color w:val="auto"/>
                <w:kern w:val="0"/>
                <w:sz w:val="24"/>
                <w:szCs w:val="24"/>
                <w:highlight w:val="none"/>
                <w:lang w:val="en-US" w:eastAsia="zh-CN" w:bidi="ar-SA"/>
              </w:rPr>
              <w:t>从业人员</w:t>
            </w:r>
            <w:r>
              <w:rPr>
                <w:rFonts w:hint="default" w:ascii="仿宋" w:hAnsi="仿宋" w:eastAsia="仿宋" w:cs="仿宋"/>
                <w:snapToGrid w:val="0"/>
                <w:color w:val="auto"/>
                <w:kern w:val="0"/>
                <w:sz w:val="24"/>
                <w:szCs w:val="24"/>
                <w:highlight w:val="none"/>
                <w:lang w:val="en-US" w:eastAsia="zh-CN" w:bidi="ar-SA"/>
              </w:rPr>
              <w:t>＜</w:t>
            </w:r>
            <w:r>
              <w:rPr>
                <w:rFonts w:hint="eastAsia" w:ascii="仿宋" w:hAnsi="仿宋" w:eastAsia="仿宋" w:cs="仿宋"/>
                <w:snapToGrid w:val="0"/>
                <w:color w:val="auto"/>
                <w:kern w:val="0"/>
                <w:sz w:val="24"/>
                <w:szCs w:val="24"/>
                <w:highlight w:val="none"/>
                <w:lang w:val="en-US" w:eastAsia="zh-CN" w:bidi="ar-SA"/>
              </w:rPr>
              <w:t>1000人，且2000万元</w:t>
            </w:r>
            <w:r>
              <w:rPr>
                <w:rFonts w:hint="default" w:ascii="仿宋" w:hAnsi="仿宋" w:eastAsia="仿宋" w:cs="仿宋"/>
                <w:snapToGrid w:val="0"/>
                <w:color w:val="auto"/>
                <w:kern w:val="0"/>
                <w:sz w:val="24"/>
                <w:szCs w:val="24"/>
                <w:highlight w:val="none"/>
                <w:lang w:val="en-US" w:eastAsia="zh-CN" w:bidi="ar-SA"/>
              </w:rPr>
              <w:t>≤</w:t>
            </w:r>
            <w:r>
              <w:rPr>
                <w:rFonts w:hint="eastAsia" w:ascii="仿宋" w:hAnsi="仿宋" w:eastAsia="仿宋" w:cs="仿宋"/>
                <w:snapToGrid w:val="0"/>
                <w:color w:val="auto"/>
                <w:kern w:val="0"/>
                <w:sz w:val="24"/>
                <w:szCs w:val="24"/>
                <w:highlight w:val="none"/>
                <w:lang w:val="en-US" w:eastAsia="zh-CN" w:bidi="ar-SA"/>
              </w:rPr>
              <w:t>营业收入</w:t>
            </w:r>
            <w:r>
              <w:rPr>
                <w:rFonts w:hint="default" w:ascii="仿宋" w:hAnsi="仿宋" w:eastAsia="仿宋" w:cs="仿宋"/>
                <w:snapToGrid w:val="0"/>
                <w:color w:val="auto"/>
                <w:kern w:val="0"/>
                <w:sz w:val="24"/>
                <w:szCs w:val="24"/>
                <w:highlight w:val="none"/>
                <w:lang w:val="en-US" w:eastAsia="zh-CN" w:bidi="ar-SA"/>
              </w:rPr>
              <w:t>＜</w:t>
            </w:r>
            <w:r>
              <w:rPr>
                <w:rFonts w:hint="eastAsia" w:ascii="仿宋" w:hAnsi="仿宋" w:eastAsia="仿宋" w:cs="仿宋"/>
                <w:snapToGrid w:val="0"/>
                <w:color w:val="auto"/>
                <w:kern w:val="0"/>
                <w:sz w:val="24"/>
                <w:szCs w:val="24"/>
                <w:highlight w:val="none"/>
                <w:lang w:val="en-US" w:eastAsia="zh-CN" w:bidi="ar-SA"/>
              </w:rPr>
              <w:t>40000万元，为中型企业；</w:t>
            </w:r>
            <w:r>
              <w:rPr>
                <w:rFonts w:hint="default" w:ascii="仿宋" w:hAnsi="仿宋" w:eastAsia="仿宋" w:cs="仿宋"/>
                <w:snapToGrid w:val="0"/>
                <w:color w:val="auto"/>
                <w:kern w:val="0"/>
                <w:sz w:val="24"/>
                <w:szCs w:val="24"/>
                <w:highlight w:val="none"/>
                <w:lang w:val="en-US" w:eastAsia="zh-CN" w:bidi="ar-SA"/>
              </w:rPr>
              <w:t>③</w:t>
            </w:r>
            <w:r>
              <w:rPr>
                <w:rFonts w:hint="eastAsia" w:ascii="仿宋" w:hAnsi="仿宋" w:eastAsia="仿宋" w:cs="仿宋"/>
                <w:snapToGrid w:val="0"/>
                <w:color w:val="auto"/>
                <w:kern w:val="0"/>
                <w:sz w:val="24"/>
                <w:szCs w:val="24"/>
                <w:highlight w:val="none"/>
                <w:lang w:val="en-US" w:eastAsia="zh-CN" w:bidi="ar-SA"/>
              </w:rPr>
              <w:t>20人</w:t>
            </w:r>
            <w:r>
              <w:rPr>
                <w:rFonts w:hint="default" w:ascii="仿宋" w:hAnsi="仿宋" w:eastAsia="仿宋" w:cs="仿宋"/>
                <w:snapToGrid w:val="0"/>
                <w:color w:val="auto"/>
                <w:kern w:val="0"/>
                <w:sz w:val="24"/>
                <w:szCs w:val="24"/>
                <w:highlight w:val="none"/>
                <w:lang w:val="en-US" w:eastAsia="zh-CN" w:bidi="ar-SA"/>
              </w:rPr>
              <w:t>≤</w:t>
            </w:r>
            <w:r>
              <w:rPr>
                <w:rFonts w:hint="eastAsia" w:ascii="仿宋" w:hAnsi="仿宋" w:eastAsia="仿宋" w:cs="仿宋"/>
                <w:snapToGrid w:val="0"/>
                <w:color w:val="auto"/>
                <w:kern w:val="0"/>
                <w:sz w:val="24"/>
                <w:szCs w:val="24"/>
                <w:highlight w:val="none"/>
                <w:lang w:val="en-US" w:eastAsia="zh-CN" w:bidi="ar-SA"/>
              </w:rPr>
              <w:t>从业人员</w:t>
            </w:r>
            <w:r>
              <w:rPr>
                <w:rFonts w:hint="default" w:ascii="仿宋" w:hAnsi="仿宋" w:eastAsia="仿宋" w:cs="仿宋"/>
                <w:snapToGrid w:val="0"/>
                <w:color w:val="auto"/>
                <w:kern w:val="0"/>
                <w:sz w:val="24"/>
                <w:szCs w:val="24"/>
                <w:highlight w:val="none"/>
                <w:lang w:val="en-US" w:eastAsia="zh-CN" w:bidi="ar-SA"/>
              </w:rPr>
              <w:t>＜</w:t>
            </w:r>
            <w:r>
              <w:rPr>
                <w:rFonts w:hint="eastAsia" w:ascii="仿宋" w:hAnsi="仿宋" w:eastAsia="仿宋" w:cs="仿宋"/>
                <w:snapToGrid w:val="0"/>
                <w:color w:val="auto"/>
                <w:kern w:val="0"/>
                <w:sz w:val="24"/>
                <w:szCs w:val="24"/>
                <w:highlight w:val="none"/>
                <w:lang w:val="en-US" w:eastAsia="zh-CN" w:bidi="ar-SA"/>
              </w:rPr>
              <w:t>300人，且300万元</w:t>
            </w:r>
            <w:r>
              <w:rPr>
                <w:rFonts w:hint="default" w:ascii="仿宋" w:hAnsi="仿宋" w:eastAsia="仿宋" w:cs="仿宋"/>
                <w:snapToGrid w:val="0"/>
                <w:color w:val="auto"/>
                <w:kern w:val="0"/>
                <w:sz w:val="24"/>
                <w:szCs w:val="24"/>
                <w:highlight w:val="none"/>
                <w:lang w:val="en-US" w:eastAsia="zh-CN" w:bidi="ar-SA"/>
              </w:rPr>
              <w:t>≤</w:t>
            </w:r>
            <w:r>
              <w:rPr>
                <w:rFonts w:hint="eastAsia" w:ascii="仿宋" w:hAnsi="仿宋" w:eastAsia="仿宋" w:cs="仿宋"/>
                <w:snapToGrid w:val="0"/>
                <w:color w:val="auto"/>
                <w:kern w:val="0"/>
                <w:sz w:val="24"/>
                <w:szCs w:val="24"/>
                <w:highlight w:val="none"/>
                <w:lang w:val="en-US" w:eastAsia="zh-CN" w:bidi="ar-SA"/>
              </w:rPr>
              <w:t>营业收入</w:t>
            </w:r>
            <w:r>
              <w:rPr>
                <w:rFonts w:hint="default" w:ascii="仿宋" w:hAnsi="仿宋" w:eastAsia="仿宋" w:cs="仿宋"/>
                <w:snapToGrid w:val="0"/>
                <w:color w:val="auto"/>
                <w:kern w:val="0"/>
                <w:sz w:val="24"/>
                <w:szCs w:val="24"/>
                <w:highlight w:val="none"/>
                <w:lang w:val="en-US" w:eastAsia="zh-CN" w:bidi="ar-SA"/>
              </w:rPr>
              <w:t>＜</w:t>
            </w:r>
            <w:r>
              <w:rPr>
                <w:rFonts w:hint="eastAsia" w:ascii="仿宋" w:hAnsi="仿宋" w:eastAsia="仿宋" w:cs="仿宋"/>
                <w:snapToGrid w:val="0"/>
                <w:color w:val="auto"/>
                <w:kern w:val="0"/>
                <w:sz w:val="24"/>
                <w:szCs w:val="24"/>
                <w:highlight w:val="none"/>
                <w:lang w:val="en-US" w:eastAsia="zh-CN" w:bidi="ar-SA"/>
              </w:rPr>
              <w:t>2000万元，为小型企业；</w:t>
            </w:r>
            <w:r>
              <w:rPr>
                <w:rFonts w:hint="default" w:ascii="仿宋" w:hAnsi="仿宋" w:eastAsia="仿宋" w:cs="仿宋"/>
                <w:snapToGrid w:val="0"/>
                <w:color w:val="auto"/>
                <w:kern w:val="0"/>
                <w:sz w:val="24"/>
                <w:szCs w:val="24"/>
                <w:highlight w:val="none"/>
                <w:lang w:val="en-US" w:eastAsia="zh-CN" w:bidi="ar-SA"/>
              </w:rPr>
              <w:t>④</w:t>
            </w:r>
            <w:r>
              <w:rPr>
                <w:rFonts w:hint="eastAsia" w:ascii="仿宋" w:hAnsi="仿宋" w:eastAsia="仿宋" w:cs="仿宋"/>
                <w:snapToGrid w:val="0"/>
                <w:color w:val="auto"/>
                <w:kern w:val="0"/>
                <w:sz w:val="24"/>
                <w:szCs w:val="24"/>
                <w:highlight w:val="none"/>
                <w:lang w:val="en-US" w:eastAsia="zh-CN" w:bidi="ar-SA"/>
              </w:rPr>
              <w:t>从业人员</w:t>
            </w:r>
            <w:r>
              <w:rPr>
                <w:rFonts w:hint="default" w:ascii="仿宋" w:hAnsi="仿宋" w:eastAsia="仿宋" w:cs="仿宋"/>
                <w:snapToGrid w:val="0"/>
                <w:color w:val="auto"/>
                <w:kern w:val="0"/>
                <w:sz w:val="24"/>
                <w:szCs w:val="24"/>
                <w:highlight w:val="none"/>
                <w:lang w:val="en-US" w:eastAsia="zh-CN" w:bidi="ar-SA"/>
              </w:rPr>
              <w:t>＜</w:t>
            </w:r>
            <w:r>
              <w:rPr>
                <w:rFonts w:hint="eastAsia" w:ascii="仿宋" w:hAnsi="仿宋" w:eastAsia="仿宋" w:cs="仿宋"/>
                <w:snapToGrid w:val="0"/>
                <w:color w:val="auto"/>
                <w:kern w:val="0"/>
                <w:sz w:val="24"/>
                <w:szCs w:val="24"/>
                <w:highlight w:val="none"/>
                <w:lang w:val="en-US" w:eastAsia="zh-CN" w:bidi="ar-SA"/>
              </w:rPr>
              <w:t>20人，或营业收入</w:t>
            </w:r>
            <w:r>
              <w:rPr>
                <w:rFonts w:hint="default" w:ascii="仿宋" w:hAnsi="仿宋" w:eastAsia="仿宋" w:cs="仿宋"/>
                <w:snapToGrid w:val="0"/>
                <w:color w:val="auto"/>
                <w:kern w:val="0"/>
                <w:sz w:val="24"/>
                <w:szCs w:val="24"/>
                <w:highlight w:val="none"/>
                <w:lang w:val="en-US" w:eastAsia="zh-CN" w:bidi="ar-SA"/>
              </w:rPr>
              <w:t>＜</w:t>
            </w:r>
            <w:r>
              <w:rPr>
                <w:rFonts w:hint="eastAsia" w:ascii="仿宋" w:hAnsi="仿宋" w:eastAsia="仿宋" w:cs="仿宋"/>
                <w:snapToGrid w:val="0"/>
                <w:color w:val="auto"/>
                <w:kern w:val="0"/>
                <w:sz w:val="24"/>
                <w:szCs w:val="24"/>
                <w:highlight w:val="none"/>
                <w:lang w:val="en-US" w:eastAsia="zh-CN" w:bidi="ar-SA"/>
              </w:rPr>
              <w:t>300万元，为微型企业。</w:t>
            </w:r>
          </w:p>
        </w:tc>
      </w:tr>
      <w:tr w14:paraId="40FCB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3C06CD0C">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11</w:t>
            </w:r>
            <w:r>
              <w:rPr>
                <w:rFonts w:hint="eastAsia" w:ascii="仿宋" w:hAnsi="仿宋" w:eastAsia="仿宋" w:cs="仿宋"/>
                <w:color w:val="auto"/>
                <w:sz w:val="24"/>
                <w:szCs w:val="24"/>
                <w:lang w:val="en-US" w:eastAsia="zh-CN"/>
              </w:rPr>
              <w:t>.3</w:t>
            </w:r>
          </w:p>
        </w:tc>
        <w:tc>
          <w:tcPr>
            <w:tcW w:w="1907" w:type="dxa"/>
            <w:shd w:val="clear" w:color="auto" w:fill="auto"/>
            <w:vAlign w:val="center"/>
          </w:tcPr>
          <w:p w14:paraId="547C43A6">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中小企业声明函填写说明</w:t>
            </w:r>
          </w:p>
        </w:tc>
        <w:tc>
          <w:tcPr>
            <w:tcW w:w="6589" w:type="dxa"/>
            <w:shd w:val="clear" w:color="auto" w:fill="auto"/>
            <w:vAlign w:val="center"/>
          </w:tcPr>
          <w:p w14:paraId="06FB114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strike w:val="0"/>
                <w:dstrike w:val="0"/>
                <w:color w:val="auto"/>
                <w:sz w:val="24"/>
                <w:szCs w:val="24"/>
                <w:highlight w:val="none"/>
                <w:lang w:val="en-US" w:eastAsia="zh-CN"/>
              </w:rPr>
              <w:t>从业人员、营业收入、资产总额：以参加本采购活动的上年年末数字为准（或全年平均数字），无上一年度数据的新成立企业可不填报（须提供有效印证材料）。</w:t>
            </w:r>
          </w:p>
        </w:tc>
      </w:tr>
      <w:tr w14:paraId="500AB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3F84D3C8">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11.4</w:t>
            </w:r>
          </w:p>
        </w:tc>
        <w:tc>
          <w:tcPr>
            <w:tcW w:w="1907" w:type="dxa"/>
            <w:shd w:val="clear" w:color="auto" w:fill="auto"/>
            <w:vAlign w:val="center"/>
          </w:tcPr>
          <w:p w14:paraId="4332A13E">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声明函澄清、</w:t>
            </w:r>
          </w:p>
          <w:p w14:paraId="6449129F">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修正</w:t>
            </w:r>
          </w:p>
        </w:tc>
        <w:tc>
          <w:tcPr>
            <w:tcW w:w="6589" w:type="dxa"/>
            <w:shd w:val="clear" w:color="auto" w:fill="auto"/>
            <w:vAlign w:val="center"/>
          </w:tcPr>
          <w:p w14:paraId="2748FFEF">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声明函中存在明显笔误、划</w:t>
            </w:r>
            <w:r>
              <w:rPr>
                <w:rFonts w:hint="default" w:ascii="仿宋" w:hAnsi="仿宋" w:eastAsia="仿宋" w:cs="仿宋"/>
                <w:color w:val="auto"/>
                <w:sz w:val="24"/>
                <w:szCs w:val="24"/>
                <w:lang w:val="en-US" w:eastAsia="zh-CN"/>
              </w:rPr>
              <w:t>型</w:t>
            </w:r>
            <w:r>
              <w:rPr>
                <w:rFonts w:hint="eastAsia" w:ascii="仿宋" w:hAnsi="仿宋" w:eastAsia="仿宋" w:cs="仿宋"/>
                <w:color w:val="auto"/>
                <w:sz w:val="24"/>
                <w:szCs w:val="24"/>
                <w:lang w:val="en-US" w:eastAsia="zh-CN"/>
              </w:rPr>
              <w:t>错误、同一内容前后不一致等无主观故意为之的</w:t>
            </w:r>
            <w:r>
              <w:rPr>
                <w:rFonts w:hint="default" w:ascii="仿宋" w:hAnsi="仿宋" w:eastAsia="仿宋" w:cs="仿宋"/>
                <w:color w:val="auto"/>
                <w:sz w:val="24"/>
                <w:szCs w:val="24"/>
                <w:lang w:val="en-US" w:eastAsia="zh-CN"/>
              </w:rPr>
              <w:t>情</w:t>
            </w:r>
            <w:r>
              <w:rPr>
                <w:rFonts w:hint="eastAsia" w:ascii="仿宋" w:hAnsi="仿宋" w:eastAsia="仿宋" w:cs="仿宋"/>
                <w:color w:val="auto"/>
                <w:sz w:val="24"/>
                <w:szCs w:val="24"/>
                <w:lang w:val="en-US" w:eastAsia="zh-CN"/>
              </w:rPr>
              <w:t>形，评标小组可要求供应商予以澄清，澄清后符合中小企业条件的，该声明函有效，否则无效，不享受价格优惠</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lang w:val="en-US" w:eastAsia="zh-CN"/>
              </w:rPr>
              <w:t>（评审时不寻求外部证据）。</w:t>
            </w:r>
          </w:p>
        </w:tc>
      </w:tr>
      <w:tr w14:paraId="75A78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6BBDBD3A">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12</w:t>
            </w:r>
          </w:p>
        </w:tc>
        <w:tc>
          <w:tcPr>
            <w:tcW w:w="1907" w:type="dxa"/>
            <w:tcBorders>
              <w:right w:val="nil"/>
            </w:tcBorders>
            <w:vAlign w:val="center"/>
          </w:tcPr>
          <w:p w14:paraId="54A475A4">
            <w:pPr>
              <w:keepNext w:val="0"/>
              <w:keepLines w:val="0"/>
              <w:pageBreakBefore w:val="0"/>
              <w:kinsoku/>
              <w:wordWrap/>
              <w:overflowPunct/>
              <w:topLinePunct w:val="0"/>
              <w:autoSpaceDE/>
              <w:autoSpaceDN/>
              <w:bidi w:val="0"/>
              <w:adjustRightInd/>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合同</w:t>
            </w:r>
          </w:p>
        </w:tc>
        <w:tc>
          <w:tcPr>
            <w:tcW w:w="6589" w:type="dxa"/>
            <w:tcBorders>
              <w:left w:val="nil"/>
            </w:tcBorders>
            <w:vAlign w:val="center"/>
          </w:tcPr>
          <w:p w14:paraId="3C0BBF54">
            <w:pPr>
              <w:keepNext w:val="0"/>
              <w:keepLines w:val="0"/>
              <w:pageBreakBefore w:val="0"/>
              <w:tabs>
                <w:tab w:val="left" w:pos="7013"/>
              </w:tabs>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p>
        </w:tc>
      </w:tr>
      <w:tr w14:paraId="0672F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514F9F96">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12.1</w:t>
            </w:r>
          </w:p>
        </w:tc>
        <w:tc>
          <w:tcPr>
            <w:tcW w:w="1907" w:type="dxa"/>
            <w:vAlign w:val="center"/>
          </w:tcPr>
          <w:p w14:paraId="0C89597B">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合同类型</w:t>
            </w:r>
          </w:p>
        </w:tc>
        <w:tc>
          <w:tcPr>
            <w:tcW w:w="6589" w:type="dxa"/>
            <w:vAlign w:val="center"/>
          </w:tcPr>
          <w:p w14:paraId="22CDC895">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固定总价合同</w:t>
            </w:r>
          </w:p>
        </w:tc>
      </w:tr>
      <w:tr w14:paraId="18E9B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shd w:val="clear" w:color="auto" w:fill="auto"/>
            <w:vAlign w:val="center"/>
          </w:tcPr>
          <w:p w14:paraId="3479D482">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12.2</w:t>
            </w:r>
          </w:p>
        </w:tc>
        <w:tc>
          <w:tcPr>
            <w:tcW w:w="1907" w:type="dxa"/>
            <w:shd w:val="clear" w:color="auto" w:fill="auto"/>
            <w:vAlign w:val="center"/>
          </w:tcPr>
          <w:p w14:paraId="2DA4589D">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签订合同</w:t>
            </w:r>
          </w:p>
        </w:tc>
        <w:tc>
          <w:tcPr>
            <w:tcW w:w="6589" w:type="dxa"/>
            <w:shd w:val="clear" w:color="auto" w:fill="auto"/>
            <w:vAlign w:val="center"/>
          </w:tcPr>
          <w:p w14:paraId="514878CE">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rPr>
              <w:t>1、</w:t>
            </w:r>
            <w:r>
              <w:rPr>
                <w:rFonts w:hint="eastAsia" w:ascii="仿宋" w:hAnsi="仿宋" w:eastAsia="仿宋" w:cs="仿宋"/>
                <w:bCs/>
                <w:color w:val="auto"/>
                <w:sz w:val="24"/>
                <w:szCs w:val="24"/>
                <w:lang w:val="en-US" w:eastAsia="zh-CN"/>
              </w:rPr>
              <w:t>自中标</w:t>
            </w:r>
            <w:r>
              <w:rPr>
                <w:rFonts w:hint="eastAsia" w:ascii="仿宋" w:hAnsi="仿宋" w:eastAsia="仿宋" w:cs="仿宋"/>
                <w:bCs/>
                <w:color w:val="auto"/>
                <w:sz w:val="24"/>
                <w:szCs w:val="24"/>
              </w:rPr>
              <w:t>通知书</w:t>
            </w:r>
            <w:r>
              <w:rPr>
                <w:rFonts w:hint="eastAsia" w:ascii="仿宋" w:hAnsi="仿宋" w:eastAsia="仿宋" w:cs="仿宋"/>
                <w:bCs/>
                <w:color w:val="auto"/>
                <w:sz w:val="24"/>
                <w:szCs w:val="24"/>
                <w:lang w:val="en-US" w:eastAsia="zh-CN"/>
              </w:rPr>
              <w:t>发出之日起</w:t>
            </w:r>
            <w:r>
              <w:rPr>
                <w:rFonts w:hint="eastAsia" w:ascii="仿宋" w:hAnsi="仿宋" w:eastAsia="仿宋" w:cs="仿宋"/>
                <w:bCs/>
                <w:color w:val="auto"/>
                <w:sz w:val="24"/>
                <w:szCs w:val="24"/>
                <w:highlight w:val="none"/>
                <w:lang w:val="en-US" w:eastAsia="zh-CN"/>
              </w:rPr>
              <w:t>二十五日</w:t>
            </w:r>
            <w:r>
              <w:rPr>
                <w:rFonts w:hint="eastAsia" w:ascii="仿宋" w:hAnsi="仿宋" w:eastAsia="仿宋" w:cs="仿宋"/>
                <w:bCs/>
                <w:color w:val="auto"/>
                <w:sz w:val="24"/>
                <w:szCs w:val="24"/>
              </w:rPr>
              <w:t>内</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lang w:val="en-US" w:eastAsia="zh-CN"/>
              </w:rPr>
              <w:t>采购人与中标人按照招标文件确定的事项和投标文件订立书面合同（合同不能对招投标已确定的实质性内容进行修改）。采购人和中标人不得再行订立背离合同实质性内容的其他协议</w:t>
            </w:r>
            <w:r>
              <w:rPr>
                <w:rFonts w:hint="eastAsia" w:ascii="仿宋" w:hAnsi="仿宋" w:eastAsia="仿宋" w:cs="仿宋"/>
                <w:bCs/>
                <w:color w:val="auto"/>
                <w:sz w:val="24"/>
                <w:szCs w:val="24"/>
                <w:lang w:eastAsia="zh-CN"/>
              </w:rPr>
              <w:t>。</w:t>
            </w:r>
          </w:p>
          <w:p w14:paraId="195C0257">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rPr>
              <w:t>2、</w:t>
            </w:r>
            <w:r>
              <w:rPr>
                <w:rFonts w:hint="eastAsia" w:ascii="仿宋" w:hAnsi="仿宋" w:eastAsia="仿宋" w:cs="仿宋"/>
                <w:bCs/>
                <w:color w:val="auto"/>
                <w:sz w:val="24"/>
                <w:szCs w:val="24"/>
                <w:lang w:val="en-US" w:eastAsia="zh-CN"/>
              </w:rPr>
              <w:t>招标文件要求中标人提交履约保证金或者其他形式履约或风险保证的，中标人应当提交；拒绝提交的，视为放弃中标资格</w:t>
            </w:r>
            <w:r>
              <w:rPr>
                <w:rFonts w:hint="eastAsia" w:ascii="仿宋" w:hAnsi="仿宋" w:eastAsia="仿宋" w:cs="仿宋"/>
                <w:bCs/>
                <w:color w:val="auto"/>
                <w:sz w:val="24"/>
                <w:szCs w:val="24"/>
                <w:lang w:eastAsia="zh-CN"/>
              </w:rPr>
              <w:t>。</w:t>
            </w:r>
          </w:p>
          <w:p w14:paraId="60FBA9DB">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rPr>
            </w:pPr>
            <w:r>
              <w:rPr>
                <w:rFonts w:hint="eastAsia" w:ascii="仿宋" w:hAnsi="仿宋" w:eastAsia="仿宋" w:cs="仿宋"/>
                <w:bCs/>
                <w:color w:val="auto"/>
                <w:sz w:val="24"/>
                <w:szCs w:val="24"/>
              </w:rPr>
              <w:t>3、</w:t>
            </w:r>
            <w:r>
              <w:rPr>
                <w:rFonts w:hint="eastAsia" w:ascii="仿宋" w:hAnsi="仿宋" w:eastAsia="仿宋" w:cs="仿宋"/>
                <w:bCs/>
                <w:color w:val="auto"/>
                <w:sz w:val="24"/>
                <w:szCs w:val="24"/>
                <w:lang w:val="en-US" w:eastAsia="zh-CN"/>
              </w:rPr>
              <w:t>甲乙双方无正当理由不按规定签订合同，或在签订合同时向对方提出附加条件，更改合同实质性内容的，依法承担相应法律责任；给对方造成损失的应当赔偿。</w:t>
            </w:r>
          </w:p>
          <w:p w14:paraId="5E2704B7">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rPr>
              <w:t>4、</w:t>
            </w:r>
            <w:r>
              <w:rPr>
                <w:rFonts w:hint="eastAsia" w:ascii="仿宋" w:hAnsi="仿宋" w:eastAsia="仿宋" w:cs="仿宋"/>
                <w:bCs/>
                <w:color w:val="auto"/>
                <w:sz w:val="24"/>
                <w:szCs w:val="24"/>
                <w:lang w:val="en-US" w:eastAsia="zh-CN"/>
              </w:rPr>
              <w:t>中标</w:t>
            </w:r>
            <w:r>
              <w:rPr>
                <w:rFonts w:hint="eastAsia" w:ascii="仿宋" w:hAnsi="仿宋" w:eastAsia="仿宋" w:cs="仿宋"/>
                <w:bCs/>
                <w:color w:val="auto"/>
                <w:sz w:val="24"/>
                <w:szCs w:val="24"/>
              </w:rPr>
              <w:t>通知书是合同的重要组成部分。</w:t>
            </w:r>
            <w:r>
              <w:rPr>
                <w:rFonts w:hint="eastAsia" w:ascii="仿宋" w:hAnsi="仿宋" w:eastAsia="仿宋" w:cs="仿宋"/>
                <w:bCs/>
                <w:color w:val="auto"/>
                <w:sz w:val="24"/>
                <w:szCs w:val="24"/>
                <w:lang w:val="en-US" w:eastAsia="zh-CN"/>
              </w:rPr>
              <w:t>招标</w:t>
            </w:r>
            <w:r>
              <w:rPr>
                <w:rFonts w:hint="eastAsia" w:ascii="仿宋" w:hAnsi="仿宋" w:eastAsia="仿宋" w:cs="仿宋"/>
                <w:bCs/>
                <w:color w:val="auto"/>
                <w:sz w:val="24"/>
                <w:szCs w:val="24"/>
              </w:rPr>
              <w:t>文件、</w:t>
            </w:r>
            <w:r>
              <w:rPr>
                <w:rFonts w:hint="eastAsia" w:ascii="仿宋" w:hAnsi="仿宋" w:eastAsia="仿宋" w:cs="仿宋"/>
                <w:bCs/>
                <w:color w:val="auto"/>
                <w:sz w:val="24"/>
                <w:szCs w:val="24"/>
                <w:lang w:val="en-US" w:eastAsia="zh-CN"/>
              </w:rPr>
              <w:t>投标</w:t>
            </w:r>
            <w:r>
              <w:rPr>
                <w:rFonts w:hint="eastAsia" w:ascii="仿宋" w:hAnsi="仿宋" w:eastAsia="仿宋" w:cs="仿宋"/>
                <w:bCs/>
                <w:color w:val="auto"/>
                <w:sz w:val="24"/>
                <w:szCs w:val="24"/>
              </w:rPr>
              <w:t>文件及评</w:t>
            </w:r>
            <w:r>
              <w:rPr>
                <w:rFonts w:hint="eastAsia" w:ascii="仿宋" w:hAnsi="仿宋" w:eastAsia="仿宋" w:cs="仿宋"/>
                <w:bCs/>
                <w:color w:val="auto"/>
                <w:sz w:val="24"/>
                <w:szCs w:val="24"/>
                <w:lang w:val="en-US" w:eastAsia="zh-CN"/>
              </w:rPr>
              <w:t>标</w:t>
            </w:r>
            <w:r>
              <w:rPr>
                <w:rFonts w:hint="eastAsia" w:ascii="仿宋" w:hAnsi="仿宋" w:eastAsia="仿宋" w:cs="仿宋"/>
                <w:bCs/>
                <w:color w:val="auto"/>
                <w:sz w:val="24"/>
                <w:szCs w:val="24"/>
              </w:rPr>
              <w:t>过程中有关的澄清文件均作为合同附件</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lang w:val="en-US" w:eastAsia="zh-CN"/>
              </w:rPr>
              <w:t>中标无效的，发出的中标通知书和签订的合同自始没有法律约束力，但不影响合同中独立存在的有关解决争议方法的条款的效力。</w:t>
            </w:r>
          </w:p>
          <w:p w14:paraId="67652DD5">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rPr>
            </w:pPr>
            <w:r>
              <w:rPr>
                <w:rFonts w:hint="eastAsia" w:ascii="仿宋" w:hAnsi="仿宋" w:eastAsia="仿宋" w:cs="仿宋"/>
                <w:bCs/>
                <w:color w:val="auto"/>
                <w:sz w:val="24"/>
                <w:szCs w:val="24"/>
                <w:lang w:val="en-US" w:eastAsia="zh-CN"/>
              </w:rPr>
              <w:t>5</w:t>
            </w:r>
            <w:r>
              <w:rPr>
                <w:rFonts w:hint="eastAsia" w:ascii="仿宋" w:hAnsi="仿宋" w:eastAsia="仿宋" w:cs="仿宋"/>
                <w:bCs/>
                <w:color w:val="auto"/>
                <w:sz w:val="24"/>
                <w:szCs w:val="24"/>
              </w:rPr>
              <w:t>、</w:t>
            </w:r>
            <w:r>
              <w:rPr>
                <w:rFonts w:hint="eastAsia" w:ascii="仿宋" w:hAnsi="仿宋" w:eastAsia="仿宋" w:cs="仿宋"/>
                <w:bCs/>
                <w:color w:val="auto"/>
                <w:sz w:val="24"/>
                <w:szCs w:val="24"/>
                <w:lang w:val="en-US" w:eastAsia="zh-CN"/>
              </w:rPr>
              <w:t>中标</w:t>
            </w:r>
            <w:r>
              <w:rPr>
                <w:rFonts w:hint="eastAsia" w:ascii="仿宋" w:hAnsi="仿宋" w:eastAsia="仿宋" w:cs="仿宋"/>
                <w:bCs/>
                <w:color w:val="auto"/>
                <w:sz w:val="24"/>
                <w:szCs w:val="24"/>
              </w:rPr>
              <w:t>人应按照合同约定</w:t>
            </w:r>
            <w:r>
              <w:rPr>
                <w:rFonts w:hint="eastAsia" w:ascii="仿宋" w:hAnsi="仿宋" w:eastAsia="仿宋" w:cs="仿宋"/>
                <w:bCs/>
                <w:color w:val="auto"/>
                <w:sz w:val="24"/>
                <w:szCs w:val="24"/>
                <w:lang w:val="en-US" w:eastAsia="zh-CN"/>
              </w:rPr>
              <w:t>完整</w:t>
            </w:r>
            <w:r>
              <w:rPr>
                <w:rFonts w:hint="eastAsia" w:ascii="仿宋" w:hAnsi="仿宋" w:eastAsia="仿宋" w:cs="仿宋"/>
                <w:bCs/>
                <w:color w:val="auto"/>
                <w:sz w:val="24"/>
                <w:szCs w:val="24"/>
              </w:rPr>
              <w:t>履行义务。</w:t>
            </w:r>
          </w:p>
          <w:p w14:paraId="484BE1FB">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rPr>
            </w:pPr>
            <w:r>
              <w:rPr>
                <w:rFonts w:hint="eastAsia" w:ascii="仿宋" w:hAnsi="仿宋" w:eastAsia="仿宋" w:cs="仿宋"/>
                <w:bCs/>
                <w:color w:val="auto"/>
                <w:sz w:val="24"/>
                <w:szCs w:val="24"/>
                <w:lang w:val="en-US" w:eastAsia="zh-CN"/>
              </w:rPr>
              <w:t>6</w:t>
            </w:r>
            <w:r>
              <w:rPr>
                <w:rFonts w:hint="eastAsia" w:ascii="仿宋" w:hAnsi="仿宋" w:eastAsia="仿宋" w:cs="仿宋"/>
                <w:bCs/>
                <w:color w:val="auto"/>
                <w:sz w:val="24"/>
                <w:szCs w:val="24"/>
              </w:rPr>
              <w:t>、</w:t>
            </w:r>
            <w:r>
              <w:rPr>
                <w:rFonts w:hint="eastAsia" w:ascii="仿宋" w:hAnsi="仿宋" w:eastAsia="仿宋" w:cs="仿宋"/>
                <w:bCs/>
                <w:color w:val="auto"/>
                <w:sz w:val="24"/>
                <w:szCs w:val="24"/>
                <w:lang w:val="en-US" w:eastAsia="zh-CN"/>
              </w:rPr>
              <w:t>中标后签订合同前，采购人有权要求对招标规定或投标提交的文件资料原件进行核查或关键性能指标进行测试，若中标人在规定时间内拒不配合，造成可能导致无法按期签订合同或项目无法按期推进，视为不按招标要求和投标响应执行，不履行对招标要约的承诺，损害了采购方的权益，构成违约，采购人有权取消期中标资格</w:t>
            </w:r>
            <w:r>
              <w:rPr>
                <w:rFonts w:hint="eastAsia" w:ascii="仿宋" w:hAnsi="仿宋" w:eastAsia="仿宋" w:cs="仿宋"/>
                <w:bCs/>
                <w:color w:val="auto"/>
                <w:sz w:val="24"/>
                <w:szCs w:val="24"/>
              </w:rPr>
              <w:t>。</w:t>
            </w:r>
          </w:p>
          <w:p w14:paraId="310B0874">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7、若乙方违约，采购人有权单方面取消合同，相应风险由乙方承担。</w:t>
            </w:r>
          </w:p>
          <w:p w14:paraId="5A081D00">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8、若本项目实施条件/要求发生变化或发生不可抗力，采购方有权单方解除合同，相关风险由中标方承担。</w:t>
            </w:r>
          </w:p>
        </w:tc>
      </w:tr>
      <w:tr w14:paraId="0C920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shd w:val="clear" w:color="auto" w:fill="auto"/>
            <w:vAlign w:val="center"/>
          </w:tcPr>
          <w:p w14:paraId="50E69DFA">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12.3</w:t>
            </w:r>
          </w:p>
        </w:tc>
        <w:tc>
          <w:tcPr>
            <w:tcW w:w="1907" w:type="dxa"/>
            <w:vAlign w:val="center"/>
          </w:tcPr>
          <w:p w14:paraId="4F0D0034">
            <w:pPr>
              <w:pStyle w:val="4"/>
              <w:keepNext w:val="0"/>
              <w:keepLines w:val="0"/>
              <w:pageBreakBefore w:val="0"/>
              <w:kinsoku/>
              <w:wordWrap/>
              <w:overflowPunct/>
              <w:topLinePunct w:val="0"/>
              <w:autoSpaceDE/>
              <w:autoSpaceDN/>
              <w:bidi w:val="0"/>
              <w:adjustRightInd/>
              <w:spacing w:before="0" w:beforeAutospacing="0" w:afterAutospacing="0" w:line="500" w:lineRule="exact"/>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分包</w:t>
            </w:r>
          </w:p>
        </w:tc>
        <w:tc>
          <w:tcPr>
            <w:tcW w:w="6589" w:type="dxa"/>
            <w:vAlign w:val="center"/>
          </w:tcPr>
          <w:p w14:paraId="797562D7">
            <w:pPr>
              <w:keepNext w:val="0"/>
              <w:keepLines w:val="0"/>
              <w:pageBreakBefore w:val="0"/>
              <w:widowControl/>
              <w:kinsoku/>
              <w:wordWrap/>
              <w:overflowPunct/>
              <w:topLinePunct w:val="0"/>
              <w:autoSpaceDE/>
              <w:autoSpaceDN/>
              <w:bidi w:val="0"/>
              <w:adjustRightInd/>
              <w:spacing w:beforeAutospacing="0" w:afterAutospacing="0" w:line="460" w:lineRule="exac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bCs/>
                <w:color w:val="auto"/>
                <w:sz w:val="24"/>
                <w:szCs w:val="24"/>
                <w:lang w:val="en-US" w:eastAsia="zh-CN"/>
              </w:rPr>
              <w:t>本项目不允许分包。</w:t>
            </w:r>
          </w:p>
        </w:tc>
      </w:tr>
      <w:tr w14:paraId="1EDFC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78633CE8">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12.4</w:t>
            </w:r>
          </w:p>
        </w:tc>
        <w:tc>
          <w:tcPr>
            <w:tcW w:w="1907" w:type="dxa"/>
            <w:vAlign w:val="center"/>
          </w:tcPr>
          <w:p w14:paraId="0E00C43C">
            <w:pPr>
              <w:pStyle w:val="4"/>
              <w:keepNext w:val="0"/>
              <w:keepLines w:val="0"/>
              <w:pageBreakBefore w:val="0"/>
              <w:kinsoku/>
              <w:wordWrap/>
              <w:overflowPunct/>
              <w:topLinePunct w:val="0"/>
              <w:autoSpaceDE/>
              <w:autoSpaceDN/>
              <w:bidi w:val="0"/>
              <w:adjustRightInd/>
              <w:spacing w:before="0" w:beforeAutospacing="0" w:afterAutospacing="0"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highlight w:val="none"/>
                <w:lang w:val="en-US" w:eastAsia="zh-CN"/>
              </w:rPr>
              <w:t>转包</w:t>
            </w:r>
          </w:p>
        </w:tc>
        <w:tc>
          <w:tcPr>
            <w:tcW w:w="6589" w:type="dxa"/>
            <w:vAlign w:val="center"/>
          </w:tcPr>
          <w:p w14:paraId="62C0A1D6">
            <w:pPr>
              <w:keepNext w:val="0"/>
              <w:keepLines w:val="0"/>
              <w:pageBreakBefore w:val="0"/>
              <w:widowControl/>
              <w:kinsoku/>
              <w:wordWrap/>
              <w:overflowPunct/>
              <w:topLinePunct w:val="0"/>
              <w:autoSpaceDE/>
              <w:autoSpaceDN/>
              <w:bidi w:val="0"/>
              <w:adjustRightInd/>
              <w:spacing w:beforeAutospacing="0" w:afterAutospacing="0" w:line="460" w:lineRule="exact"/>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本项目不允许转包。</w:t>
            </w:r>
          </w:p>
        </w:tc>
      </w:tr>
      <w:tr w14:paraId="2EE17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1F9B0ADA">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12.5</w:t>
            </w:r>
          </w:p>
        </w:tc>
        <w:tc>
          <w:tcPr>
            <w:tcW w:w="1907" w:type="dxa"/>
            <w:vAlign w:val="center"/>
          </w:tcPr>
          <w:p w14:paraId="32B3AABF">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合同争议及违约</w:t>
            </w:r>
          </w:p>
        </w:tc>
        <w:tc>
          <w:tcPr>
            <w:tcW w:w="6589" w:type="dxa"/>
            <w:vAlign w:val="center"/>
          </w:tcPr>
          <w:p w14:paraId="45122C81">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eastAsia" w:ascii="仿宋" w:hAnsi="仿宋" w:eastAsia="仿宋" w:cs="仿宋"/>
                <w:bCs/>
                <w:color w:val="auto"/>
                <w:kern w:val="2"/>
                <w:sz w:val="24"/>
                <w:szCs w:val="24"/>
                <w:lang w:val="en-US" w:eastAsia="zh-CN" w:bidi="ar-SA"/>
              </w:rPr>
            </w:pPr>
            <w:r>
              <w:rPr>
                <w:rFonts w:hint="eastAsia" w:ascii="仿宋" w:hAnsi="仿宋" w:eastAsia="仿宋" w:cs="仿宋"/>
                <w:bCs/>
                <w:color w:val="auto"/>
                <w:sz w:val="24"/>
                <w:szCs w:val="24"/>
                <w:lang w:val="en-US" w:eastAsia="zh-CN"/>
              </w:rPr>
              <w:t>先按本项目采购合同执行，若涉及采购合同未规定的条款，则按《中华人民共和国民法典》等相关规定执行。</w:t>
            </w:r>
          </w:p>
        </w:tc>
      </w:tr>
      <w:tr w14:paraId="61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37C92245">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13</w:t>
            </w:r>
          </w:p>
        </w:tc>
        <w:tc>
          <w:tcPr>
            <w:tcW w:w="1907" w:type="dxa"/>
            <w:tcBorders>
              <w:right w:val="nil"/>
            </w:tcBorders>
            <w:vAlign w:val="center"/>
          </w:tcPr>
          <w:p w14:paraId="0ECEB91D">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highlight w:val="none"/>
                <w:lang w:eastAsia="zh-CN"/>
              </w:rPr>
              <w:t>评标</w:t>
            </w:r>
          </w:p>
        </w:tc>
        <w:tc>
          <w:tcPr>
            <w:tcW w:w="6589" w:type="dxa"/>
            <w:tcBorders>
              <w:left w:val="nil"/>
            </w:tcBorders>
            <w:vAlign w:val="center"/>
          </w:tcPr>
          <w:p w14:paraId="3E566A23">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p>
        </w:tc>
      </w:tr>
      <w:tr w14:paraId="29CD3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60BD0362">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13.1</w:t>
            </w:r>
          </w:p>
        </w:tc>
        <w:tc>
          <w:tcPr>
            <w:tcW w:w="1907" w:type="dxa"/>
            <w:shd w:val="clear" w:color="auto" w:fill="auto"/>
            <w:vAlign w:val="center"/>
          </w:tcPr>
          <w:p w14:paraId="00209D38">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color w:val="auto"/>
                <w:sz w:val="24"/>
                <w:szCs w:val="24"/>
                <w:lang w:val="en-US" w:eastAsia="zh-CN"/>
              </w:rPr>
              <w:t>资格审查主体</w:t>
            </w:r>
          </w:p>
        </w:tc>
        <w:tc>
          <w:tcPr>
            <w:tcW w:w="6589" w:type="dxa"/>
            <w:shd w:val="clear" w:color="auto" w:fill="auto"/>
            <w:vAlign w:val="center"/>
          </w:tcPr>
          <w:p w14:paraId="6DAB9965">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kern w:val="0"/>
                <w:sz w:val="24"/>
                <w:szCs w:val="24"/>
                <w:lang w:val="en-US" w:eastAsia="zh-CN" w:bidi="ar-SA"/>
              </w:rPr>
            </w:pPr>
            <w:r>
              <w:rPr>
                <w:rFonts w:hint="eastAsia" w:ascii="仿宋" w:hAnsi="仿宋" w:eastAsia="仿宋" w:cs="仿宋"/>
                <w:b w:val="0"/>
                <w:bCs w:val="0"/>
                <w:color w:val="auto"/>
                <w:kern w:val="0"/>
                <w:sz w:val="24"/>
                <w:szCs w:val="24"/>
                <w:highlight w:val="none"/>
                <w:lang w:val="en-US" w:eastAsia="zh-CN" w:bidi="ar-SA"/>
              </w:rPr>
              <w:t>采购人</w:t>
            </w:r>
          </w:p>
        </w:tc>
      </w:tr>
      <w:tr w14:paraId="3FA0A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33924250">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13.2</w:t>
            </w:r>
          </w:p>
        </w:tc>
        <w:tc>
          <w:tcPr>
            <w:tcW w:w="1907" w:type="dxa"/>
            <w:shd w:val="clear" w:color="auto" w:fill="auto"/>
            <w:vAlign w:val="center"/>
          </w:tcPr>
          <w:p w14:paraId="1B40A807">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trike w:val="0"/>
                <w:dstrike w:val="0"/>
                <w:color w:val="auto"/>
                <w:sz w:val="24"/>
                <w:szCs w:val="24"/>
                <w:highlight w:val="none"/>
                <w:lang w:val="en-US" w:eastAsia="zh-CN"/>
              </w:rPr>
              <w:t>符合性审查主体</w:t>
            </w:r>
          </w:p>
        </w:tc>
        <w:tc>
          <w:tcPr>
            <w:tcW w:w="6589" w:type="dxa"/>
            <w:shd w:val="clear" w:color="auto" w:fill="auto"/>
            <w:vAlign w:val="center"/>
          </w:tcPr>
          <w:p w14:paraId="66ADF52D">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评</w:t>
            </w:r>
            <w:r>
              <w:rPr>
                <w:rFonts w:hint="eastAsia" w:ascii="仿宋" w:hAnsi="仿宋" w:eastAsia="仿宋" w:cs="仿宋"/>
                <w:sz w:val="24"/>
              </w:rPr>
              <w:t>标</w:t>
            </w:r>
            <w:r>
              <w:rPr>
                <w:rFonts w:hint="eastAsia" w:ascii="仿宋" w:hAnsi="仿宋" w:eastAsia="仿宋" w:cs="仿宋"/>
                <w:b w:val="0"/>
                <w:bCs w:val="0"/>
                <w:color w:val="auto"/>
                <w:kern w:val="0"/>
                <w:sz w:val="24"/>
                <w:szCs w:val="24"/>
                <w:lang w:val="en-US" w:eastAsia="zh-CN" w:bidi="ar-SA"/>
              </w:rPr>
              <w:t>小组</w:t>
            </w:r>
          </w:p>
        </w:tc>
      </w:tr>
      <w:tr w14:paraId="08129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2E70BEFA">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13.3</w:t>
            </w:r>
          </w:p>
        </w:tc>
        <w:tc>
          <w:tcPr>
            <w:tcW w:w="1907" w:type="dxa"/>
            <w:shd w:val="clear" w:color="auto" w:fill="auto"/>
            <w:vAlign w:val="center"/>
          </w:tcPr>
          <w:p w14:paraId="31167C94">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strike w:val="0"/>
                <w:dstrike w:val="0"/>
                <w:color w:val="auto"/>
                <w:sz w:val="24"/>
                <w:szCs w:val="24"/>
                <w:highlight w:val="none"/>
                <w:lang w:val="en-US" w:eastAsia="zh-CN"/>
              </w:rPr>
            </w:pPr>
            <w:r>
              <w:rPr>
                <w:rFonts w:hint="eastAsia" w:ascii="仿宋" w:hAnsi="仿宋" w:eastAsia="仿宋" w:cs="仿宋"/>
                <w:strike w:val="0"/>
                <w:dstrike w:val="0"/>
                <w:color w:val="auto"/>
                <w:sz w:val="24"/>
                <w:szCs w:val="24"/>
                <w:highlight w:val="none"/>
                <w:lang w:val="en-US" w:eastAsia="zh-CN"/>
              </w:rPr>
              <w:t>问题修正</w:t>
            </w:r>
          </w:p>
        </w:tc>
        <w:tc>
          <w:tcPr>
            <w:tcW w:w="6589" w:type="dxa"/>
            <w:shd w:val="clear" w:color="auto" w:fill="auto"/>
            <w:vAlign w:val="center"/>
          </w:tcPr>
          <w:p w14:paraId="53CF7FED">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（1）投标文件中未构成实质性偏差的不正规、不一致或不规则，采购人可以接受，但这种接受不能损害或影响供应商的评审排序；</w:t>
            </w:r>
          </w:p>
          <w:p w14:paraId="2B112940">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（2）除招标文件另有规定外，投标文件出现下列情况之一，可按以下原则修正：</w:t>
            </w:r>
          </w:p>
          <w:p w14:paraId="3F233A2F">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a.投标总报价不一致以“开标一览表”投标报价为准，若明细报价表单价有明显错位、计算错误，则以明细计算汇总为准修改单价及投标总报价，但应如实记录，供应商承担报价错误的不利后果；</w:t>
            </w:r>
          </w:p>
          <w:p w14:paraId="4BA51C22">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b.投标文件图表与文字不符时，以文字为准；</w:t>
            </w:r>
          </w:p>
          <w:p w14:paraId="116BF714">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c.对不同文字文本投标文件的解释发生异议的，以中文文本为准；</w:t>
            </w:r>
          </w:p>
          <w:p w14:paraId="2FC0064C">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d.报价问题修正，均以对采购方有利的方式进行。</w:t>
            </w:r>
          </w:p>
          <w:p w14:paraId="635EFE74">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注：按上述方法修正后的内容，经供应商确认后产生约束力，否则可视为无效投标。</w:t>
            </w:r>
          </w:p>
        </w:tc>
      </w:tr>
      <w:tr w14:paraId="66E21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581A3767">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13.4</w:t>
            </w:r>
          </w:p>
        </w:tc>
        <w:tc>
          <w:tcPr>
            <w:tcW w:w="1907" w:type="dxa"/>
            <w:shd w:val="clear" w:color="auto" w:fill="auto"/>
            <w:vAlign w:val="center"/>
          </w:tcPr>
          <w:p w14:paraId="5D6E7732">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strike w:val="0"/>
                <w:dstrike w:val="0"/>
                <w:color w:val="auto"/>
                <w:sz w:val="24"/>
                <w:szCs w:val="24"/>
                <w:highlight w:val="none"/>
                <w:lang w:val="en-US" w:eastAsia="zh-CN"/>
              </w:rPr>
            </w:pPr>
            <w:r>
              <w:rPr>
                <w:rFonts w:hint="eastAsia" w:ascii="仿宋" w:hAnsi="仿宋" w:eastAsia="仿宋" w:cs="仿宋"/>
                <w:strike w:val="0"/>
                <w:dstrike w:val="0"/>
                <w:color w:val="auto"/>
                <w:sz w:val="24"/>
                <w:szCs w:val="24"/>
                <w:highlight w:val="none"/>
                <w:lang w:val="en-US" w:eastAsia="zh-CN"/>
              </w:rPr>
              <w:t>评审中主观分</w:t>
            </w:r>
          </w:p>
          <w:p w14:paraId="3810648D">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strike w:val="0"/>
                <w:dstrike w:val="0"/>
                <w:color w:val="auto"/>
                <w:sz w:val="24"/>
                <w:szCs w:val="24"/>
                <w:highlight w:val="none"/>
                <w:lang w:val="en-US" w:eastAsia="zh-CN"/>
              </w:rPr>
            </w:pPr>
            <w:r>
              <w:rPr>
                <w:rFonts w:hint="eastAsia" w:ascii="仿宋" w:hAnsi="仿宋" w:eastAsia="仿宋" w:cs="仿宋"/>
                <w:strike w:val="0"/>
                <w:dstrike w:val="0"/>
                <w:color w:val="auto"/>
                <w:sz w:val="24"/>
                <w:szCs w:val="24"/>
                <w:highlight w:val="none"/>
                <w:lang w:val="en-US" w:eastAsia="zh-CN"/>
              </w:rPr>
              <w:t>的修正</w:t>
            </w:r>
          </w:p>
        </w:tc>
        <w:tc>
          <w:tcPr>
            <w:tcW w:w="6589" w:type="dxa"/>
            <w:shd w:val="clear" w:color="auto" w:fill="auto"/>
            <w:vAlign w:val="center"/>
          </w:tcPr>
          <w:p w14:paraId="057F61D2">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1、采购人、代理机构依法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 </w:t>
            </w:r>
          </w:p>
          <w:p w14:paraId="43F4D656">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①主观分总分值在 15 分以下的，评审专家主观分评分偏离 全体评委对应主观分平均分 20%以上（含本数）；</w:t>
            </w:r>
          </w:p>
          <w:p w14:paraId="22AA43B9">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②主观分总分值在 15 分（含）至 30 分的，评审专家主观分 评分偏离全体评委对应主观分平均分 15%以上（含本数）；</w:t>
            </w:r>
          </w:p>
          <w:p w14:paraId="4124573B">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③主观分总分值在 30 分（含）以上的，评审专家主观分评分偏离全体评委对应主观分平均分 10%以上（含本数）。</w:t>
            </w:r>
          </w:p>
          <w:p w14:paraId="1F07DFA6">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default" w:ascii="仿宋" w:hAnsi="仿宋" w:eastAsia="仿宋" w:cs="仿宋"/>
                <w:color w:val="auto"/>
                <w:sz w:val="24"/>
                <w:szCs w:val="24"/>
                <w:highlight w:val="none"/>
                <w:lang w:val="en-US" w:eastAsia="zh-CN"/>
              </w:rPr>
              <w:t>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如评审专家未确认属于畸高、畸低情形且未提供充分、合理 理由，对该评审专家不予支付评审劳务报酬。</w:t>
            </w:r>
          </w:p>
        </w:tc>
      </w:tr>
      <w:tr w14:paraId="75E05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481F8352">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13.5</w:t>
            </w:r>
          </w:p>
        </w:tc>
        <w:tc>
          <w:tcPr>
            <w:tcW w:w="1907" w:type="dxa"/>
            <w:shd w:val="clear" w:color="auto" w:fill="auto"/>
            <w:vAlign w:val="center"/>
          </w:tcPr>
          <w:p w14:paraId="5732F79E">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val="0"/>
                <w:bCs w:val="0"/>
                <w:color w:val="auto"/>
                <w:kern w:val="0"/>
                <w:sz w:val="24"/>
                <w:szCs w:val="24"/>
                <w:highlight w:val="yellow"/>
                <w:lang w:val="en-US" w:eastAsia="zh-CN" w:bidi="ar-SA"/>
              </w:rPr>
            </w:pPr>
            <w:r>
              <w:rPr>
                <w:rFonts w:hint="eastAsia" w:ascii="仿宋" w:hAnsi="仿宋" w:eastAsia="仿宋" w:cs="仿宋"/>
                <w:color w:val="auto"/>
                <w:sz w:val="24"/>
                <w:szCs w:val="24"/>
              </w:rPr>
              <w:t>无效标</w:t>
            </w:r>
          </w:p>
        </w:tc>
        <w:tc>
          <w:tcPr>
            <w:tcW w:w="6589" w:type="dxa"/>
            <w:shd w:val="clear" w:color="auto" w:fill="auto"/>
            <w:vAlign w:val="center"/>
          </w:tcPr>
          <w:p w14:paraId="480B77FA">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投标文件出现下列情形之一为无效投标：</w:t>
            </w:r>
          </w:p>
          <w:p w14:paraId="49752DB4">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1.未通过资格审查。</w:t>
            </w:r>
          </w:p>
          <w:p w14:paraId="31313972">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2.未通过</w:t>
            </w:r>
            <w:r>
              <w:rPr>
                <w:rFonts w:hint="eastAsia" w:ascii="仿宋" w:hAnsi="仿宋" w:eastAsia="仿宋" w:cs="仿宋"/>
                <w:strike w:val="0"/>
                <w:dstrike w:val="0"/>
                <w:color w:val="auto"/>
                <w:sz w:val="24"/>
                <w:szCs w:val="24"/>
                <w:lang w:val="en-US" w:eastAsia="zh-CN"/>
              </w:rPr>
              <w:t>符合性</w:t>
            </w:r>
            <w:r>
              <w:rPr>
                <w:rFonts w:hint="eastAsia" w:ascii="仿宋" w:hAnsi="仿宋" w:eastAsia="仿宋" w:cs="仿宋"/>
                <w:color w:val="auto"/>
                <w:sz w:val="24"/>
                <w:szCs w:val="24"/>
                <w:lang w:val="en-US" w:eastAsia="zh-CN"/>
              </w:rPr>
              <w:t>审查</w:t>
            </w:r>
            <w:r>
              <w:rPr>
                <w:rFonts w:hint="eastAsia" w:ascii="仿宋" w:hAnsi="仿宋" w:eastAsia="仿宋" w:cs="仿宋"/>
                <w:color w:val="auto"/>
                <w:sz w:val="24"/>
                <w:szCs w:val="24"/>
              </w:rPr>
              <w:t>。</w:t>
            </w:r>
          </w:p>
          <w:p w14:paraId="2BDE0E20">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val="en-US" w:eastAsia="zh-CN"/>
              </w:rPr>
              <w:t>有弄</w:t>
            </w:r>
            <w:r>
              <w:rPr>
                <w:rFonts w:hint="eastAsia" w:ascii="仿宋" w:hAnsi="仿宋" w:eastAsia="仿宋" w:cs="仿宋"/>
                <w:color w:val="auto"/>
                <w:sz w:val="24"/>
                <w:szCs w:val="24"/>
              </w:rPr>
              <w:t>虚</w:t>
            </w:r>
            <w:r>
              <w:rPr>
                <w:rFonts w:hint="eastAsia" w:ascii="仿宋" w:hAnsi="仿宋" w:eastAsia="仿宋" w:cs="仿宋"/>
                <w:color w:val="auto"/>
                <w:sz w:val="24"/>
                <w:szCs w:val="24"/>
                <w:lang w:val="en-US" w:eastAsia="zh-CN"/>
              </w:rPr>
              <w:t>作</w:t>
            </w:r>
            <w:r>
              <w:rPr>
                <w:rFonts w:hint="eastAsia" w:ascii="仿宋" w:hAnsi="仿宋" w:eastAsia="仿宋" w:cs="仿宋"/>
                <w:color w:val="auto"/>
                <w:sz w:val="24"/>
                <w:szCs w:val="24"/>
              </w:rPr>
              <w:t>假</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串标围标等违法违规行为的</w:t>
            </w:r>
            <w:r>
              <w:rPr>
                <w:rFonts w:hint="eastAsia" w:ascii="仿宋" w:hAnsi="仿宋" w:eastAsia="仿宋" w:cs="仿宋"/>
                <w:color w:val="auto"/>
                <w:sz w:val="24"/>
                <w:szCs w:val="24"/>
              </w:rPr>
              <w:t>。</w:t>
            </w:r>
          </w:p>
          <w:p w14:paraId="35D486F5">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4.</w:t>
            </w:r>
            <w:r>
              <w:rPr>
                <w:rFonts w:hint="eastAsia" w:ascii="仿宋" w:hAnsi="仿宋" w:eastAsia="仿宋" w:cs="仿宋"/>
                <w:color w:val="auto"/>
                <w:sz w:val="24"/>
                <w:szCs w:val="24"/>
                <w:lang w:val="en-US" w:eastAsia="zh-CN"/>
              </w:rPr>
              <w:t>未合法合规获取采购资料。</w:t>
            </w:r>
          </w:p>
          <w:p w14:paraId="24A94CBD">
            <w:pPr>
              <w:keepNext w:val="0"/>
              <w:keepLines w:val="0"/>
              <w:pageBreakBefore w:val="0"/>
              <w:kinsoku/>
              <w:wordWrap/>
              <w:overflowPunct/>
              <w:topLinePunct w:val="0"/>
              <w:autoSpaceDE/>
              <w:autoSpaceDN/>
              <w:bidi w:val="0"/>
              <w:adjustRightInd/>
              <w:spacing w:beforeAutospacing="0" w:afterAutospacing="0" w:line="500" w:lineRule="exact"/>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5.投标</w:t>
            </w:r>
            <w:r>
              <w:rPr>
                <w:rFonts w:hint="eastAsia" w:ascii="仿宋" w:hAnsi="仿宋" w:eastAsia="仿宋" w:cs="仿宋"/>
                <w:color w:val="auto"/>
                <w:sz w:val="24"/>
                <w:szCs w:val="24"/>
              </w:rPr>
              <w:t>附有采购人</w:t>
            </w:r>
            <w:r>
              <w:rPr>
                <w:rFonts w:hint="eastAsia" w:ascii="仿宋" w:hAnsi="仿宋" w:eastAsia="仿宋" w:cs="仿宋"/>
                <w:color w:val="auto"/>
                <w:sz w:val="24"/>
                <w:szCs w:val="24"/>
                <w:lang w:val="en-US" w:eastAsia="zh-CN"/>
              </w:rPr>
              <w:t>不能接受的条件。</w:t>
            </w:r>
          </w:p>
          <w:p w14:paraId="1351F964">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6.招标文件及法律法规规定的其他无效情形。</w:t>
            </w:r>
          </w:p>
        </w:tc>
      </w:tr>
      <w:tr w14:paraId="041AF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3587B047">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14</w:t>
            </w:r>
          </w:p>
        </w:tc>
        <w:tc>
          <w:tcPr>
            <w:tcW w:w="1907" w:type="dxa"/>
            <w:tcBorders>
              <w:right w:val="nil"/>
            </w:tcBorders>
            <w:shd w:val="clear" w:color="auto" w:fill="auto"/>
            <w:vAlign w:val="center"/>
          </w:tcPr>
          <w:p w14:paraId="7AB28C1E">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strike w:val="0"/>
                <w:dstrike w:val="0"/>
                <w:color w:val="auto"/>
                <w:sz w:val="24"/>
                <w:szCs w:val="24"/>
                <w:highlight w:val="none"/>
                <w:lang w:val="en-US" w:eastAsia="zh-CN"/>
              </w:rPr>
            </w:pPr>
            <w:r>
              <w:rPr>
                <w:rFonts w:hint="eastAsia" w:ascii="仿宋" w:hAnsi="仿宋" w:eastAsia="仿宋" w:cs="仿宋"/>
                <w:color w:val="auto"/>
                <w:sz w:val="24"/>
                <w:szCs w:val="24"/>
                <w:lang w:val="en-US" w:eastAsia="zh-CN"/>
              </w:rPr>
              <w:t>中标人</w:t>
            </w:r>
          </w:p>
        </w:tc>
        <w:tc>
          <w:tcPr>
            <w:tcW w:w="6589" w:type="dxa"/>
            <w:tcBorders>
              <w:left w:val="nil"/>
            </w:tcBorders>
            <w:shd w:val="clear" w:color="auto" w:fill="auto"/>
            <w:vAlign w:val="center"/>
          </w:tcPr>
          <w:p w14:paraId="37940789">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b w:val="0"/>
                <w:bCs w:val="0"/>
                <w:color w:val="auto"/>
                <w:kern w:val="0"/>
                <w:sz w:val="24"/>
                <w:szCs w:val="24"/>
                <w:lang w:val="en-US" w:eastAsia="zh-CN" w:bidi="ar-SA"/>
              </w:rPr>
            </w:pPr>
          </w:p>
        </w:tc>
      </w:tr>
      <w:tr w14:paraId="2CFD5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6A3E495F">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14.1</w:t>
            </w:r>
          </w:p>
        </w:tc>
        <w:tc>
          <w:tcPr>
            <w:tcW w:w="1907" w:type="dxa"/>
            <w:shd w:val="clear" w:color="auto" w:fill="auto"/>
            <w:vAlign w:val="center"/>
          </w:tcPr>
          <w:p w14:paraId="4531030A">
            <w:pPr>
              <w:keepNext w:val="0"/>
              <w:keepLines w:val="0"/>
              <w:pageBreakBefore w:val="0"/>
              <w:kinsoku/>
              <w:wordWrap/>
              <w:overflowPunct/>
              <w:topLinePunct w:val="0"/>
              <w:autoSpaceDE/>
              <w:autoSpaceDN/>
              <w:bidi w:val="0"/>
              <w:adjustRightInd/>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确定中标人</w:t>
            </w:r>
          </w:p>
        </w:tc>
        <w:tc>
          <w:tcPr>
            <w:tcW w:w="6589" w:type="dxa"/>
            <w:shd w:val="clear" w:color="auto" w:fill="auto"/>
            <w:vAlign w:val="center"/>
          </w:tcPr>
          <w:p w14:paraId="7BF15E81">
            <w:pPr>
              <w:keepNext w:val="0"/>
              <w:keepLines w:val="0"/>
              <w:pageBreakBefore w:val="0"/>
              <w:numPr>
                <w:ilvl w:val="0"/>
                <w:numId w:val="0"/>
              </w:numPr>
              <w:tabs>
                <w:tab w:val="left" w:pos="0"/>
              </w:tabs>
              <w:kinsoku/>
              <w:wordWrap/>
              <w:overflowPunct/>
              <w:topLinePunct w:val="0"/>
              <w:autoSpaceDE/>
              <w:autoSpaceDN/>
              <w:bidi w:val="0"/>
              <w:adjustRightInd/>
              <w:spacing w:line="500" w:lineRule="exact"/>
              <w:ind w:left="0" w:leftChars="0" w:firstLine="0" w:firstLineChars="0"/>
              <w:textAlignment w:val="auto"/>
              <w:rPr>
                <w:rFonts w:hint="eastAsia" w:ascii="仿宋" w:hAnsi="仿宋" w:eastAsia="仿宋" w:cs="仿宋"/>
                <w:bCs/>
                <w:color w:val="auto"/>
                <w:kern w:val="2"/>
                <w:sz w:val="24"/>
                <w:szCs w:val="24"/>
                <w:lang w:val="en-US" w:eastAsia="zh-CN" w:bidi="ar-SA"/>
              </w:rPr>
            </w:pPr>
            <w:r>
              <w:rPr>
                <w:rFonts w:hint="eastAsia" w:ascii="仿宋" w:hAnsi="仿宋" w:eastAsia="仿宋" w:cs="仿宋"/>
                <w:color w:val="auto"/>
                <w:kern w:val="0"/>
                <w:sz w:val="24"/>
                <w:szCs w:val="24"/>
                <w:lang w:val="en-US" w:eastAsia="zh-CN" w:bidi="ar-SA"/>
              </w:rPr>
              <w:t>采购人</w:t>
            </w:r>
          </w:p>
        </w:tc>
      </w:tr>
      <w:tr w14:paraId="2AA27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044B99B8">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14.2</w:t>
            </w:r>
          </w:p>
        </w:tc>
        <w:tc>
          <w:tcPr>
            <w:tcW w:w="1907" w:type="dxa"/>
            <w:shd w:val="clear" w:color="auto" w:fill="auto"/>
            <w:vAlign w:val="center"/>
          </w:tcPr>
          <w:p w14:paraId="7D415FE5">
            <w:pPr>
              <w:keepNext w:val="0"/>
              <w:keepLines w:val="0"/>
              <w:pageBreakBefore w:val="0"/>
              <w:kinsoku/>
              <w:overflowPunct/>
              <w:topLinePunct w:val="0"/>
              <w:bidi w:val="0"/>
              <w:adjustRightInd/>
              <w:snapToGrid w:val="0"/>
              <w:spacing w:line="500" w:lineRule="exact"/>
              <w:jc w:val="center"/>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中标人变更</w:t>
            </w:r>
          </w:p>
        </w:tc>
        <w:tc>
          <w:tcPr>
            <w:tcW w:w="6589" w:type="dxa"/>
            <w:shd w:val="clear" w:color="auto" w:fill="auto"/>
            <w:vAlign w:val="center"/>
          </w:tcPr>
          <w:p w14:paraId="4DAF05E2">
            <w:pPr>
              <w:keepNext w:val="0"/>
              <w:keepLines w:val="0"/>
              <w:pageBreakBefore w:val="0"/>
              <w:kinsoku/>
              <w:wordWrap/>
              <w:overflowPunct/>
              <w:topLinePunct w:val="0"/>
              <w:bidi w:val="0"/>
              <w:adjustRightInd/>
              <w:snapToGrid w:val="0"/>
              <w:spacing w:line="500" w:lineRule="exact"/>
              <w:jc w:val="left"/>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根据采购法实施条例第49条和财库便函【2019】154号文，中标人拒绝与采购人签订合同（或弃标），采购人可根据采购项目的实际情况，综合考虑递补供应商的经济性和效率等因素，自主确定是否重新开展采购活动或确定下一候选人为中标或者成交供应商。</w:t>
            </w:r>
          </w:p>
          <w:p w14:paraId="0B4E8684">
            <w:pPr>
              <w:keepNext w:val="0"/>
              <w:keepLines w:val="0"/>
              <w:pageBreakBefore w:val="0"/>
              <w:kinsoku/>
              <w:wordWrap/>
              <w:overflowPunct/>
              <w:topLinePunct w:val="0"/>
              <w:bidi w:val="0"/>
              <w:adjustRightInd/>
              <w:snapToGrid w:val="0"/>
              <w:spacing w:line="500" w:lineRule="exact"/>
              <w:jc w:val="left"/>
              <w:textAlignment w:val="baseline"/>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2.出现变更中标人的其他情形时，按照政府采购法及相关法律法规进行。</w:t>
            </w:r>
          </w:p>
          <w:p w14:paraId="0E5BEB98">
            <w:pPr>
              <w:keepNext w:val="0"/>
              <w:keepLines w:val="0"/>
              <w:pageBreakBefore w:val="0"/>
              <w:kinsoku/>
              <w:wordWrap/>
              <w:overflowPunct/>
              <w:topLinePunct w:val="0"/>
              <w:bidi w:val="0"/>
              <w:adjustRightInd/>
              <w:snapToGrid w:val="0"/>
              <w:spacing w:line="500" w:lineRule="exact"/>
              <w:jc w:val="left"/>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lang w:val="en-US" w:eastAsia="zh-CN"/>
              </w:rPr>
              <w:t>3.合同签订前，若</w:t>
            </w:r>
            <w:r>
              <w:rPr>
                <w:rFonts w:hint="eastAsia" w:ascii="仿宋" w:hAnsi="仿宋" w:eastAsia="仿宋" w:cs="仿宋"/>
                <w:color w:val="auto"/>
                <w:sz w:val="24"/>
                <w:szCs w:val="24"/>
                <w:highlight w:val="none"/>
                <w:lang w:val="en-US" w:eastAsia="zh-CN"/>
              </w:rPr>
              <w:t>中标</w:t>
            </w:r>
            <w:r>
              <w:rPr>
                <w:rFonts w:hint="eastAsia" w:ascii="仿宋" w:hAnsi="仿宋" w:eastAsia="仿宋" w:cs="仿宋"/>
                <w:color w:val="auto"/>
                <w:kern w:val="0"/>
                <w:sz w:val="24"/>
                <w:lang w:val="en-US" w:eastAsia="zh-CN"/>
              </w:rPr>
              <w:t>人经营状况发生变化，</w:t>
            </w:r>
            <w:r>
              <w:rPr>
                <w:rFonts w:hint="eastAsia" w:ascii="仿宋" w:hAnsi="仿宋" w:eastAsia="仿宋" w:cs="仿宋"/>
                <w:color w:val="auto"/>
                <w:sz w:val="24"/>
                <w:szCs w:val="24"/>
                <w:highlight w:val="none"/>
                <w:lang w:val="en-US" w:eastAsia="zh-CN"/>
              </w:rPr>
              <w:t>中标</w:t>
            </w:r>
            <w:r>
              <w:rPr>
                <w:rFonts w:hint="eastAsia" w:ascii="仿宋" w:hAnsi="仿宋" w:eastAsia="仿宋" w:cs="仿宋"/>
                <w:color w:val="auto"/>
                <w:kern w:val="0"/>
                <w:sz w:val="24"/>
                <w:lang w:val="en-US" w:eastAsia="zh-CN"/>
              </w:rPr>
              <w:t>人须及时向采购人说明情况，采购人认为</w:t>
            </w:r>
            <w:r>
              <w:rPr>
                <w:rFonts w:hint="eastAsia" w:ascii="仿宋" w:hAnsi="仿宋" w:eastAsia="仿宋" w:cs="仿宋"/>
                <w:color w:val="auto"/>
                <w:sz w:val="24"/>
                <w:szCs w:val="24"/>
                <w:highlight w:val="none"/>
                <w:lang w:val="en-US" w:eastAsia="zh-CN"/>
              </w:rPr>
              <w:t>中标</w:t>
            </w:r>
            <w:r>
              <w:rPr>
                <w:rFonts w:hint="eastAsia" w:ascii="仿宋" w:hAnsi="仿宋" w:eastAsia="仿宋" w:cs="仿宋"/>
                <w:color w:val="auto"/>
                <w:kern w:val="0"/>
                <w:sz w:val="24"/>
                <w:lang w:val="en-US" w:eastAsia="zh-CN"/>
              </w:rPr>
              <w:t>人不具备履约能力，可取消其</w:t>
            </w:r>
            <w:r>
              <w:rPr>
                <w:rFonts w:hint="eastAsia" w:ascii="仿宋" w:hAnsi="仿宋" w:eastAsia="仿宋" w:cs="仿宋"/>
                <w:color w:val="auto"/>
                <w:sz w:val="24"/>
                <w:szCs w:val="24"/>
                <w:highlight w:val="none"/>
                <w:lang w:val="en-US" w:eastAsia="zh-CN"/>
              </w:rPr>
              <w:t>中标</w:t>
            </w:r>
            <w:r>
              <w:rPr>
                <w:rFonts w:hint="eastAsia" w:ascii="仿宋" w:hAnsi="仿宋" w:eastAsia="仿宋" w:cs="仿宋"/>
                <w:color w:val="auto"/>
                <w:kern w:val="0"/>
                <w:sz w:val="24"/>
                <w:lang w:val="en-US" w:eastAsia="zh-CN"/>
              </w:rPr>
              <w:t>资格</w:t>
            </w:r>
            <w:r>
              <w:rPr>
                <w:rFonts w:hint="eastAsia" w:ascii="仿宋" w:hAnsi="仿宋" w:eastAsia="仿宋" w:cs="仿宋"/>
                <w:bCs/>
                <w:color w:val="auto"/>
                <w:sz w:val="24"/>
                <w:szCs w:val="24"/>
              </w:rPr>
              <w:t>。</w:t>
            </w:r>
          </w:p>
        </w:tc>
      </w:tr>
      <w:tr w14:paraId="70DF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345BE817">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15</w:t>
            </w:r>
          </w:p>
        </w:tc>
        <w:tc>
          <w:tcPr>
            <w:tcW w:w="1907" w:type="dxa"/>
            <w:vAlign w:val="center"/>
          </w:tcPr>
          <w:p w14:paraId="38E221C7">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rPr>
            </w:pPr>
            <w:r>
              <w:rPr>
                <w:rFonts w:hint="eastAsia" w:ascii="仿宋" w:hAnsi="仿宋" w:eastAsia="仿宋" w:cs="仿宋"/>
                <w:b w:val="0"/>
                <w:bCs/>
                <w:color w:val="auto"/>
                <w:sz w:val="24"/>
                <w:szCs w:val="24"/>
              </w:rPr>
              <w:t>重新采购</w:t>
            </w:r>
          </w:p>
        </w:tc>
        <w:tc>
          <w:tcPr>
            <w:tcW w:w="6589" w:type="dxa"/>
            <w:vAlign w:val="center"/>
          </w:tcPr>
          <w:p w14:paraId="33B72FFD">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（1）出现影响采购公正的违法、违规行为的；</w:t>
            </w:r>
          </w:p>
          <w:p w14:paraId="7B152DAB">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（2）实质响应的供应商不足三家的；（经审批可采取其他采购方式的除外）</w:t>
            </w:r>
          </w:p>
          <w:p w14:paraId="3E33A33C">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（3）所有供应商的报价均超出</w:t>
            </w:r>
            <w:r>
              <w:rPr>
                <w:rFonts w:hint="eastAsia" w:ascii="仿宋" w:hAnsi="仿宋" w:eastAsia="仿宋" w:cs="仿宋"/>
                <w:bCs/>
                <w:color w:val="auto"/>
                <w:sz w:val="24"/>
                <w:szCs w:val="24"/>
                <w:lang w:val="en-US" w:eastAsia="zh-CN"/>
              </w:rPr>
              <w:t>项目</w:t>
            </w:r>
            <w:r>
              <w:rPr>
                <w:rFonts w:hint="eastAsia" w:ascii="仿宋" w:hAnsi="仿宋" w:eastAsia="仿宋" w:cs="仿宋"/>
                <w:color w:val="auto"/>
                <w:sz w:val="24"/>
                <w:szCs w:val="24"/>
                <w:lang w:val="en-US" w:eastAsia="zh-CN"/>
              </w:rPr>
              <w:t>预算金额或最高限价，采购人不能支付的；</w:t>
            </w:r>
          </w:p>
          <w:p w14:paraId="70AD7FB3">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（4）项目发生重大变更；</w:t>
            </w:r>
          </w:p>
          <w:p w14:paraId="6DBA32C1">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（5）法律法规和招标文件规定的其他情形。</w:t>
            </w:r>
          </w:p>
        </w:tc>
      </w:tr>
      <w:tr w14:paraId="7C4C8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shd w:val="clear" w:color="auto" w:fill="auto"/>
            <w:vAlign w:val="center"/>
          </w:tcPr>
          <w:p w14:paraId="5284FFDD">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16</w:t>
            </w:r>
          </w:p>
        </w:tc>
        <w:tc>
          <w:tcPr>
            <w:tcW w:w="1907" w:type="dxa"/>
            <w:tcBorders>
              <w:right w:val="nil"/>
            </w:tcBorders>
            <w:shd w:val="clear" w:color="auto" w:fill="auto"/>
            <w:vAlign w:val="center"/>
          </w:tcPr>
          <w:p w14:paraId="4628C7C1">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履约验收</w:t>
            </w:r>
          </w:p>
        </w:tc>
        <w:tc>
          <w:tcPr>
            <w:tcW w:w="6589" w:type="dxa"/>
            <w:tcBorders>
              <w:left w:val="nil"/>
            </w:tcBorders>
            <w:vAlign w:val="center"/>
          </w:tcPr>
          <w:p w14:paraId="5333799D">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p>
        </w:tc>
      </w:tr>
      <w:tr w14:paraId="2CFF9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shd w:val="clear" w:color="auto" w:fill="auto"/>
            <w:vAlign w:val="center"/>
          </w:tcPr>
          <w:p w14:paraId="5D59DE10">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16.1</w:t>
            </w:r>
          </w:p>
        </w:tc>
        <w:tc>
          <w:tcPr>
            <w:tcW w:w="1907" w:type="dxa"/>
            <w:shd w:val="clear" w:color="auto" w:fill="auto"/>
            <w:vAlign w:val="center"/>
          </w:tcPr>
          <w:p w14:paraId="658CAB5E">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2"/>
                <w:sz w:val="24"/>
                <w:szCs w:val="24"/>
                <w:highlight w:val="yellow"/>
                <w:lang w:val="en-US" w:eastAsia="zh-CN" w:bidi="ar-SA"/>
              </w:rPr>
            </w:pPr>
            <w:r>
              <w:rPr>
                <w:rFonts w:hint="eastAsia" w:ascii="仿宋" w:hAnsi="仿宋" w:eastAsia="仿宋" w:cs="仿宋"/>
                <w:color w:val="auto"/>
                <w:kern w:val="0"/>
                <w:highlight w:val="none"/>
                <w:lang w:val="en-US" w:eastAsia="zh-CN"/>
              </w:rPr>
              <w:t>履约验收主体</w:t>
            </w:r>
          </w:p>
        </w:tc>
        <w:tc>
          <w:tcPr>
            <w:tcW w:w="6589" w:type="dxa"/>
            <w:shd w:val="clear" w:color="auto" w:fill="auto"/>
            <w:vAlign w:val="center"/>
          </w:tcPr>
          <w:p w14:paraId="4D9EB8AC">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kern w:val="2"/>
                <w:sz w:val="24"/>
                <w:szCs w:val="24"/>
                <w:highlight w:val="yellow"/>
                <w:lang w:val="en-US" w:eastAsia="zh-CN" w:bidi="ar-SA"/>
              </w:rPr>
            </w:pPr>
            <w:r>
              <w:rPr>
                <w:rFonts w:hint="default" w:ascii="仿宋" w:hAnsi="仿宋" w:eastAsia="仿宋" w:cs="仿宋"/>
                <w:color w:val="auto"/>
                <w:sz w:val="24"/>
                <w:szCs w:val="24"/>
                <w:highlight w:val="none"/>
                <w:lang w:val="en-US" w:eastAsia="zh-CN"/>
              </w:rPr>
              <w:t>采购人是履约验收的第一责任人，负有对履约验收工作的主体责任。</w:t>
            </w:r>
          </w:p>
        </w:tc>
      </w:tr>
      <w:tr w14:paraId="1823C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shd w:val="clear" w:color="auto" w:fill="auto"/>
            <w:vAlign w:val="center"/>
          </w:tcPr>
          <w:p w14:paraId="04B85079">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16.2</w:t>
            </w:r>
          </w:p>
        </w:tc>
        <w:tc>
          <w:tcPr>
            <w:tcW w:w="1907" w:type="dxa"/>
            <w:shd w:val="clear" w:color="auto" w:fill="auto"/>
            <w:vAlign w:val="center"/>
          </w:tcPr>
          <w:p w14:paraId="14CAECD7">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highlight w:val="none"/>
                <w:lang w:val="en-US" w:eastAsia="zh-CN"/>
              </w:rPr>
              <w:t>履约单位义务与责任</w:t>
            </w:r>
          </w:p>
        </w:tc>
        <w:tc>
          <w:tcPr>
            <w:tcW w:w="6589" w:type="dxa"/>
            <w:shd w:val="clear" w:color="auto" w:fill="auto"/>
            <w:vAlign w:val="center"/>
          </w:tcPr>
          <w:p w14:paraId="0E0B1351">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诚信履约：履约单位应严守契约精神，将诚信履约作为经营底线。签订采购合同后，应按照履约期限，向采购人提供符合招标文件要求、投标文件内容、合同约定交付标准的货物及服务内容，不得擅自降低质量标准、减少供货数量或减少配置及改变产品品牌/规格型号等。</w:t>
            </w:r>
          </w:p>
          <w:p w14:paraId="615FEAEA">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2.主动配合验收，承担违约责任：履约单位应积极配合采购人开展的履约验收工作，提供与项目验收相关的资料。对不按合同履约、提供虚假材料、阻挠正常验收、拒不整改或整改不到位、履约过程违约的，采购人应依据采购合同及《民法典》等相关法律法规，依法追究其法律责任，必要时，可将违法线索报送监督部门予以查处。</w:t>
            </w:r>
          </w:p>
        </w:tc>
      </w:tr>
      <w:tr w14:paraId="70795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shd w:val="clear" w:color="auto" w:fill="auto"/>
            <w:vAlign w:val="center"/>
          </w:tcPr>
          <w:p w14:paraId="2DB346A9">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16.3</w:t>
            </w:r>
          </w:p>
        </w:tc>
        <w:tc>
          <w:tcPr>
            <w:tcW w:w="1907" w:type="dxa"/>
            <w:shd w:val="clear" w:color="auto" w:fill="auto"/>
            <w:vAlign w:val="center"/>
          </w:tcPr>
          <w:p w14:paraId="797A49BE">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bCs/>
                <w:color w:val="auto"/>
                <w:sz w:val="24"/>
                <w:szCs w:val="24"/>
                <w:lang w:val="en-US" w:eastAsia="zh-CN"/>
              </w:rPr>
              <w:t>履约验收方式、程序</w:t>
            </w:r>
          </w:p>
        </w:tc>
        <w:tc>
          <w:tcPr>
            <w:tcW w:w="6589" w:type="dxa"/>
            <w:shd w:val="clear" w:color="auto" w:fill="auto"/>
            <w:vAlign w:val="center"/>
          </w:tcPr>
          <w:p w14:paraId="7F642C09">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交付时一次性验收</w:t>
            </w:r>
          </w:p>
        </w:tc>
      </w:tr>
      <w:tr w14:paraId="72651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shd w:val="clear" w:color="auto" w:fill="auto"/>
            <w:vAlign w:val="center"/>
          </w:tcPr>
          <w:p w14:paraId="55C31954">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16.4</w:t>
            </w:r>
          </w:p>
        </w:tc>
        <w:tc>
          <w:tcPr>
            <w:tcW w:w="1907" w:type="dxa"/>
            <w:shd w:val="clear" w:color="auto" w:fill="auto"/>
            <w:vAlign w:val="center"/>
          </w:tcPr>
          <w:p w14:paraId="4F0DE1B6">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highlight w:val="none"/>
                <w:lang w:val="en-US" w:eastAsia="zh-CN"/>
              </w:rPr>
              <w:t>履约验收内容</w:t>
            </w:r>
          </w:p>
        </w:tc>
        <w:tc>
          <w:tcPr>
            <w:tcW w:w="6589" w:type="dxa"/>
            <w:shd w:val="clear" w:color="auto" w:fill="auto"/>
            <w:vAlign w:val="center"/>
          </w:tcPr>
          <w:p w14:paraId="0E5DF5F3">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default" w:ascii="仿宋" w:hAnsi="仿宋" w:eastAsia="仿宋" w:cs="仿宋"/>
                <w:color w:val="auto"/>
                <w:kern w:val="2"/>
                <w:sz w:val="24"/>
                <w:szCs w:val="24"/>
                <w:lang w:val="en-US" w:eastAsia="zh-CN" w:bidi="ar-SA"/>
              </w:rPr>
            </w:pPr>
            <w:r>
              <w:rPr>
                <w:rFonts w:hint="eastAsia" w:ascii="仿宋" w:hAnsi="仿宋" w:eastAsia="仿宋" w:cs="仿宋"/>
                <w:bCs/>
                <w:color w:val="auto"/>
                <w:sz w:val="24"/>
                <w:szCs w:val="24"/>
                <w:lang w:val="en-US" w:eastAsia="zh-CN"/>
              </w:rPr>
              <w:t>验收小组须严格落实法律法规、履约验收要求，按照招标文件、投标文件、合同约定的技术、服务以及履约期限、交付方式、售后服务条款等要求，客观、公正进行验收，出具验收意见、验收报告等。验收报告应载明验收依据、验收过程、各项验收内容的评价、发现的问题（如有）、处理建议及最终的验收结论（合格或不合格）等,由验收双方共同签署。</w:t>
            </w:r>
          </w:p>
        </w:tc>
      </w:tr>
      <w:tr w14:paraId="16FC7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shd w:val="clear" w:color="auto" w:fill="auto"/>
            <w:vAlign w:val="center"/>
          </w:tcPr>
          <w:p w14:paraId="733086F2">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16.5</w:t>
            </w:r>
          </w:p>
        </w:tc>
        <w:tc>
          <w:tcPr>
            <w:tcW w:w="1907" w:type="dxa"/>
            <w:shd w:val="clear" w:color="auto" w:fill="auto"/>
            <w:vAlign w:val="center"/>
          </w:tcPr>
          <w:p w14:paraId="3DCF5721">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履约验收依据</w:t>
            </w:r>
          </w:p>
        </w:tc>
        <w:tc>
          <w:tcPr>
            <w:tcW w:w="6589" w:type="dxa"/>
            <w:shd w:val="clear" w:color="auto" w:fill="auto"/>
            <w:vAlign w:val="center"/>
          </w:tcPr>
          <w:p w14:paraId="63EAEF69">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验收人依据国家、行业现行相关标准及采购合同规定的标的、技术、数量、质量和安全标准等，对供应商履约情况进行验收，并出具验收报告。</w:t>
            </w:r>
          </w:p>
        </w:tc>
      </w:tr>
      <w:tr w14:paraId="74B70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shd w:val="clear" w:color="auto" w:fill="auto"/>
            <w:vAlign w:val="center"/>
          </w:tcPr>
          <w:p w14:paraId="6C1F32EB">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16.6</w:t>
            </w:r>
          </w:p>
        </w:tc>
        <w:tc>
          <w:tcPr>
            <w:tcW w:w="1907" w:type="dxa"/>
            <w:shd w:val="clear" w:color="auto" w:fill="auto"/>
            <w:vAlign w:val="center"/>
          </w:tcPr>
          <w:p w14:paraId="64EAF56B">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履约验收标准</w:t>
            </w:r>
          </w:p>
        </w:tc>
        <w:tc>
          <w:tcPr>
            <w:tcW w:w="6589" w:type="dxa"/>
            <w:shd w:val="clear" w:color="auto" w:fill="auto"/>
            <w:vAlign w:val="center"/>
          </w:tcPr>
          <w:p w14:paraId="05789F9F">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达到国家、行业相关现行标准，依据合同约定验收合格，符合本次采购要求。</w:t>
            </w:r>
          </w:p>
        </w:tc>
      </w:tr>
      <w:tr w14:paraId="441D7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shd w:val="clear" w:color="auto" w:fill="auto"/>
            <w:vAlign w:val="center"/>
          </w:tcPr>
          <w:p w14:paraId="78C8BC32">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16.7</w:t>
            </w:r>
          </w:p>
        </w:tc>
        <w:tc>
          <w:tcPr>
            <w:tcW w:w="1907" w:type="dxa"/>
            <w:shd w:val="clear" w:color="auto" w:fill="auto"/>
            <w:vAlign w:val="center"/>
          </w:tcPr>
          <w:p w14:paraId="628E7D90">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履约验收问题</w:t>
            </w:r>
          </w:p>
          <w:p w14:paraId="197C0DAC">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处理</w:t>
            </w:r>
          </w:p>
        </w:tc>
        <w:tc>
          <w:tcPr>
            <w:tcW w:w="6589" w:type="dxa"/>
            <w:shd w:val="clear" w:color="auto" w:fill="auto"/>
            <w:vAlign w:val="center"/>
          </w:tcPr>
          <w:p w14:paraId="0AAEE1D0">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验收合格的项目,采购人应当根据采购合同的约定及时向成交人支付资金。验收不合格的项目,采购人应当依法及时处理。</w:t>
            </w:r>
          </w:p>
        </w:tc>
      </w:tr>
      <w:tr w14:paraId="7FEC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shd w:val="clear" w:color="auto" w:fill="auto"/>
            <w:vAlign w:val="center"/>
          </w:tcPr>
          <w:p w14:paraId="2F06F8BE">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16.8</w:t>
            </w:r>
          </w:p>
        </w:tc>
        <w:tc>
          <w:tcPr>
            <w:tcW w:w="1907" w:type="dxa"/>
            <w:shd w:val="clear" w:color="auto" w:fill="auto"/>
            <w:vAlign w:val="center"/>
          </w:tcPr>
          <w:p w14:paraId="03C99AE2">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履约争议、违约</w:t>
            </w:r>
          </w:p>
        </w:tc>
        <w:tc>
          <w:tcPr>
            <w:tcW w:w="6589" w:type="dxa"/>
            <w:shd w:val="clear" w:color="auto" w:fill="auto"/>
            <w:vAlign w:val="center"/>
          </w:tcPr>
          <w:p w14:paraId="04AA47A5">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sz w:val="24"/>
                <w:szCs w:val="24"/>
                <w:lang w:val="en-US" w:eastAsia="zh-CN"/>
              </w:rPr>
              <w:t>采购合同履行、违约责任和解决争议的方式等适用采购合同及民法典。履约单位在履约过程中有相关法律法规规定的违法违规情形的,采购人应当及时报告监督部门。</w:t>
            </w:r>
          </w:p>
        </w:tc>
      </w:tr>
      <w:tr w14:paraId="14064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shd w:val="clear" w:color="auto" w:fill="auto"/>
            <w:vAlign w:val="center"/>
          </w:tcPr>
          <w:p w14:paraId="350AB75B">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17</w:t>
            </w:r>
          </w:p>
        </w:tc>
        <w:tc>
          <w:tcPr>
            <w:tcW w:w="1907" w:type="dxa"/>
            <w:tcBorders>
              <w:right w:val="nil"/>
            </w:tcBorders>
            <w:shd w:val="clear" w:color="auto" w:fill="auto"/>
            <w:vAlign w:val="center"/>
          </w:tcPr>
          <w:p w14:paraId="1F301D62">
            <w:pPr>
              <w:keepNext w:val="0"/>
              <w:keepLines w:val="0"/>
              <w:pageBreakBefore w:val="0"/>
              <w:kinsoku/>
              <w:wordWrap/>
              <w:overflowPunct/>
              <w:topLinePunct w:val="0"/>
              <w:bidi w:val="0"/>
              <w:spacing w:line="460" w:lineRule="exact"/>
              <w:jc w:val="center"/>
              <w:rPr>
                <w:rFonts w:hint="eastAsia" w:ascii="仿宋" w:hAnsi="仿宋" w:eastAsia="仿宋" w:cs="仿宋"/>
                <w:color w:val="auto"/>
                <w:kern w:val="0"/>
                <w:sz w:val="21"/>
                <w:szCs w:val="24"/>
                <w:highlight w:val="none"/>
                <w:lang w:val="en-US" w:eastAsia="zh-CN" w:bidi="ar-SA"/>
              </w:rPr>
            </w:pPr>
            <w:r>
              <w:rPr>
                <w:rFonts w:hint="eastAsia" w:ascii="仿宋" w:hAnsi="仿宋" w:eastAsia="仿宋" w:cs="仿宋"/>
                <w:sz w:val="24"/>
                <w:szCs w:val="24"/>
                <w:lang w:val="en-US" w:eastAsia="zh-CN"/>
              </w:rPr>
              <w:t>串标释义（部分）</w:t>
            </w:r>
          </w:p>
        </w:tc>
        <w:tc>
          <w:tcPr>
            <w:tcW w:w="6589" w:type="dxa"/>
            <w:tcBorders>
              <w:left w:val="nil"/>
            </w:tcBorders>
            <w:shd w:val="clear" w:color="auto" w:fill="auto"/>
            <w:vAlign w:val="center"/>
          </w:tcPr>
          <w:p w14:paraId="19CA2B76">
            <w:pPr>
              <w:keepNext w:val="0"/>
              <w:keepLines w:val="0"/>
              <w:pageBreakBefore w:val="0"/>
              <w:numPr>
                <w:ilvl w:val="0"/>
                <w:numId w:val="0"/>
              </w:numPr>
              <w:shd w:val="clea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kern w:val="2"/>
                <w:sz w:val="24"/>
                <w:szCs w:val="24"/>
                <w:highlight w:val="yellow"/>
                <w:lang w:val="en-US" w:eastAsia="zh-CN" w:bidi="ar-SA"/>
              </w:rPr>
            </w:pPr>
          </w:p>
        </w:tc>
      </w:tr>
      <w:tr w14:paraId="607B0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shd w:val="clear" w:color="auto" w:fill="auto"/>
            <w:vAlign w:val="center"/>
          </w:tcPr>
          <w:p w14:paraId="18CF8988">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17.1</w:t>
            </w:r>
          </w:p>
        </w:tc>
        <w:tc>
          <w:tcPr>
            <w:tcW w:w="1907" w:type="dxa"/>
            <w:shd w:val="clear" w:color="auto" w:fill="auto"/>
            <w:vAlign w:val="center"/>
          </w:tcPr>
          <w:p w14:paraId="376EDE52">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“文件异常一致”</w:t>
            </w:r>
            <w:r>
              <w:rPr>
                <w:rFonts w:hint="eastAsia" w:ascii="仿宋" w:hAnsi="仿宋" w:eastAsia="仿宋" w:cs="仿宋"/>
                <w:sz w:val="24"/>
                <w:szCs w:val="24"/>
                <w:lang w:val="en-US" w:eastAsia="zh-CN"/>
              </w:rPr>
              <w:t>（雷同）</w:t>
            </w:r>
          </w:p>
        </w:tc>
        <w:tc>
          <w:tcPr>
            <w:tcW w:w="6589" w:type="dxa"/>
            <w:shd w:val="clear" w:color="auto" w:fill="auto"/>
            <w:vAlign w:val="center"/>
          </w:tcPr>
          <w:p w14:paraId="48A1A9B1">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指极小概率或者完全不可能一致的内容在不同投标文件中同时出现（如投标文件错误的内容或打印错误的内容雷同；由供应商自行编制的格式或自行编写的方案异常一致；属于某一供应商特有的业绩、编号、标识等在其他投标文件中同时出现等情形）。</w:t>
            </w:r>
          </w:p>
        </w:tc>
      </w:tr>
      <w:tr w14:paraId="51870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shd w:val="clear" w:color="auto" w:fill="auto"/>
            <w:vAlign w:val="center"/>
          </w:tcPr>
          <w:p w14:paraId="2E01464B">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17.2</w:t>
            </w:r>
          </w:p>
        </w:tc>
        <w:tc>
          <w:tcPr>
            <w:tcW w:w="1907" w:type="dxa"/>
            <w:shd w:val="clear" w:color="auto" w:fill="auto"/>
            <w:vAlign w:val="center"/>
          </w:tcPr>
          <w:p w14:paraId="41A3DE2D">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“文件相</w:t>
            </w:r>
          </w:p>
          <w:p w14:paraId="4DB3DF8C">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互混装”</w:t>
            </w:r>
          </w:p>
        </w:tc>
        <w:tc>
          <w:tcPr>
            <w:tcW w:w="6589" w:type="dxa"/>
            <w:shd w:val="clear" w:color="auto" w:fill="auto"/>
            <w:vAlign w:val="center"/>
          </w:tcPr>
          <w:p w14:paraId="0FC72B2B">
            <w:pPr>
              <w:keepNext w:val="0"/>
              <w:keepLines w:val="0"/>
              <w:pageBreakBefore w:val="0"/>
              <w:widowControl/>
              <w:kinsoku/>
              <w:wordWrap/>
              <w:overflowPunct/>
              <w:topLinePunct w:val="0"/>
              <w:bidi w:val="0"/>
              <w:adjustRightInd/>
              <w:spacing w:beforeAutospacing="0" w:afterAutospacing="0" w:line="500" w:lineRule="exact"/>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指一家投标文件中混有本项目其他供应商（指提交了投标文件的单位）的投标资料即为混装（并非仅指双方互有混装的情形）。</w:t>
            </w:r>
          </w:p>
        </w:tc>
      </w:tr>
      <w:tr w14:paraId="739D9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shd w:val="clear" w:color="auto" w:fill="auto"/>
            <w:vAlign w:val="center"/>
          </w:tcPr>
          <w:p w14:paraId="66280F08">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17.3</w:t>
            </w:r>
          </w:p>
        </w:tc>
        <w:tc>
          <w:tcPr>
            <w:tcW w:w="1907" w:type="dxa"/>
            <w:shd w:val="clear" w:color="auto" w:fill="auto"/>
            <w:vAlign w:val="center"/>
          </w:tcPr>
          <w:p w14:paraId="109E296E">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“报价规律性”</w:t>
            </w:r>
          </w:p>
        </w:tc>
        <w:tc>
          <w:tcPr>
            <w:tcW w:w="6589" w:type="dxa"/>
            <w:shd w:val="clear" w:color="auto" w:fill="auto"/>
            <w:vAlign w:val="center"/>
          </w:tcPr>
          <w:p w14:paraId="0DB7B0CF">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指投标报价呈现等差或等比数列趋势变化、分项/明细报价完全一致或某些分项价格呈现规律性提高或降低等情形。</w:t>
            </w:r>
          </w:p>
        </w:tc>
      </w:tr>
      <w:tr w14:paraId="01708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shd w:val="clear" w:color="auto" w:fill="auto"/>
            <w:vAlign w:val="center"/>
          </w:tcPr>
          <w:p w14:paraId="2C46B36C">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17.4</w:t>
            </w:r>
          </w:p>
        </w:tc>
        <w:tc>
          <w:tcPr>
            <w:tcW w:w="1907" w:type="dxa"/>
            <w:shd w:val="clear" w:color="auto" w:fill="auto"/>
            <w:vAlign w:val="center"/>
          </w:tcPr>
          <w:p w14:paraId="56E1E8A2">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串标认定</w:t>
            </w:r>
          </w:p>
        </w:tc>
        <w:tc>
          <w:tcPr>
            <w:tcW w:w="6589" w:type="dxa"/>
            <w:shd w:val="clear" w:color="auto" w:fill="auto"/>
            <w:vAlign w:val="center"/>
          </w:tcPr>
          <w:p w14:paraId="639231E4">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线上采购由系统进行串标警示。</w:t>
            </w:r>
          </w:p>
        </w:tc>
      </w:tr>
      <w:tr w14:paraId="5693E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1906B527">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w:t>
            </w:r>
          </w:p>
        </w:tc>
        <w:tc>
          <w:tcPr>
            <w:tcW w:w="1907" w:type="dxa"/>
            <w:tcBorders>
              <w:right w:val="nil"/>
            </w:tcBorders>
            <w:vAlign w:val="center"/>
          </w:tcPr>
          <w:p w14:paraId="525C39B5">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补充事项</w:t>
            </w:r>
          </w:p>
        </w:tc>
        <w:tc>
          <w:tcPr>
            <w:tcW w:w="6589" w:type="dxa"/>
            <w:tcBorders>
              <w:left w:val="nil"/>
            </w:tcBorders>
            <w:vAlign w:val="center"/>
          </w:tcPr>
          <w:p w14:paraId="1428E708">
            <w:pPr>
              <w:keepNext w:val="0"/>
              <w:keepLines w:val="0"/>
              <w:pageBreakBefore w:val="0"/>
              <w:numPr>
                <w:ilvl w:val="0"/>
                <w:numId w:val="0"/>
              </w:numPr>
              <w:shd w:val="clea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yellow"/>
                <w:lang w:val="en-US" w:eastAsia="zh-CN"/>
              </w:rPr>
            </w:pPr>
          </w:p>
        </w:tc>
      </w:tr>
      <w:tr w14:paraId="1E4A2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275D279A">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w:t>
            </w:r>
            <w:r>
              <w:rPr>
                <w:rFonts w:hint="eastAsia" w:ascii="仿宋" w:hAnsi="仿宋" w:eastAsia="仿宋" w:cs="仿宋"/>
                <w:color w:val="auto"/>
                <w:sz w:val="24"/>
                <w:szCs w:val="24"/>
                <w:highlight w:val="none"/>
                <w:lang w:val="en-US" w:eastAsia="zh-CN"/>
              </w:rPr>
              <w:t>.1</w:t>
            </w:r>
          </w:p>
        </w:tc>
        <w:tc>
          <w:tcPr>
            <w:tcW w:w="1907" w:type="dxa"/>
            <w:vAlign w:val="center"/>
          </w:tcPr>
          <w:p w14:paraId="7D35FEF7">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招标文件解释权</w:t>
            </w:r>
          </w:p>
        </w:tc>
        <w:tc>
          <w:tcPr>
            <w:tcW w:w="6589" w:type="dxa"/>
            <w:vAlign w:val="center"/>
          </w:tcPr>
          <w:p w14:paraId="7DB1D1EB">
            <w:pPr>
              <w:keepNext w:val="0"/>
              <w:keepLines w:val="0"/>
              <w:pageBreakBefore w:val="0"/>
              <w:numPr>
                <w:ilvl w:val="0"/>
                <w:numId w:val="0"/>
              </w:numPr>
              <w:kinsoku/>
              <w:wordWrap/>
              <w:overflowPunct/>
              <w:topLinePunct w:val="0"/>
              <w:autoSpaceDE/>
              <w:autoSpaceDN/>
              <w:bidi w:val="0"/>
              <w:adjustRightInd/>
              <w:snapToGrid w:val="0"/>
              <w:spacing w:line="500" w:lineRule="exact"/>
              <w:ind w:left="0" w:leftChars="0" w:firstLine="0" w:firstLineChars="0"/>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招标</w:t>
            </w:r>
            <w:r>
              <w:rPr>
                <w:rFonts w:hint="eastAsia" w:ascii="仿宋" w:hAnsi="仿宋" w:eastAsia="仿宋" w:cs="仿宋"/>
                <w:color w:val="auto"/>
                <w:sz w:val="24"/>
                <w:szCs w:val="24"/>
                <w:highlight w:val="none"/>
                <w:lang w:val="en-US" w:eastAsia="zh-CN"/>
              </w:rPr>
              <w:t>文件的解释权归采购人及代理机构所有：1）对于当事各方对</w:t>
            </w:r>
            <w:r>
              <w:rPr>
                <w:rFonts w:hint="eastAsia" w:ascii="仿宋" w:hAnsi="仿宋" w:eastAsia="仿宋" w:cs="仿宋"/>
                <w:color w:val="auto"/>
                <w:sz w:val="24"/>
                <w:szCs w:val="24"/>
                <w:lang w:val="en-US" w:eastAsia="zh-CN"/>
              </w:rPr>
              <w:t>招标</w:t>
            </w:r>
            <w:r>
              <w:rPr>
                <w:rFonts w:hint="eastAsia" w:ascii="仿宋" w:hAnsi="仿宋" w:eastAsia="仿宋" w:cs="仿宋"/>
                <w:color w:val="auto"/>
                <w:sz w:val="24"/>
                <w:szCs w:val="24"/>
                <w:highlight w:val="none"/>
                <w:lang w:val="en-US" w:eastAsia="zh-CN"/>
              </w:rPr>
              <w:t>文件发生理解偏差或歧义时，供应商又未在合法时间内提出咨询/质疑，均以代理机构的释义为基本依据，在不影响评审结果或评审公正公平进行的情况下，由代理机构澄清确认后继续评审。2）供应商对</w:t>
            </w:r>
            <w:r>
              <w:rPr>
                <w:rFonts w:hint="eastAsia" w:ascii="仿宋" w:hAnsi="仿宋" w:eastAsia="仿宋" w:cs="仿宋"/>
                <w:color w:val="auto"/>
                <w:sz w:val="24"/>
                <w:szCs w:val="24"/>
                <w:lang w:val="en-US" w:eastAsia="zh-CN"/>
              </w:rPr>
              <w:t>招标文件的自主理解、推测、主观认为、随意臆造等造成的不利后果自负。</w:t>
            </w:r>
          </w:p>
        </w:tc>
      </w:tr>
      <w:tr w14:paraId="15537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51AA5981">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18.2</w:t>
            </w:r>
          </w:p>
        </w:tc>
        <w:tc>
          <w:tcPr>
            <w:tcW w:w="1907" w:type="dxa"/>
            <w:shd w:val="clear" w:color="auto" w:fill="auto"/>
            <w:vAlign w:val="center"/>
          </w:tcPr>
          <w:p w14:paraId="385FB28A">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符号含义</w:t>
            </w:r>
          </w:p>
        </w:tc>
        <w:tc>
          <w:tcPr>
            <w:tcW w:w="6589" w:type="dxa"/>
            <w:shd w:val="clear" w:color="auto" w:fill="auto"/>
            <w:vAlign w:val="center"/>
          </w:tcPr>
          <w:p w14:paraId="7C0E7167">
            <w:pPr>
              <w:keepNext w:val="0"/>
              <w:keepLines w:val="0"/>
              <w:pageBreakBefore w:val="0"/>
              <w:kinsoku/>
              <w:wordWrap/>
              <w:overflowPunct/>
              <w:topLinePunct w:val="0"/>
              <w:autoSpaceDE/>
              <w:autoSpaceDN/>
              <w:bidi w:val="0"/>
              <w:adjustRightInd/>
              <w:snapToGrid w:val="0"/>
              <w:spacing w:line="500" w:lineRule="exact"/>
              <w:textAlignment w:val="baseline"/>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“★”为实质性条款；“▲”为重要参数；</w:t>
            </w:r>
            <w:r>
              <w:rPr>
                <w:rFonts w:hint="eastAsia" w:ascii="仿宋" w:hAnsi="仿宋" w:eastAsia="仿宋" w:cs="仿宋"/>
                <w:color w:val="auto"/>
                <w:sz w:val="24"/>
                <w:szCs w:val="24"/>
                <w:lang w:val="en-US" w:eastAsia="zh-CN"/>
              </w:rPr>
              <w:t>“</w:t>
            </w:r>
            <w:r>
              <w:rPr>
                <w:rFonts w:hint="eastAsia" w:ascii="仿宋" w:hAnsi="仿宋" w:eastAsia="仿宋" w:cs="仿宋"/>
                <w:b/>
                <w:bCs/>
                <w:color w:val="auto"/>
                <w:sz w:val="24"/>
                <w:szCs w:val="24"/>
                <w:lang w:val="en-US" w:eastAsia="zh-CN"/>
              </w:rPr>
              <w:t>＃</w:t>
            </w:r>
            <w:r>
              <w:rPr>
                <w:rFonts w:hint="eastAsia" w:ascii="仿宋" w:hAnsi="仿宋" w:eastAsia="仿宋" w:cs="仿宋"/>
                <w:color w:val="auto"/>
                <w:sz w:val="24"/>
                <w:szCs w:val="24"/>
                <w:lang w:val="en-US" w:eastAsia="zh-CN"/>
              </w:rPr>
              <w:t>”为核心产品</w:t>
            </w:r>
            <w:r>
              <w:rPr>
                <w:rFonts w:hint="eastAsia" w:ascii="仿宋" w:hAnsi="仿宋" w:eastAsia="仿宋" w:cs="仿宋"/>
                <w:color w:val="auto"/>
                <w:sz w:val="24"/>
                <w:szCs w:val="24"/>
                <w:highlight w:val="none"/>
                <w:lang w:val="en-US" w:eastAsia="zh-CN"/>
              </w:rPr>
              <w:t>。</w:t>
            </w:r>
          </w:p>
        </w:tc>
      </w:tr>
      <w:tr w14:paraId="79E2D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655AFD24">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w:t>
            </w:r>
            <w:r>
              <w:rPr>
                <w:rFonts w:hint="eastAsia" w:ascii="仿宋" w:hAnsi="仿宋" w:eastAsia="仿宋" w:cs="仿宋"/>
                <w:color w:val="auto"/>
                <w:kern w:val="2"/>
                <w:sz w:val="24"/>
                <w:szCs w:val="24"/>
                <w:lang w:val="en-US" w:eastAsia="zh-CN" w:bidi="ar-SA"/>
              </w:rPr>
              <w:t>.3</w:t>
            </w:r>
          </w:p>
        </w:tc>
        <w:tc>
          <w:tcPr>
            <w:tcW w:w="1907" w:type="dxa"/>
            <w:shd w:val="clear" w:color="auto" w:fill="auto"/>
            <w:vAlign w:val="center"/>
          </w:tcPr>
          <w:p w14:paraId="7559C2A3">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无效资料</w:t>
            </w:r>
          </w:p>
        </w:tc>
        <w:tc>
          <w:tcPr>
            <w:tcW w:w="6589" w:type="dxa"/>
            <w:shd w:val="clear" w:color="auto" w:fill="auto"/>
            <w:vAlign w:val="center"/>
          </w:tcPr>
          <w:p w14:paraId="2BDECAC0">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color w:val="auto"/>
                <w:sz w:val="24"/>
                <w:szCs w:val="24"/>
                <w:lang w:val="en-US" w:eastAsia="zh-CN"/>
              </w:rPr>
              <w:t>指真实存在（非虚假），但不符合本招标文件相关要求的过期或内容不相符的文件资料。</w:t>
            </w:r>
          </w:p>
        </w:tc>
      </w:tr>
      <w:tr w14:paraId="2BB1A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167B153B">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18.4</w:t>
            </w:r>
          </w:p>
        </w:tc>
        <w:tc>
          <w:tcPr>
            <w:tcW w:w="1907" w:type="dxa"/>
            <w:shd w:val="clear" w:color="auto" w:fill="auto"/>
            <w:vAlign w:val="center"/>
          </w:tcPr>
          <w:p w14:paraId="1029AFEC">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虚假材料</w:t>
            </w:r>
          </w:p>
        </w:tc>
        <w:tc>
          <w:tcPr>
            <w:tcW w:w="6589" w:type="dxa"/>
            <w:shd w:val="clear" w:color="auto" w:fill="auto"/>
            <w:vAlign w:val="center"/>
          </w:tcPr>
          <w:p w14:paraId="7C144E42">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1."虚假材料"：指无中生有、伪造、篡改或变造、涂改的各种证件、证书、资料佐证、与客观事实不相符的委托书、授权书或承诺函等。</w:t>
            </w:r>
          </w:p>
          <w:p w14:paraId="325E07C2">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2.对政策理解错误或概念不清而导致的错误、笔误、计算错误以及</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提供的已逾期的证书、未年审的证书等不能认定为虚假材料。"虚假"是指材料的真实性而非有效性，无效材料不能等同于虚假材料。</w:t>
            </w:r>
          </w:p>
          <w:p w14:paraId="67102F23">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3.对提供虚假材料谋取中标（成交）的认定，应该同时满足主观和客观两个方面的构成要件，要结合有关的证据材料和供应商篡改、伪造或变造、捏造事实以及该行为的目的性、危害后果等方面，由</w:t>
            </w:r>
            <w:r>
              <w:rPr>
                <w:rFonts w:hint="eastAsia" w:ascii="仿宋" w:hAnsi="仿宋" w:eastAsia="仿宋" w:cs="仿宋"/>
                <w:color w:val="auto"/>
                <w:sz w:val="24"/>
                <w:szCs w:val="24"/>
                <w:lang w:val="en-US" w:eastAsia="zh-CN"/>
              </w:rPr>
              <w:t>监管部门</w:t>
            </w:r>
            <w:r>
              <w:rPr>
                <w:rFonts w:hint="eastAsia" w:ascii="仿宋" w:hAnsi="仿宋" w:eastAsia="仿宋" w:cs="仿宋"/>
                <w:color w:val="auto"/>
                <w:sz w:val="24"/>
                <w:szCs w:val="24"/>
                <w:highlight w:val="none"/>
                <w:lang w:val="en-US" w:eastAsia="zh-CN"/>
              </w:rPr>
              <w:t>进行综合考量和判断。</w:t>
            </w:r>
          </w:p>
        </w:tc>
      </w:tr>
      <w:tr w14:paraId="4B0D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7A4CB8C9">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18.5</w:t>
            </w:r>
          </w:p>
        </w:tc>
        <w:tc>
          <w:tcPr>
            <w:tcW w:w="1907" w:type="dxa"/>
            <w:shd w:val="clear" w:color="auto" w:fill="auto"/>
            <w:vAlign w:val="center"/>
          </w:tcPr>
          <w:p w14:paraId="0D08E005">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投标印章</w:t>
            </w:r>
          </w:p>
        </w:tc>
        <w:tc>
          <w:tcPr>
            <w:tcW w:w="6589" w:type="dxa"/>
            <w:shd w:val="clear" w:color="auto" w:fill="auto"/>
            <w:vAlign w:val="center"/>
          </w:tcPr>
          <w:p w14:paraId="0055D7FC">
            <w:pPr>
              <w:keepNext w:val="0"/>
              <w:keepLines w:val="0"/>
              <w:pageBreakBefore w:val="0"/>
              <w:widowControl/>
              <w:numPr>
                <w:ilvl w:val="0"/>
                <w:numId w:val="0"/>
              </w:numPr>
              <w:kinsoku/>
              <w:wordWrap/>
              <w:overflowPunct/>
              <w:topLinePunct w:val="0"/>
              <w:autoSpaceDE/>
              <w:autoSpaceDN/>
              <w:bidi w:val="0"/>
              <w:adjustRightInd/>
              <w:spacing w:beforeAutospacing="0" w:afterAutospacing="0" w:line="500" w:lineRule="exact"/>
              <w:ind w:left="0" w:leftChars="0" w:firstLine="0" w:firstLineChars="0"/>
              <w:jc w:val="both"/>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投标印章均指单位电子签章。</w:t>
            </w:r>
          </w:p>
        </w:tc>
      </w:tr>
      <w:tr w14:paraId="0B4E4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569E7694">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18.6</w:t>
            </w:r>
          </w:p>
        </w:tc>
        <w:tc>
          <w:tcPr>
            <w:tcW w:w="1907" w:type="dxa"/>
            <w:shd w:val="clear" w:color="auto" w:fill="auto"/>
            <w:vAlign w:val="center"/>
          </w:tcPr>
          <w:p w14:paraId="3FE3035B">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投标费用、风险</w:t>
            </w:r>
          </w:p>
        </w:tc>
        <w:tc>
          <w:tcPr>
            <w:tcW w:w="6589" w:type="dxa"/>
            <w:shd w:val="clear" w:color="auto" w:fill="auto"/>
            <w:vAlign w:val="center"/>
          </w:tcPr>
          <w:p w14:paraId="566FF1D2">
            <w:pPr>
              <w:keepNext w:val="0"/>
              <w:keepLines w:val="0"/>
              <w:pageBreakBefore w:val="0"/>
              <w:widowControl/>
              <w:numPr>
                <w:ilvl w:val="0"/>
                <w:numId w:val="0"/>
              </w:numPr>
              <w:kinsoku/>
              <w:wordWrap/>
              <w:overflowPunct/>
              <w:topLinePunct w:val="0"/>
              <w:autoSpaceDE/>
              <w:autoSpaceDN/>
              <w:bidi w:val="0"/>
              <w:adjustRightInd/>
              <w:spacing w:beforeAutospacing="0" w:afterAutospacing="0" w:line="500" w:lineRule="exact"/>
              <w:ind w:left="0" w:leftChars="0" w:firstLine="0" w:firstLineChars="0"/>
              <w:jc w:val="both"/>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无论投标结果如何，供应商应自行承担参与本项目发生的所有费用和应担风险。</w:t>
            </w:r>
          </w:p>
        </w:tc>
      </w:tr>
      <w:tr w14:paraId="24CB6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7C1CF300">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18.7</w:t>
            </w:r>
          </w:p>
        </w:tc>
        <w:tc>
          <w:tcPr>
            <w:tcW w:w="1907" w:type="dxa"/>
            <w:shd w:val="clear" w:color="auto" w:fill="auto"/>
            <w:vAlign w:val="center"/>
          </w:tcPr>
          <w:p w14:paraId="7BD89536">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正当理由</w:t>
            </w:r>
          </w:p>
        </w:tc>
        <w:tc>
          <w:tcPr>
            <w:tcW w:w="6589" w:type="dxa"/>
            <w:shd w:val="clear" w:color="auto" w:fill="auto"/>
            <w:vAlign w:val="center"/>
          </w:tcPr>
          <w:p w14:paraId="041E2CE9">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是指不可抗力</w:t>
            </w:r>
            <w:r>
              <w:rPr>
                <w:rFonts w:hint="eastAsia" w:ascii="仿宋" w:hAnsi="仿宋" w:eastAsia="仿宋" w:cs="仿宋"/>
                <w:color w:val="auto"/>
                <w:sz w:val="24"/>
                <w:szCs w:val="24"/>
                <w:lang w:val="en-US" w:eastAsia="zh-CN"/>
              </w:rPr>
              <w:t>（指不能预见、不能避免、不能克服的客观情况）：</w:t>
            </w:r>
            <w:r>
              <w:rPr>
                <w:rFonts w:hint="eastAsia" w:ascii="仿宋" w:hAnsi="仿宋" w:eastAsia="仿宋" w:cs="仿宋"/>
                <w:color w:val="auto"/>
                <w:sz w:val="24"/>
                <w:szCs w:val="24"/>
                <w:highlight w:val="none"/>
                <w:lang w:val="en-US" w:eastAsia="zh-CN"/>
              </w:rPr>
              <w:t>一是自然灾害，例如地震、台风、洪水等；二是某些政府行为，例如政府颁布新政策、法律和采取行政措施；三是社会异常事件，例如罢工、战争等。</w:t>
            </w:r>
          </w:p>
        </w:tc>
      </w:tr>
      <w:tr w14:paraId="0AD6A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vAlign w:val="center"/>
          </w:tcPr>
          <w:p w14:paraId="1D62C43B">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18.8</w:t>
            </w:r>
          </w:p>
        </w:tc>
        <w:tc>
          <w:tcPr>
            <w:tcW w:w="1907" w:type="dxa"/>
            <w:shd w:val="clear" w:color="auto" w:fill="auto"/>
            <w:vAlign w:val="center"/>
          </w:tcPr>
          <w:p w14:paraId="64DA83AF">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商业秘密</w:t>
            </w:r>
          </w:p>
        </w:tc>
        <w:tc>
          <w:tcPr>
            <w:tcW w:w="6589" w:type="dxa"/>
            <w:shd w:val="clear" w:color="auto" w:fill="auto"/>
            <w:vAlign w:val="center"/>
          </w:tcPr>
          <w:p w14:paraId="74F84555">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是指不为公众所知悉、具有商业价值并经权利人采取相应保密措施的技术信息和经营信息等商业信息。主要指技术秘密、商业情报及经济信息、价格等与技术和经营活动有关的相关信息，如生产工艺、生产原料、客户信息、相关数据、管理、财务、购销渠道以及招投标资料等当事人不愿公开的商业秘密。投标文件是</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根据招标文件的要求编制的，具有独特、个性的特征，并具有实用性，能为</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带来经济利益，因此其属于</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的商业秘密，不</w:t>
            </w:r>
            <w:r>
              <w:rPr>
                <w:rFonts w:hint="eastAsia" w:ascii="仿宋" w:hAnsi="仿宋" w:eastAsia="仿宋" w:cs="仿宋"/>
                <w:color w:val="auto"/>
                <w:sz w:val="24"/>
                <w:szCs w:val="24"/>
                <w:lang w:val="en-US" w:eastAsia="zh-CN"/>
              </w:rPr>
              <w:t>可</w:t>
            </w:r>
            <w:r>
              <w:rPr>
                <w:rFonts w:hint="eastAsia" w:ascii="仿宋" w:hAnsi="仿宋" w:eastAsia="仿宋" w:cs="仿宋"/>
                <w:color w:val="auto"/>
                <w:sz w:val="24"/>
                <w:szCs w:val="24"/>
                <w:highlight w:val="none"/>
                <w:lang w:val="en-US" w:eastAsia="zh-CN"/>
              </w:rPr>
              <w:t>公开。</w:t>
            </w:r>
          </w:p>
        </w:tc>
      </w:tr>
      <w:tr w14:paraId="69A99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shd w:val="clear" w:color="auto" w:fill="auto"/>
            <w:vAlign w:val="center"/>
          </w:tcPr>
          <w:p w14:paraId="0E8E0D1F">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18.9</w:t>
            </w:r>
          </w:p>
        </w:tc>
        <w:tc>
          <w:tcPr>
            <w:tcW w:w="1907" w:type="dxa"/>
            <w:shd w:val="clear" w:color="auto" w:fill="auto"/>
            <w:vAlign w:val="center"/>
          </w:tcPr>
          <w:p w14:paraId="4C5D679B">
            <w:pPr>
              <w:keepNext w:val="0"/>
              <w:keepLines w:val="0"/>
              <w:pageBreakBefore w:val="0"/>
              <w:kinsoku/>
              <w:wordWrap/>
              <w:overflowPunct/>
              <w:topLinePunct w:val="0"/>
              <w:autoSpaceDE/>
              <w:autoSpaceDN/>
              <w:bidi w:val="0"/>
              <w:adjustRightInd/>
              <w:spacing w:beforeAutospacing="0" w:afterAutospacing="0"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保密</w:t>
            </w:r>
          </w:p>
        </w:tc>
        <w:tc>
          <w:tcPr>
            <w:tcW w:w="6589" w:type="dxa"/>
            <w:shd w:val="clear" w:color="auto" w:fill="auto"/>
            <w:vAlign w:val="center"/>
          </w:tcPr>
          <w:p w14:paraId="23ABF574">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采购活动的当事各方，不得以任何形式向任何单位和个人提供与本项目有关的</w:t>
            </w:r>
            <w:r>
              <w:rPr>
                <w:rFonts w:hint="eastAsia" w:ascii="仿宋" w:hAnsi="仿宋" w:eastAsia="仿宋" w:cs="仿宋"/>
                <w:strike w:val="0"/>
                <w:dstrike w:val="0"/>
                <w:color w:val="auto"/>
                <w:sz w:val="24"/>
                <w:szCs w:val="24"/>
                <w:highlight w:val="none"/>
                <w:lang w:val="en-US" w:eastAsia="zh-CN"/>
              </w:rPr>
              <w:t>招标</w:t>
            </w:r>
            <w:r>
              <w:rPr>
                <w:rFonts w:hint="eastAsia" w:ascii="仿宋" w:hAnsi="仿宋" w:eastAsia="仿宋" w:cs="仿宋"/>
                <w:color w:val="auto"/>
                <w:sz w:val="24"/>
                <w:szCs w:val="24"/>
                <w:highlight w:val="none"/>
                <w:lang w:val="en-US" w:eastAsia="zh-CN"/>
              </w:rPr>
              <w:t>资料，均应对招投标文件中的商业和技术等内容进行保密，违者承担法律责任。</w:t>
            </w:r>
          </w:p>
        </w:tc>
      </w:tr>
      <w:tr w14:paraId="7D694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0" w:type="dxa"/>
            <w:shd w:val="clear" w:color="auto" w:fill="auto"/>
            <w:vAlign w:val="center"/>
          </w:tcPr>
          <w:p w14:paraId="1C25AEA3">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w:t>
            </w:r>
            <w:r>
              <w:rPr>
                <w:rFonts w:hint="eastAsia" w:ascii="仿宋" w:hAnsi="仿宋" w:eastAsia="仿宋" w:cs="仿宋"/>
                <w:color w:val="auto"/>
                <w:kern w:val="2"/>
                <w:sz w:val="24"/>
                <w:szCs w:val="24"/>
                <w:lang w:val="en-US" w:eastAsia="zh-CN" w:bidi="ar-SA"/>
              </w:rPr>
              <w:t>.10</w:t>
            </w:r>
          </w:p>
        </w:tc>
        <w:tc>
          <w:tcPr>
            <w:tcW w:w="1907" w:type="dxa"/>
            <w:shd w:val="clear" w:color="auto" w:fill="auto"/>
            <w:vAlign w:val="center"/>
          </w:tcPr>
          <w:p w14:paraId="7C0031FA">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eastAsia="zh-CN"/>
              </w:rPr>
              <w:t>其他</w:t>
            </w:r>
          </w:p>
        </w:tc>
        <w:tc>
          <w:tcPr>
            <w:tcW w:w="6589" w:type="dxa"/>
            <w:shd w:val="clear" w:color="auto" w:fill="auto"/>
            <w:vAlign w:val="center"/>
          </w:tcPr>
          <w:p w14:paraId="439444CD">
            <w:pPr>
              <w:keepNext w:val="0"/>
              <w:keepLines w:val="0"/>
              <w:pageBreakBefore w:val="0"/>
              <w:kinsoku/>
              <w:wordWrap/>
              <w:overflowPunct/>
              <w:topLinePunct w:val="0"/>
              <w:autoSpaceDE/>
              <w:autoSpaceDN/>
              <w:bidi w:val="0"/>
              <w:adjustRightInd/>
              <w:snapToGrid w:val="0"/>
              <w:spacing w:line="500" w:lineRule="exac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1.本文所称的“以上”、“以下”、“内”、“以内”、“届满”，包括本数；所称的“不足”、“不满”、“超过”、“以外”，不包括本数。</w:t>
            </w:r>
          </w:p>
          <w:p w14:paraId="12ACC393">
            <w:pPr>
              <w:keepNext w:val="0"/>
              <w:keepLines w:val="0"/>
              <w:pageBreakBefore w:val="0"/>
              <w:kinsoku/>
              <w:wordWrap/>
              <w:overflowPunct/>
              <w:topLinePunct w:val="0"/>
              <w:autoSpaceDE/>
              <w:autoSpaceDN/>
              <w:bidi w:val="0"/>
              <w:adjustRightInd/>
              <w:snapToGrid w:val="0"/>
              <w:spacing w:line="500" w:lineRule="exac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2.文中“自....之日起”，不包含当日，以下一日开始计算。</w:t>
            </w:r>
          </w:p>
          <w:p w14:paraId="0FFB69B8">
            <w:pPr>
              <w:keepNext w:val="0"/>
              <w:keepLines w:val="0"/>
              <w:pageBreakBefore w:val="0"/>
              <w:kinsoku/>
              <w:wordWrap/>
              <w:overflowPunct/>
              <w:topLinePunct w:val="0"/>
              <w:autoSpaceDE/>
              <w:autoSpaceDN/>
              <w:bidi w:val="0"/>
              <w:adjustRightInd/>
              <w:snapToGrid w:val="0"/>
              <w:spacing w:line="500" w:lineRule="exact"/>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3.文中“日”等同“日历日”或“天”。月日换算可以30天/月为基准，年以365天为基准。</w:t>
            </w:r>
          </w:p>
        </w:tc>
      </w:tr>
    </w:tbl>
    <w:p w14:paraId="729C1BB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59731B"/>
    <w:rsid w:val="5A59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99"/>
    <w:pPr>
      <w:ind w:firstLine="200" w:firstLineChars="200"/>
    </w:pPr>
    <w:rPr>
      <w:szCs w:val="21"/>
    </w:rPr>
  </w:style>
  <w:style w:type="paragraph" w:styleId="3">
    <w:name w:val="Plain Text"/>
    <w:basedOn w:val="1"/>
    <w:next w:val="1"/>
    <w:qFormat/>
    <w:uiPriority w:val="0"/>
    <w:rPr>
      <w:rFonts w:ascii="宋体" w:hAnsi="Courier New" w:cs="Courier New"/>
      <w:sz w:val="21"/>
      <w:szCs w:val="21"/>
    </w:rPr>
  </w:style>
  <w:style w:type="paragraph" w:styleId="4">
    <w:name w:val="toa heading"/>
    <w:basedOn w:val="1"/>
    <w:next w:val="1"/>
    <w:semiHidden/>
    <w:qFormat/>
    <w:uiPriority w:val="99"/>
    <w:pPr>
      <w:spacing w:before="120"/>
    </w:pPr>
    <w:rPr>
      <w:rFonts w:ascii="Cambria" w:hAnsi="Cambria"/>
      <w:sz w:val="24"/>
    </w:rPr>
  </w:style>
  <w:style w:type="paragraph" w:styleId="5">
    <w:name w:val="annotation text"/>
    <w:basedOn w:val="1"/>
    <w:qFormat/>
    <w:uiPriority w:val="0"/>
    <w:pPr>
      <w:jc w:val="left"/>
    </w:pPr>
  </w:style>
  <w:style w:type="paragraph" w:styleId="6">
    <w:name w:val="toc 4"/>
    <w:basedOn w:val="1"/>
    <w:next w:val="1"/>
    <w:qFormat/>
    <w:uiPriority w:val="0"/>
    <w:pPr>
      <w:tabs>
        <w:tab w:val="left" w:pos="1890"/>
        <w:tab w:val="right" w:leader="dot" w:pos="8296"/>
      </w:tabs>
      <w:ind w:left="630" w:leftChars="300"/>
    </w:pPr>
    <w:rPr>
      <w:rFonts w:ascii="Calibri" w:hAnsi="Calibri"/>
      <w:szCs w:val="22"/>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p15"/>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1</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2026-06-18T01:13:00Z</dcterms:created>
  <dc:creator>左左</dc:creator>
  <cp:lastModifiedBy>左左</cp:lastModifiedBy>
  <dcterms:modified xsi:type="dcterms:W3CDTF">2026-06-18T01:16:14Z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7B307E8FCB2247719D72BB9D90E895F6_11</vt:lpwstr>
  </property>
  <property fmtid="{D5CDD505-2E9C-101B-9397-08002B2CF9AE}" pid="4" name="KSOTemplateDocerSaveRecord">
    <vt:lpwstr>eyJoZGlkIjoiYjgzZjBlMWFiY2UyYjQ1NWYwYWI5MjNkODI5ZDljOGYiLCJ1c2VySWQiOiI1NzY5ODc4MzkifQ==</vt:lpwstr>
  </property>
</Properties>
</file>