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2781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一、项目基本概况</w:t>
      </w:r>
    </w:p>
    <w:p w14:paraId="5EF8B6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default" w:ascii="仿宋" w:hAnsi="仿宋" w:eastAsia="仿宋" w:cs="仿宋"/>
          <w:b w:val="0"/>
          <w:bCs/>
          <w:sz w:val="32"/>
          <w:szCs w:val="32"/>
          <w:lang w:val="en-US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1.展会名称：第33届杨凌农高会陕西省知识产权局展区整体特装设计及搭建服务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bidi="zh-CN"/>
        </w:rPr>
        <w:t>项目</w:t>
      </w:r>
    </w:p>
    <w:p w14:paraId="53B099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2.展会时间：2026年10月25日—10月29日</w:t>
      </w:r>
    </w:p>
    <w:p w14:paraId="797B3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3.资金预算：47万元</w:t>
      </w:r>
    </w:p>
    <w:p w14:paraId="733639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4.撤展时间：2026年10月29日17:00</w:t>
      </w:r>
    </w:p>
    <w:p w14:paraId="02E359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5.项目地点：陕西省杨凌示范区B馆BT17展位</w:t>
      </w:r>
    </w:p>
    <w:p w14:paraId="3ED331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6.展区面积：170平方米</w:t>
      </w:r>
    </w:p>
    <w:p w14:paraId="61D39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7.项目内容：陕西省知识产权局展区特装方案设计、材料采购、现场搭建、展品布置、设备安装调试、展会期间运维、赛后拆除及场地复原等全流程工作、会务服务工作。</w:t>
      </w:r>
    </w:p>
    <w:p w14:paraId="100758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8.服务目标：紧扣“新质生产力农业新未来”（第33届杨凌农高会主题）和知识产权赋能农业创新、助力乡村振兴（第33届杨凌农高会陕西省知识产权局展区主题）主题，打造主题鲜明、布局合理、科技感强、氛围浓厚的标准化特装展区，全方位展现陕西省知识产权工作亮点成效，强化展会宣传效能，擦亮陕西知识产权特色品牌。</w:t>
      </w:r>
    </w:p>
    <w:p w14:paraId="04BAE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二、合规性技术依据</w:t>
      </w:r>
    </w:p>
    <w:p w14:paraId="44D9C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本项目所有设计、施工、采购、服务流程须严格遵循国家及陕西省现行法律法规、行业规范，具体包括：</w:t>
      </w:r>
    </w:p>
    <w:p w14:paraId="4BA302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  <w:lang w:val="zh-CN" w:bidi="zh-CN"/>
        </w:rPr>
        <w:t>1.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《中华人民共和国政府采购法》</w:t>
      </w:r>
    </w:p>
    <w:p w14:paraId="2319DE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highlight w:val="none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  <w:lang w:val="zh-CN" w:bidi="zh-CN"/>
        </w:rPr>
        <w:t>2.《中华人民共和国政府采购法实施条例》</w:t>
      </w:r>
    </w:p>
    <w:p w14:paraId="1A1A65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bidi="zh-CN"/>
        </w:rPr>
        <w:t>3.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《党政机关厉行节约反对浪费条例》</w:t>
      </w:r>
    </w:p>
    <w:p w14:paraId="1A2EB5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bidi="zh-CN"/>
        </w:rPr>
        <w:t>4.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杨凌农高会组委会展会布展、搭建、安全消防及场地管理相关规定</w:t>
      </w:r>
    </w:p>
    <w:p w14:paraId="40682F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bidi="zh-CN"/>
        </w:rPr>
        <w:t>5.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会展特装搭建工程施工、用电、消防、环保行业标准及规范</w:t>
      </w:r>
    </w:p>
    <w:p w14:paraId="2501B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三、整体设计核心技术要求</w:t>
      </w:r>
    </w:p>
    <w:p w14:paraId="539E71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供应商须围绕“创新赋能农业、知识产权助力乡村振兴”核心主线开展设计，全面融入知识产权文化元素，突出陕西知识产权工作特色，讲好陕西知识产权创新发展故事，具体要求如下：</w:t>
      </w:r>
    </w:p>
    <w:p w14:paraId="6B4B30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视觉形象规范：展区门头必须规范设置陕西省知识产权专属标识、LOGO（见陕西省知识产权局官网），标识摆放位置醒目、比例标准、制作精良，无变形、色差、破损。整体色彩搭配明快鲜亮、简约大气，贴合政务展示调性与农高会农业创新主题，视觉观感舒适、辨识度高。</w:t>
      </w:r>
    </w:p>
    <w:p w14:paraId="778CA3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空间布局要求：整体布局层次分明、开阔通透、动线流畅，无拥挤、遮挡、死角问题。统筹平衡成果展示、商务洽谈、互动体验、咨询服务、现场路演等多元功能，合理划分各功能板块区域，实现分区明确、功能互补、动静分离，最大化提升展区展示效果与参观体验。</w:t>
      </w:r>
    </w:p>
    <w:p w14:paraId="6CB40D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风格主题要求：融合科技感、创新性、知识产权工作特色与政务严肃性，兼顾传统展示与数字化智能展示，突出知识产权创新引领、品牌培育、成果转化、助农兴农核心价值，营造浓厚的科技创新、知识产权保护宣传氛围。</w:t>
      </w:r>
    </w:p>
    <w:p w14:paraId="2F204D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4.整体适配要求：设计方案需适配农高会整体展会风格，与周边展区协调统一，同时突出本展区专属特色，造型简洁大方、质感高级，符合大型官方展会特装展示标准。</w:t>
      </w:r>
    </w:p>
    <w:p w14:paraId="4719AC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5.会务服务要求：展会筹备阶段：展会参展商/观众邀请协助、展会志愿者服务队伍组建，讲解及翻译组织。展会执行阶段：参展商签到接待与咨询服务、参展商乘车服务与引导、展位现场安保与清洁、餐饮供应。承担采购人工作人员及特邀嘉宾住宿费用。展会收尾阶段：参展商满意度调研、展会数据统计与报告提交、剩余物料清点与移交。</w:t>
      </w:r>
    </w:p>
    <w:p w14:paraId="398B44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四、各功能板块详细技术要求</w:t>
      </w:r>
    </w:p>
    <w:p w14:paraId="73612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本展区共设置七大功能板块，各板块功能定位、展示内容、设计布局、技术标准明确如下，供应商可自行规划各板块面积，需整体统筹、配比合理、布局协调。</w:t>
      </w:r>
    </w:p>
    <w:p w14:paraId="6BDB0E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（一）涉农专利板块</w:t>
      </w:r>
    </w:p>
    <w:p w14:paraId="11AE9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1.展示核心：聚焦现代种业、智慧农业、绿色农业、农产品加工四大核心领域，全方位展示陕西省农业领域专利技术、涉农机械设备实物、专利成果转化落地典型案例，讲好新时代知识产权故事。</w:t>
      </w:r>
    </w:p>
    <w:p w14:paraId="634F7C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布局技术要求：整体布局规整有序、分类清晰，分区陈列，做到板块划分明确、内容排布有序。采用“图文展板+实物展品”相结合的展示形式，实物展品摆放稳固、陈列规范，图文与实物展品精准对应、互为补充，重点突出农业专利技术创新性、实用性、落地成效，强化技术成果可视化展示效果。</w:t>
      </w:r>
    </w:p>
    <w:p w14:paraId="068AC9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3.配套要求：预留实物展品摆放台面、固定装置，配备柔和专业照明，保障展品清晰展示；图文内容排版规整、字体清晰、重点突出，数据案例真实准确。</w:t>
      </w:r>
    </w:p>
    <w:p w14:paraId="2C5E7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（二）商标品牌板块</w:t>
      </w:r>
    </w:p>
    <w:p w14:paraId="5A2CF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1.展示核心：系统展示陕西省商标品牌培育、运用、保护、管理工作成效，聚焦农业特色商标品牌发展成果，彰显陕西商标品牌建设助力农业产业升级的价值。</w:t>
      </w:r>
    </w:p>
    <w:p w14:paraId="1428E0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布局技术要求：整体风格简约明快、整洁大气，视觉层次清晰、主次分明。展品、图文资料分类陈列有序，杜绝杂乱堆砌。采用梯度化视觉设计，重点品牌、重点成果重点突出，普通成果规整排布，整体观感统一、专业、规范。</w:t>
      </w:r>
    </w:p>
    <w:p w14:paraId="1D7B1E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3.展示形式：以图文展板、品牌荣誉展示、成果数据可视化呈现为主，简洁直观展示全省商标品牌发展规模、培育体系、保护成效、典型标杆品牌。</w:t>
      </w:r>
    </w:p>
    <w:p w14:paraId="22FB86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（三）地理标志板块</w:t>
      </w:r>
    </w:p>
    <w:p w14:paraId="01962B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1.展示核心：集中展示陕西省各类地理标志产品（含证明商标和集体商标）、农业区域公用品牌，全面凸显陕西特色地理标志资源禀赋与品牌优势。</w:t>
      </w:r>
    </w:p>
    <w:p w14:paraId="4577F6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布局技术要求：坚持“实物陈列为主、视觉展示为辅”的设计原则，科学规划展品摆放区域，合理设置展示台面、陈列展台，展品摆放整齐、分类明确。兼顾静态展示与现场推介交流需求，预留充足的参观、讲解、洽谈空间，方便工作人员开展产品推介、现场讲解工作。</w:t>
      </w:r>
    </w:p>
    <w:p w14:paraId="1C3AF9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3.配套要求：搭配主题图文、宣传海报、数据图表，解读地理标志产品特色、产业价值、保护成效，实现实物展示与文化解读深度融合。</w:t>
      </w:r>
    </w:p>
    <w:p w14:paraId="5A3707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（四）数据知识产权板块</w:t>
      </w:r>
    </w:p>
    <w:p w14:paraId="5E4124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1.展示核心：聚焦数字经济发展趋势，展示陕西省数据知识产权保护、确权的典型案例与工作成效，凸显数字赋能知识产权高质量发展成果。</w:t>
      </w:r>
    </w:p>
    <w:p w14:paraId="2B2203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2.布局技术要求：主打数字化、科技化展示风格，打破传统静态展示模式。以多媒体动态演示为核心，搭配精简图文展板补充说明，整体科技感、现代感突出。</w:t>
      </w:r>
    </w:p>
    <w:p w14:paraId="4AE1C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（五）互动体验（打卡）板块</w:t>
      </w:r>
    </w:p>
    <w:p w14:paraId="132790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1.展示核心：打造展区视觉焦点与流量核心，集中展示陕西省知识产权重点工作亮点、年度发展成果，为观众提供沉浸式打卡、互动体验服务。</w:t>
      </w:r>
    </w:p>
    <w:p w14:paraId="50D510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2.布局技术要求：位置醒目、视觉突出，造型设计新颖独特、辨识度高，成为展区标志性打卡区域。合理规划体验动线，避免人流拥堵，兼顾打卡引流、宣传推介、互动体验多重功能。</w:t>
      </w:r>
    </w:p>
    <w:p w14:paraId="0AE1D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3.功能要求：设置特色打卡造型、互动体验装置，可适配群众拍照打卡、趣味互动、知识科普等场景，兼顾观赏性与实用性，强化展区宣传传播效果。</w:t>
      </w:r>
    </w:p>
    <w:p w14:paraId="39D8A4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（六）乡村帮扶板块</w:t>
      </w:r>
    </w:p>
    <w:p w14:paraId="1365B9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1.展示核心：全方位展示知识产权助力乡村振兴、精准帮扶县域产业发展的实践成效，陈列帮扶地区特色农产品、文创产品等实物展品。</w:t>
      </w:r>
    </w:p>
    <w:p w14:paraId="01F9FA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2.布局技术要求：采用“实景图文+特色展品+视频展播+现场讲解”四位一体的展示模式。实景图文排版温馨真实、重点突出，清晰展现帮扶工作举措、帮扶成效、帮扶故事。</w:t>
      </w:r>
    </w:p>
    <w:p w14:paraId="179E4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3.配套要求：配备视频播放设备，循环展播知识产权助农帮扶宣传片、纪实视频，全方位呈现帮扶工作实践成果。</w:t>
      </w:r>
    </w:p>
    <w:p w14:paraId="5F445F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（七）综合服务板块</w:t>
      </w:r>
    </w:p>
    <w:p w14:paraId="738BC1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1.功能定位：设立知识产权保护及维权援助工作站，承担现场维权咨询、知识产权科普、政策宣讲等工作；引入知识产权代理机构驻点办公，提供专业咨询服务。同时兼顾商务洽谈、交流对接功能。</w:t>
      </w:r>
    </w:p>
    <w:p w14:paraId="0BE6DA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2.布局技术要求：规范设置驻点工位、咨询台、接待座椅，预留充足的洽谈空间。区域划分清晰，满足驻点办公、群众咨询、商务对接、现场活动等多元需求。</w:t>
      </w:r>
    </w:p>
    <w:p w14:paraId="7C38C9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3.配套要求：配备办公桌椅、接待设施、宣传资料摆放区域，整体整洁规范、庄重实用，符合政务服务窗口形象。</w:t>
      </w:r>
    </w:p>
    <w:p w14:paraId="18FDF4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五、施工搭建技术标准</w:t>
      </w:r>
    </w:p>
    <w:p w14:paraId="1B7F48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材质标准：所有搭建材料须选用环保、阻燃、耐用、无污染的优质材料，符合展会消防、环保要求，无异味、无破损、无变形，色彩均匀、质感优良。严禁使用劣质、易燃、有害刺激性材料，木质、型材、板材等搭建材料须符合会展行业标准，绿色环保、可回收利用。</w:t>
      </w:r>
    </w:p>
    <w:p w14:paraId="65F697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结构标准：整体结构稳固安全、平整垂直，拼接严密、无缝隙、无松动，地面平整无起伏，墙体、展台、造型结构牢固可靠，承重达标，可承受正常展品摆放、人员活动荷载。所有连接部位加固处理，杜绝安全隐患，符合特装展台结构施工规范。</w:t>
      </w:r>
    </w:p>
    <w:p w14:paraId="4E7721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用电设备标准：电路布线规范规整，线路全部套绝缘防护，隐藏铺设，无裸露、无乱拉乱接现象。配电箱、开关、灯具、多媒体设备用电安全合规，配备漏电保护、过载保护装置，符合展会施工现场用电规范，杜绝用电安全隐患。所有电器设备为正规合格产品，质量达标、性能稳定。</w:t>
      </w:r>
    </w:p>
    <w:p w14:paraId="230297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4.工艺标准：施工工艺精细，漆面均匀、贴膜平整、字体工整、标识清晰，接缝平整、边角规整，无毛刺、无划痕、无污渍。图文制作精准、色彩还原准确，设备安装平整牢固、调试到位，运行稳定。</w:t>
      </w:r>
    </w:p>
    <w:p w14:paraId="0A397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六、工期及现场服务技术要求</w:t>
      </w:r>
    </w:p>
    <w:p w14:paraId="156E3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1.设计工期：成交后须在规定时限内完成全套设计方案（效果图、平面图、立面图、施工图、材质清单、设备清单），提交采购人审核，根据审核意见无偿修改完善，直至方案审定通过。</w:t>
      </w:r>
    </w:p>
    <w:p w14:paraId="57D81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2.搭建工期：严格按照农高会组委会规定的布展时限完成现场搭建、设备安装、展品布置、整体调试工作，确保按时竣工、验收、交付使用，不得延误展会布展进度。</w:t>
      </w:r>
    </w:p>
    <w:p w14:paraId="795A79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3.展会运维服务：展会全程安排专人驻场运维（现场不少于3人），负责展区设备检修、卫生保洁、展品维护、故障排查，及时处理各类突发问题，保障展区全程正常运行、展示效果稳定。</w:t>
      </w:r>
    </w:p>
    <w:p w14:paraId="66FCCE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4.撤展要求：展会结束后，严格按照组委会规定时限完成拆除、垃圾清理、场地复原工作，做到场地干净整洁、无残留杂物，拆除过程规范安全，杜绝损坏展会场地设施。</w:t>
      </w:r>
    </w:p>
    <w:p w14:paraId="22B09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七、安全及合规管理要求</w:t>
      </w:r>
    </w:p>
    <w:p w14:paraId="455B3A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1.严格遵守展会消防、安全、施工管理规定，所有搭建施工、用电、设备布置符合消防安全标准，配备必要的消防辅助设施，杜绝消防安全隐患。</w:t>
      </w:r>
    </w:p>
    <w:p w14:paraId="6D249A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2.施工人员须持证上岗，严格落实高空作业、用电作业安全规范，全程文明施工、安全施工，杜绝违规操作、野蛮施工。</w:t>
      </w:r>
    </w:p>
    <w:p w14:paraId="2F79BF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3.所有展示内容、图文、视频、案例、标识合规合法，无侵权、无虚假信息、无违规内容，符合政务宣传规范。</w:t>
      </w:r>
    </w:p>
    <w:p w14:paraId="045A17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4.全程落实绿色布展要求，节约材料、低碳环保，施工垃圾及时清理，符合展会环保管理标准。</w:t>
      </w:r>
    </w:p>
    <w:p w14:paraId="72AA8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八、验收交付标准</w:t>
      </w:r>
    </w:p>
    <w:p w14:paraId="0EDE66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1.方案验收：设计方案须完全契合本交底书全部要求，主题鲜明、布局合理、功能齐全、视觉美观，通过采购人及组委会审核。</w:t>
      </w:r>
    </w:p>
    <w:p w14:paraId="0D74A6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2.现场验收：展区整体搭建质量达标、结构安全稳固、设备运行正常、展示内容完整、布局规范有序，标识、图文、展品、互动、服务功能全部落地，无质量问题、无安全隐患。</w:t>
      </w:r>
    </w:p>
    <w:p w14:paraId="374670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3.资料交付：项目完工后，须完整交付全套设计图纸、施工资料、设备清单、验收资料、运维记录等归档材料，确保资料齐全、规范、可追溯。</w:t>
      </w:r>
    </w:p>
    <w:p w14:paraId="060D4C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九、其他说明</w:t>
      </w:r>
    </w:p>
    <w:p w14:paraId="5AE8CA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1.本交底书为竞争性磋商文件技术标核心编制依据，所有投标响应内容须完全匹配本交底书要求，偏离项须明确说明，否则视为无效响应。</w:t>
      </w:r>
    </w:p>
    <w:p w14:paraId="33B44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2.供应商须充分结合展会现场实际场地条件开展方案设计，自行踏勘现场、核对场地参数，确保方案具备落地性、适配性。</w:t>
      </w:r>
    </w:p>
    <w:p w14:paraId="50AE91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3.本项目为一体化总包服务，包含设计、采购、搭建、布展、运维、拆除、资料交付等全部内容，供应商须全包响应，不得拆分服务内容。</w:t>
      </w:r>
    </w:p>
    <w:p w14:paraId="414B31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highlight w:val="yellow"/>
          <w:lang w:val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4.采购人有权根据展会整体工作安排，对展示内容、布局细节进行微调，成交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bidi="zh-CN"/>
        </w:rPr>
        <w:t>供应商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zh-CN" w:bidi="zh-CN"/>
        </w:rPr>
        <w:t>须无偿配合修改完善。</w:t>
      </w:r>
    </w:p>
    <w:p w14:paraId="7613AC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4048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117A2513"/>
    <w:rsid w:val="13FE0526"/>
    <w:rsid w:val="181C3FA3"/>
    <w:rsid w:val="18EF18DD"/>
    <w:rsid w:val="19235D7C"/>
    <w:rsid w:val="1F5A6197"/>
    <w:rsid w:val="23C949D6"/>
    <w:rsid w:val="26396924"/>
    <w:rsid w:val="26E13E53"/>
    <w:rsid w:val="27D868FE"/>
    <w:rsid w:val="283D6944"/>
    <w:rsid w:val="297558AC"/>
    <w:rsid w:val="2D901664"/>
    <w:rsid w:val="333A6108"/>
    <w:rsid w:val="34391CBC"/>
    <w:rsid w:val="34880D18"/>
    <w:rsid w:val="34E06B1D"/>
    <w:rsid w:val="34FD51B3"/>
    <w:rsid w:val="37B13F46"/>
    <w:rsid w:val="385935CD"/>
    <w:rsid w:val="3A6F7E2D"/>
    <w:rsid w:val="3ABB227F"/>
    <w:rsid w:val="3C31041F"/>
    <w:rsid w:val="3D1928D1"/>
    <w:rsid w:val="3E5E0FA8"/>
    <w:rsid w:val="3F41226C"/>
    <w:rsid w:val="41271A71"/>
    <w:rsid w:val="41970A1B"/>
    <w:rsid w:val="427D3EB0"/>
    <w:rsid w:val="44C01FE2"/>
    <w:rsid w:val="485E59E4"/>
    <w:rsid w:val="4A3C512E"/>
    <w:rsid w:val="4BE156B5"/>
    <w:rsid w:val="4EE80B08"/>
    <w:rsid w:val="50742555"/>
    <w:rsid w:val="52876BC7"/>
    <w:rsid w:val="530774AF"/>
    <w:rsid w:val="55A52421"/>
    <w:rsid w:val="579A3366"/>
    <w:rsid w:val="59502521"/>
    <w:rsid w:val="5B0842C5"/>
    <w:rsid w:val="5C036210"/>
    <w:rsid w:val="5CD53D97"/>
    <w:rsid w:val="5EAE573F"/>
    <w:rsid w:val="5F171848"/>
    <w:rsid w:val="615B30D9"/>
    <w:rsid w:val="615C33BC"/>
    <w:rsid w:val="636D3049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38B22F5"/>
    <w:rsid w:val="75153B55"/>
    <w:rsid w:val="7540409A"/>
    <w:rsid w:val="75FC26D7"/>
    <w:rsid w:val="78A417BB"/>
    <w:rsid w:val="7B7D3A13"/>
    <w:rsid w:val="7CCE6984"/>
    <w:rsid w:val="7D393C95"/>
    <w:rsid w:val="7D6D78F8"/>
    <w:rsid w:val="7DF2584A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autoRedefine/>
    <w:qFormat/>
    <w:uiPriority w:val="0"/>
    <w:pPr>
      <w:ind w:firstLine="420" w:firstLine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autoRedefine/>
    <w:qFormat/>
    <w:uiPriority w:val="0"/>
    <w:pPr>
      <w:spacing w:after="120" w:afterLines="0" w:afterAutospacing="0"/>
    </w:pPr>
  </w:style>
  <w:style w:type="character" w:customStyle="1" w:styleId="11">
    <w:name w:val="标题 2 Char"/>
    <w:link w:val="3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2">
    <w:name w:val="标题 1 Char"/>
    <w:link w:val="2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3">
    <w:name w:val="标题 3 Char"/>
    <w:link w:val="4"/>
    <w:qFormat/>
    <w:uiPriority w:val="0"/>
    <w:rPr>
      <w:rFonts w:ascii="Calibri" w:hAnsi="Calibri" w:eastAsia="仿宋_GB2312" w:cs="Times New Roman"/>
      <w:b/>
      <w:bCs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2026-09-29T08:36:59Z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2565929D983A4C9D93BB486716BBE886_12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