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版本号：HYGJ-XF-59620260522001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淳化冶峪中学体育场提升改造项目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HYGJ-XF-596</w:t>
      </w:r>
      <w:r>
        <w:br/>
      </w:r>
      <w:r>
        <w:br/>
      </w:r>
      <w:r>
        <w:br/>
      </w:r>
    </w:p>
    <w:p>
      <w:pPr>
        <w:pStyle w:val="null3"/>
        <w:jc w:val="center"/>
        <w:outlineLvl w:val="2"/>
      </w:pPr>
      <w:r>
        <w:rPr>
          <w:rFonts w:ascii="仿宋_GB2312" w:hAnsi="仿宋_GB2312" w:cs="仿宋_GB2312" w:eastAsia="仿宋_GB2312"/>
          <w:sz w:val="28"/>
          <w:b/>
        </w:rPr>
        <w:t>淳化县冶峪中学</w:t>
      </w:r>
    </w:p>
    <w:p>
      <w:pPr>
        <w:pStyle w:val="null3"/>
        <w:jc w:val="center"/>
        <w:outlineLvl w:val="2"/>
      </w:pPr>
      <w:r>
        <w:rPr>
          <w:rFonts w:ascii="仿宋_GB2312" w:hAnsi="仿宋_GB2312" w:cs="仿宋_GB2312" w:eastAsia="仿宋_GB2312"/>
          <w:sz w:val="28"/>
          <w:b/>
        </w:rPr>
        <w:t>宏业国际项目管理有限公司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宏业国际项目管理有限公司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淳化县冶峪中学</w:t>
      </w:r>
      <w:r>
        <w:rPr>
          <w:rFonts w:ascii="仿宋_GB2312" w:hAnsi="仿宋_GB2312" w:cs="仿宋_GB2312" w:eastAsia="仿宋_GB2312"/>
        </w:rPr>
        <w:t>委托，拟对</w:t>
      </w:r>
      <w:r>
        <w:rPr>
          <w:rFonts w:ascii="仿宋_GB2312" w:hAnsi="仿宋_GB2312" w:cs="仿宋_GB2312" w:eastAsia="仿宋_GB2312"/>
        </w:rPr>
        <w:t>淳化冶峪中学体育场提升改造项目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HYGJ-XF-596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淳化冶峪中学体育场提升改造项目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对足球场、篮球场、匹克球场、排球场面层修缮、更换人造草皮、绘制标线等进行整体提升改造等。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采购包1（淳化冶峪中学体育场提升改造项目）：属于专门面向中小企业采购。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2、授权委托：法定代表人授权书及被授权人身份证原件（法定代表人直接参与的须提供法定代表人身份证明及身份证原件）；</w:t>
      </w:r>
    </w:p>
    <w:p>
      <w:pPr>
        <w:pStyle w:val="null3"/>
      </w:pPr>
      <w:r>
        <w:rPr>
          <w:rFonts w:ascii="仿宋_GB2312" w:hAnsi="仿宋_GB2312" w:cs="仿宋_GB2312" w:eastAsia="仿宋_GB2312"/>
        </w:rPr>
        <w:t>3、资质条件：供应商须具备建设行政主管部门颁发的建筑工程施工总承包叁级以上资质并具有有效的安全生产许可证；</w:t>
      </w:r>
    </w:p>
    <w:p>
      <w:pPr>
        <w:pStyle w:val="null3"/>
      </w:pPr>
      <w:r>
        <w:rPr>
          <w:rFonts w:ascii="仿宋_GB2312" w:hAnsi="仿宋_GB2312" w:cs="仿宋_GB2312" w:eastAsia="仿宋_GB2312"/>
        </w:rPr>
        <w:t>4、项目经理：供应商拟派项目经理须具备建筑工程二级注册建造师及以上执业资格，具有有效的安全生产考核合格证书（B级），且无在建项目；</w:t>
      </w:r>
    </w:p>
    <w:p>
      <w:pPr>
        <w:pStyle w:val="null3"/>
      </w:pPr>
      <w:r>
        <w:rPr>
          <w:rFonts w:ascii="仿宋_GB2312" w:hAnsi="仿宋_GB2312" w:cs="仿宋_GB2312" w:eastAsia="仿宋_GB2312"/>
        </w:rPr>
        <w:t>5、财务状况报告：提供2024年度经审计的财务报告（包括“四表一注”，即资产负债表、利润表、现金流量表、所有者权益变动表及其附注 ，成立时间至提交响应文件截止时间不足一年的可提供成立后任意时段的资产负债表）或其开标前三个月内基本开户银行出具的资信证明；</w:t>
      </w:r>
    </w:p>
    <w:p>
      <w:pPr>
        <w:pStyle w:val="null3"/>
      </w:pPr>
      <w:r>
        <w:rPr>
          <w:rFonts w:ascii="仿宋_GB2312" w:hAnsi="仿宋_GB2312" w:cs="仿宋_GB2312" w:eastAsia="仿宋_GB2312"/>
        </w:rPr>
        <w:t>6、税收缴纳证明：供应商提供近半年内已缴纳的至少一个月的纳税证明或完税证明 ，纳税证明或完税证明上应有代收机构或税务机关的公章 ，依法免税的供应商应提供相关文件证明；</w:t>
      </w:r>
    </w:p>
    <w:p>
      <w:pPr>
        <w:pStyle w:val="null3"/>
      </w:pPr>
      <w:r>
        <w:rPr>
          <w:rFonts w:ascii="仿宋_GB2312" w:hAnsi="仿宋_GB2312" w:cs="仿宋_GB2312" w:eastAsia="仿宋_GB2312"/>
        </w:rPr>
        <w:t>7、社会保障资金缴纳证明：供应商提供近半年内已缴存的至少一个月的社会保障资金缴存单据或社保机构开具的社会保险参保缴费情况证明 ，依法不需要缴纳社会保障资金的供应商应提供相关文件证明；</w:t>
      </w:r>
    </w:p>
    <w:p>
      <w:pPr>
        <w:pStyle w:val="null3"/>
      </w:pPr>
      <w:r>
        <w:rPr>
          <w:rFonts w:ascii="仿宋_GB2312" w:hAnsi="仿宋_GB2312" w:cs="仿宋_GB2312" w:eastAsia="仿宋_GB2312"/>
        </w:rPr>
        <w:t>8、承诺：供应商具备履行合同所必需的设备及专业技术能力；</w:t>
      </w:r>
    </w:p>
    <w:p>
      <w:pPr>
        <w:pStyle w:val="null3"/>
      </w:pPr>
      <w:r>
        <w:rPr>
          <w:rFonts w:ascii="仿宋_GB2312" w:hAnsi="仿宋_GB2312" w:cs="仿宋_GB2312" w:eastAsia="仿宋_GB2312"/>
        </w:rPr>
        <w:t>9、书面声明：提供参加政府采购活动前三年内在经营活动中没有重大违法记录的书面声明；</w:t>
      </w:r>
    </w:p>
    <w:p>
      <w:pPr>
        <w:pStyle w:val="null3"/>
      </w:pPr>
      <w:r>
        <w:rPr>
          <w:rFonts w:ascii="仿宋_GB2312" w:hAnsi="仿宋_GB2312" w:cs="仿宋_GB2312" w:eastAsia="仿宋_GB2312"/>
        </w:rPr>
        <w:t>10、信誉要求：供应商不得被列入“ 中国执行信息公开网”（http://zxgk.court.gov.cn） 失信被执行人， 不得被列入“信用中国”网站（www.creditchina.gov.cn）重大税收违法失信主体，不得被列入“中国政府采购网”（www.ccgp.gov.cn）政府采购严重违法失信行为记录名单中被财政部门禁止参加政府采购活动；</w:t>
      </w:r>
    </w:p>
    <w:p>
      <w:pPr>
        <w:pStyle w:val="null3"/>
      </w:pPr>
      <w:r>
        <w:rPr>
          <w:rFonts w:ascii="仿宋_GB2312" w:hAnsi="仿宋_GB2312" w:cs="仿宋_GB2312" w:eastAsia="仿宋_GB2312"/>
        </w:rPr>
        <w:t>11、供应商关联关系：供应商单位负责人为同一人或者存在控股、管理关系的不同单位，不得参加同一合同项下的政府采购；为采购项目提供整体设计、规范编制或者项目管理、检测等服务的供应商 ，不得再参加该采购项目的其他采购活动；</w:t>
      </w:r>
    </w:p>
    <w:p>
      <w:pPr>
        <w:pStyle w:val="null3"/>
      </w:pPr>
      <w:r>
        <w:rPr>
          <w:rFonts w:ascii="仿宋_GB2312" w:hAnsi="仿宋_GB2312" w:cs="仿宋_GB2312" w:eastAsia="仿宋_GB2312"/>
        </w:rPr>
        <w:t>12、中小企业：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淳化县冶峪中学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俱晓林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13992062906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宏业国际项目管理有限公司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陕西省西咸新区沣西新城康定路中铁港沣国际1309室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029-88680610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采购包1：961,040.90元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代理服务费收费标准：依据发改价格〔2015〕299号文件规定以成交价格为基准计取该项目的招标代理服务费。经双方协商，由成交供应商支付招标代理服务费，发放成交通知书时一次性付清。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淳化县冶峪中学</w:t>
      </w:r>
      <w:r>
        <w:rPr>
          <w:rFonts w:ascii="仿宋_GB2312" w:hAnsi="仿宋_GB2312" w:cs="仿宋_GB2312" w:eastAsia="仿宋_GB2312"/>
        </w:rPr>
        <w:t>和</w:t>
      </w:r>
      <w:r>
        <w:rPr>
          <w:rFonts w:ascii="仿宋_GB2312" w:hAnsi="仿宋_GB2312" w:cs="仿宋_GB2312" w:eastAsia="仿宋_GB2312"/>
        </w:rPr>
        <w:t>宏业国际项目管理有限公司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淳化县冶峪中学</w:t>
      </w:r>
      <w:r>
        <w:rPr>
          <w:rFonts w:ascii="仿宋_GB2312" w:hAnsi="仿宋_GB2312" w:cs="仿宋_GB2312" w:eastAsia="仿宋_GB2312"/>
        </w:rPr>
        <w:t>负责解释。除上述磋商文件内容，其他内容由</w:t>
      </w:r>
      <w:r>
        <w:rPr>
          <w:rFonts w:ascii="仿宋_GB2312" w:hAnsi="仿宋_GB2312" w:cs="仿宋_GB2312" w:eastAsia="仿宋_GB2312"/>
        </w:rPr>
        <w:t>宏业国际项目管理有限公司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淳化县冶峪中学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宏业国际项目管理有限公司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按照行业管理部门规定的标准、方法和内容进行验收。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联系电话：029-88680610</w:t>
      </w:r>
    </w:p>
    <w:p>
      <w:pPr>
        <w:pStyle w:val="null3"/>
      </w:pPr>
      <w:r>
        <w:rPr>
          <w:rFonts w:ascii="仿宋_GB2312" w:hAnsi="仿宋_GB2312" w:cs="仿宋_GB2312" w:eastAsia="仿宋_GB2312"/>
        </w:rPr>
        <w:t>地址：陕西省西咸新区沣西新城康定路中铁港沣国际1309室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961,040.90</w:t>
      </w:r>
    </w:p>
    <w:p>
      <w:pPr>
        <w:pStyle w:val="null3"/>
      </w:pPr>
      <w:r>
        <w:rPr>
          <w:rFonts w:ascii="仿宋_GB2312" w:hAnsi="仿宋_GB2312" w:cs="仿宋_GB2312" w:eastAsia="仿宋_GB2312"/>
        </w:rPr>
        <w:t>采购包最高限价（元）: 961,040.90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淳化县冶峪中学体育场提升改造项目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961,040.90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标的名称：淳化县冶峪中学体育场提升改造项目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对足球场、篮球场、匹克球场、排球场面层修缮更换人造草皮、绘制标线等。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工程量清单说明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1、淳化县冶峪中学体育场提升改造项目设计图纸；</w:t>
            </w:r>
          </w:p>
          <w:p>
            <w:pPr>
              <w:pStyle w:val="null3"/>
            </w:pPr>
            <w:r>
              <w:rPr>
                <w:rFonts w:ascii="仿宋_GB2312" w:hAnsi="仿宋_GB2312" w:cs="仿宋_GB2312" w:eastAsia="仿宋_GB2312"/>
              </w:rPr>
              <w:t>2、施工规范和验收规范；</w:t>
            </w:r>
          </w:p>
          <w:p>
            <w:pPr>
              <w:pStyle w:val="null3"/>
            </w:pPr>
            <w:r>
              <w:rPr>
                <w:rFonts w:ascii="仿宋_GB2312" w:hAnsi="仿宋_GB2312" w:cs="仿宋_GB2312" w:eastAsia="仿宋_GB2312"/>
              </w:rPr>
              <w:t>3、《陕西省建设工程工程量清单计价计算标准》（2025） DB615126-2025；</w:t>
            </w:r>
          </w:p>
          <w:p>
            <w:pPr>
              <w:pStyle w:val="null3"/>
            </w:pPr>
            <w:r>
              <w:rPr>
                <w:rFonts w:ascii="仿宋_GB2312" w:hAnsi="仿宋_GB2312" w:cs="仿宋_GB2312" w:eastAsia="仿宋_GB2312"/>
              </w:rPr>
              <w:t>4、《陕西省建设工程费用规则》(2025)</w:t>
            </w:r>
          </w:p>
          <w:p>
            <w:pPr>
              <w:pStyle w:val="null3"/>
            </w:pPr>
            <w:r>
              <w:rPr>
                <w:rFonts w:ascii="仿宋_GB2312" w:hAnsi="仿宋_GB2312" w:cs="仿宋_GB2312" w:eastAsia="仿宋_GB2312"/>
              </w:rPr>
              <w:t>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其它现行标准进行组价；</w:t>
            </w:r>
          </w:p>
          <w:p>
            <w:pPr>
              <w:pStyle w:val="null3"/>
            </w:pPr>
            <w:r>
              <w:rPr>
                <w:rFonts w:ascii="仿宋_GB2312" w:hAnsi="仿宋_GB2312" w:cs="仿宋_GB2312" w:eastAsia="仿宋_GB2312"/>
              </w:rPr>
              <w:t>6、主要材料价格执行《咸阳工程造价信息》2026年第2期没有的参考上一期信息价及市场调研价；</w:t>
            </w:r>
          </w:p>
          <w:p>
            <w:pPr>
              <w:pStyle w:val="null3"/>
            </w:pPr>
            <w:r>
              <w:rPr>
                <w:rFonts w:ascii="仿宋_GB2312" w:hAnsi="仿宋_GB2312" w:cs="仿宋_GB2312" w:eastAsia="仿宋_GB2312"/>
              </w:rPr>
              <w:t>二、其他说明</w:t>
            </w:r>
          </w:p>
          <w:p>
            <w:pPr>
              <w:pStyle w:val="null3"/>
            </w:pPr>
            <w:r>
              <w:rPr>
                <w:rFonts w:ascii="仿宋_GB2312" w:hAnsi="仿宋_GB2312" w:cs="仿宋_GB2312" w:eastAsia="仿宋_GB2312"/>
              </w:rPr>
              <w:t>1、本项目采用广联达采用云计价平台GCCP7.0，版本号7.5000.23.2。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工期</w:t>
            </w:r>
          </w:p>
          <w:p>
            <w:pPr>
              <w:pStyle w:val="null3"/>
            </w:pPr>
            <w:r>
              <w:rPr>
                <w:rFonts w:ascii="仿宋_GB2312" w:hAnsi="仿宋_GB2312" w:cs="仿宋_GB2312" w:eastAsia="仿宋_GB2312"/>
              </w:rPr>
              <w:t>自合同签订之日起30日历天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质量保修范围和保修期</w:t>
            </w:r>
          </w:p>
          <w:p>
            <w:pPr>
              <w:pStyle w:val="null3"/>
            </w:pPr>
            <w:r>
              <w:rPr>
                <w:rFonts w:ascii="仿宋_GB2312" w:hAnsi="仿宋_GB2312" w:cs="仿宋_GB2312" w:eastAsia="仿宋_GB2312"/>
              </w:rPr>
              <w:t>1.基础设施工程和主体结构工程，为设计文件规定的该工程的合理使用年限；2.道路工程为 2 年；3.电气管线、给排水工程、设备安装和装修工程为两年；4.其他项目保修期限约定如下：1年，质量保修期自工程竣工验收合格之日起计算。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工程量清单</w:t>
            </w:r>
          </w:p>
          <w:p>
            <w:pPr>
              <w:pStyle w:val="null3"/>
            </w:pPr>
            <w:r>
              <w:rPr>
                <w:rFonts w:ascii="仿宋_GB2312" w:hAnsi="仿宋_GB2312" w:cs="仿宋_GB2312" w:eastAsia="仿宋_GB2312"/>
              </w:rPr>
              <w:t>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法定代表人授权书及被授权人身份证原件（法定代表人直接参与的须提供法定代表人身份证明及身份证原件）；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供应商须具备建设行政主管部门颁发的建筑工程施工总承包叁级以上资质并具有有效的安全生产许可证；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供应商拟派项目经理须具备建筑工程二级注册建造师及以上执业资格，具有有效的安全生产考核合格证书（B级），且无在建项目；</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 ，成立时间至提交响应文件截止时间不足一年的可提供成立后任意时段的资产负债表）或其开标前三个月内基本开户银行出具的资信证明；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供应商提供近半年内已缴纳的至少一个月的纳税证明或完税证明 ，纳税证明或完税证明上应有代收机构或税务机关的公章 ，依法免税的供应商应提供相关文件证明；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供应商提供近半年内已缴存的至少一个月的社会保障资金缴存单据或社保机构开具的社会保险参保缴费情况证明 ，依法不需要缴纳社会保障资金的供应商应提供相关文件证明；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供应商具备履行合同所必需的设备及专业技术能力；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 中国执行信息公开网”（http://zxgk.court.gov.cn） 失信被执行人， 不得被列入“信用中国”网站（www.creditchina.gov.cn）重大税收违法失信主体，不得被列入“中国政府采购网”（www.ccgp.gov.cn）政府采购严重违法失信行为记录名单中被财政部门禁止参加政府采购活动；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供应商单位负责人为同一人或者存在控股、管理关系的不同单位，不得参加同一合同项下的政府采购；为采购项目提供整体设计、规范编制或者项目管理、检测等服务的供应商 ，不得再参加该采购项目的其他采购活动；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已标价工程量清单 中小企业声明函 技术标 商务、技术偏离表 技术服务合同条款及其他商务要求应答表 供应商应提交的相关资格证明材料 强制优先采购产品承诺函 响应文件封面 供应商认为需要提交的其他资料 项目管理机构组成表 残疾人福利性单位声明函 报价函 首次磋商报价一览表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报价函 首次磋商报价一览表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技术标 商务、技术偏离表 技术服务合同条款及其他商务要求应答表 供应商应提交的相关资格证明材料 强制优先采购产品承诺函 供应商认为需要提交的其他资料 响应文件封面 项目管理机构组成表 残疾人福利性单位声明函 报价函 首次磋商报价一览表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技术标</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已标价工程量清单 中小企业声明函 技术标 商务、技术偏离表 技术服务合同条款及其他商务要求应答表 供应商应提交的相关资格证明材料 强制优先采购产品承诺函 响应文件封面 供应商认为需要提交的其他资料 项目管理机构组成表 残疾人福利性单位声明函 报价函 首次磋商报价一览表 标的清单 供应商类似项目业绩一览表 供应商承诺书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1、实施方案非常详细并且完整可行、有针对性，完全满足项目实施的得12分；2、实施方案详细、完整，可行、有针对性，满足项目实施的得9分； 3、实施方案比较详细完整、可行，较利于项目实施的得5分； 4、实施方案基本可行，基本满足项目实施需要的得2分;5、未提供得0分。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1、提供的安全作业方案及安全配套措施具体、详细，完全符合并优于采购人安全作业的要求，得10分；2、提供安全作业方案及安全配套措施较详细、较完整，符合采购人安全作业的要求，得8分；3、提供安全作业方案及安全配套措施基本合理可行，符合采购人安全作业的要求，得5分；4、提供的安全作业方案及安全配套措施简单，基本符合采购人安全作业的要求，得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1、措施计划齐全、合理且切实可行，完全满足采购人需求得10分；2、措施计划较齐全、合理、切实可行，满足采购人需求得8分；3、措施计划较齐全、合理、基本可行，基本满足采购人需求得5分；4、措施计划基本完备齐全、合理性、可行性较差，得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人员配备与管理方案</w:t>
            </w:r>
          </w:p>
        </w:tc>
        <w:tc>
          <w:tcPr>
            <w:tcW w:type="dxa" w:w="2492"/>
          </w:tcPr>
          <w:p>
            <w:pPr>
              <w:pStyle w:val="null3"/>
            </w:pPr>
            <w:r>
              <w:rPr>
                <w:rFonts w:ascii="仿宋_GB2312" w:hAnsi="仿宋_GB2312" w:cs="仿宋_GB2312" w:eastAsia="仿宋_GB2312"/>
              </w:rPr>
              <w:t>1、配备分工及配合协调措施（5分）：（1）配备分工合理，岗位间配合协调措施完善，得5分；（2）配备分工有一定合理性，岗位间配合协调措施较完善，得3分； （3）配备分工无针对性，岗位间协调配合措施简单笼统，得1分。未提供不得分。 2、专业技术能力及岗位职责（5分）：（1）人员专业技术能力强，岗位职责清晰，得5分；（2）人员有一定的专业技术能力，岗位职责较清晰，得3分；（3）人员专业技术能力欠缺，得1分。未提供不得分。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机具设备和劳动力配置情况</w:t>
            </w:r>
          </w:p>
        </w:tc>
        <w:tc>
          <w:tcPr>
            <w:tcW w:type="dxa" w:w="2492"/>
          </w:tcPr>
          <w:p>
            <w:pPr>
              <w:pStyle w:val="null3"/>
            </w:pPr>
            <w:r>
              <w:rPr>
                <w:rFonts w:ascii="仿宋_GB2312" w:hAnsi="仿宋_GB2312" w:cs="仿宋_GB2312" w:eastAsia="仿宋_GB2312"/>
              </w:rPr>
              <w:t>针对本项目提供拟投入本项目主要机具、设备和劳动力配置情况。1、拟投入的机具设备数量充足，与项目匹配度高，劳动力配置合理，完全满足项目需要，得8分；2、拟投入的机具设备数量、与项目基本匹配，劳动力配置较合理，基本满足项目需要，得5分；3、拟投入的机具设备和劳动力配置简单，无针对性，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1、风险预测与防范内容完善，针对性强，预案及措施科学合理可行性强，得8分；2、风险预测与防范内容较完善，预案及措施有一定针对性和可行性强，得6分；3、风险预测与防范内容、预案及措施内容基本完善，有一定的针对性，得4分；4、风险预测与防范内容、预案及措施内容简单笼统，无针对性，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1、进度计划安排合理、措施有效，工期目标明确，满足采购人要求，得6分；2、进度计划安排较合理、措施较有效，工期目标基本清晰，基本满足采购人要求，得4分；3、进度计划和工期目标内容简单笼统，无针对性，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供应商2023年5月至截标时间前同类施工项目业绩；每提供1份计2分，最高得6分。业绩证明（以合同或中标通知书为准，须在响应文件中附以上证明材料的扫描件加盖单位公章，弄虚作假者，取消其成交资格。)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详见附件：首次磋商报价一览表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详见附件：商务、技术偏离表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详见附件：供应商认为需要提交的其他资料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