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GZC2026-CS-043</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包茂高速甘泉服务区增设出入口工程勘察设计服务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079DF143">
      <w:pPr>
        <w:snapToGrid w:val="0"/>
        <w:spacing w:line="500" w:lineRule="exact"/>
        <w:jc w:val="both"/>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7A0C3723">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包茂高速甘泉服务区增设出入口工程勘察</w:t>
      </w:r>
    </w:p>
    <w:p w14:paraId="08318D6C">
      <w:pPr>
        <w:snapToGrid w:val="0"/>
        <w:spacing w:line="360" w:lineRule="auto"/>
        <w:ind w:left="2241" w:leftChars="1067" w:firstLine="0" w:firstLineChars="0"/>
        <w:jc w:val="left"/>
        <w:rPr>
          <w:rFonts w:hint="eastAsia" w:ascii="宋体" w:hAnsi="宋体" w:cs="宋体"/>
          <w:b/>
          <w:sz w:val="32"/>
          <w:szCs w:val="32"/>
          <w:lang w:val="en-US" w:eastAsia="zh-CN"/>
        </w:rPr>
      </w:pPr>
      <w:r>
        <w:rPr>
          <w:rFonts w:hint="eastAsia" w:ascii="宋体" w:hAnsi="宋体" w:cs="宋体"/>
          <w:b/>
          <w:sz w:val="32"/>
          <w:szCs w:val="32"/>
          <w:lang w:val="en-US" w:eastAsia="zh-CN"/>
        </w:rPr>
        <w:t>设计服务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甘泉县交通运输局</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6</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33</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37</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42</w:t>
      </w:r>
      <w:bookmarkStart w:id="12" w:name="_GoBack"/>
      <w:bookmarkEnd w:id="12"/>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B6D0E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6065CA2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包茂高速甘泉服务区增设出入口工程勘察设计服务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2026年07月08日 15时00分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79B8C74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3F7DB2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项目编号：GZC2026-CS-043</w:t>
      </w:r>
    </w:p>
    <w:p w14:paraId="3554EFE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项目名称：包茂高速甘泉服务区增设出入口工程勘察设计服务</w:t>
      </w:r>
    </w:p>
    <w:p w14:paraId="1DEC49F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7737F4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预算金额：569,250.00元</w:t>
      </w:r>
    </w:p>
    <w:p w14:paraId="42E8B47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4ADF133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合同包1(包茂高速甘泉服务区增设出入口工程勘察设计服务):</w:t>
      </w:r>
    </w:p>
    <w:p w14:paraId="73AFFA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合同包预算金额：569,250.00元</w:t>
      </w:r>
    </w:p>
    <w:p w14:paraId="154ACD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合同包最高限价：569,250.00元</w:t>
      </w:r>
    </w:p>
    <w:tbl>
      <w:tblPr>
        <w:tblStyle w:val="20"/>
        <w:tblW w:w="89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8"/>
        <w:gridCol w:w="1249"/>
        <w:gridCol w:w="3851"/>
        <w:gridCol w:w="796"/>
        <w:gridCol w:w="1137"/>
        <w:gridCol w:w="1326"/>
      </w:tblGrid>
      <w:tr w14:paraId="4100E5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930B1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9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479BF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6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EC01D9">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9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C3526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4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1B108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3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BBE59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2CC222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052FF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5CF6D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工程设计服务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E4CA1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甘泉县交通运输局包茂高速甘泉服务区增设出入口工程勘察设计服务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F65C9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C24EA9">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4D1793">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569,250.00</w:t>
            </w:r>
          </w:p>
        </w:tc>
      </w:tr>
    </w:tbl>
    <w:p w14:paraId="69B9DE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491F7B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465854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6FA97B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23AD18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15EF09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合同包1(包茂高速甘泉服务区增设出入口工程勘察设计服务)落实政府采购政策需满足的资格要求如下:</w:t>
      </w:r>
    </w:p>
    <w:p w14:paraId="5A84A2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267E13E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1ACE5D0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合同包1(包茂高速甘泉服务区增设出入口工程勘察设计服务)特定资格要求如下:</w:t>
      </w:r>
    </w:p>
    <w:p w14:paraId="7F75B7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供应商须具备工程勘察综合乙级资质或工程勘察专业类（岩土工程勘察、工程测量）甲级资质。具备工程设计综合乙级资质或公路行业设计甲级资质或公路行业（公路、交通工程）专业甲级资质。</w:t>
      </w:r>
    </w:p>
    <w:p w14:paraId="7198242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4BA0F4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2026年06月25日 至 2026年07月01日 ，每天上午 08:00:00 至 12:00:00 ，下午 14:30:00 至 18:00:00 （北京时间）</w:t>
      </w:r>
    </w:p>
    <w:p w14:paraId="1466B0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53F0CA2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4E680B5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7EB6AE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9C9AD0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2026年07月08日 15时00分00秒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B4AB1E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293A53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10B5EE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2026年07月08日 15时00分00秒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24BDAAB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56045E2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1D09FD8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6EDA30C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5ABC7DF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1、具有独立承担民事责任的能力：</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企业法人委托其他人报名的，需提供营业执照复印件，单位介绍信原件，法人委托书原件、被委托人身份证原件及复印件；若法人报名的，需提供携带身份证原件及复印件，营业执照复印件，单位介绍信原件,以上均加盖防伪公章（鲜章）的报名资料一套（不接受扫描件）；</w:t>
      </w:r>
    </w:p>
    <w:p w14:paraId="2DFFF2A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2、财务状况报告：提供2024年度或2025年度的财务审计报告（成立时间至提交响应文件截止时间不足一年的可提供成立后任意时段的资产负债表）或其基本存款账户开户银行出具的资信证明；</w:t>
      </w:r>
    </w:p>
    <w:p w14:paraId="57743F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3、税收缴纳证明：提供2026年1月1日至今的任意一个月的缴税凭证；依法免税的供应商应提供相关文件证明；</w:t>
      </w:r>
    </w:p>
    <w:p w14:paraId="6B4A53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4、投标人参加本项目提供具有履行本合同所必需的材料和专业技术能力的说明及承诺；</w:t>
      </w:r>
    </w:p>
    <w:p w14:paraId="0B4D1B8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p>
    <w:p w14:paraId="137321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081172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对列入失信被执行人、重大税收违法案件当事人名单、政府采购严重违法失信行为记录名单及其他不符合《中华人民共和国中华人民共和国政府采购法》第二十二条规定条件的供应商，拒绝其参加本项目投标。</w:t>
      </w:r>
    </w:p>
    <w:p w14:paraId="1A44978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p>
    <w:p w14:paraId="0D76752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本项目不专门面向中小企业项目，供应商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6DBB6C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410A14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292C954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甘泉县交通运输局</w:t>
      </w:r>
    </w:p>
    <w:p w14:paraId="32EC3BF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w:t>
      </w:r>
    </w:p>
    <w:p w14:paraId="5CFAA3F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13909118151</w:t>
      </w:r>
    </w:p>
    <w:p w14:paraId="670FF6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0BCB8DD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71EA3F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6DA4B9F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2EF5F60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1D188EF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2833652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39E6B9C7">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4B44A5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ACCA51F">
      <w:pPr>
        <w:pStyle w:val="16"/>
        <w:spacing w:before="0" w:beforeAutospacing="0" w:after="0" w:afterAutospacing="0" w:line="400" w:lineRule="exact"/>
        <w:jc w:val="both"/>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15103"/>
      <w:bookmarkEnd w:id="0"/>
      <w:bookmarkStart w:id="1" w:name="_Toc421778364"/>
      <w:bookmarkEnd w:id="1"/>
      <w:bookmarkStart w:id="2" w:name="_Toc420591642"/>
      <w:bookmarkEnd w:id="2"/>
      <w:bookmarkStart w:id="3" w:name="_Toc500323094"/>
      <w:bookmarkEnd w:id="3"/>
      <w:bookmarkStart w:id="4" w:name="_Toc526842682"/>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甘泉县交通运输局</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甘泉县城北关</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强博</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13909118151</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包茂高速甘泉服务区增设出入口工程勘察设计服务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569,250.00元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569,250.00元</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eastAsia="zh-CN"/>
              </w:rPr>
              <w:t>提交日期</w:t>
            </w:r>
          </w:p>
        </w:tc>
        <w:tc>
          <w:tcPr>
            <w:tcW w:w="740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合同签订后90日历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lang w:val="en-US" w:eastAsia="zh-CN"/>
              </w:rPr>
              <w:t>，中标人完成全部勘察工作、初步设计及概算、施工图设计及预算全套成果文件。</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 2026年07月08日 15时00分00秒 </w:t>
            </w:r>
            <w:r>
              <w:rPr>
                <w:rFonts w:hint="eastAsia" w:ascii="宋体" w:hAnsi="宋体" w:eastAsia="宋体" w:cs="宋体"/>
                <w:b w:val="0"/>
                <w:bCs w:val="0"/>
                <w:i w:val="0"/>
                <w:iCs w:val="0"/>
                <w:caps w:val="0"/>
                <w:color w:val="auto"/>
                <w:spacing w:val="0"/>
                <w:sz w:val="21"/>
                <w:szCs w:val="21"/>
                <w:highlight w:val="none"/>
                <w:shd w:val="clear" w:color="auto" w:fill="FFFFFF"/>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2026年07月08日 15时00分00秒 </w:t>
            </w:r>
            <w:r>
              <w:rPr>
                <w:rFonts w:hint="eastAsia" w:ascii="宋体" w:hAnsi="宋体" w:eastAsia="宋体" w:cs="宋体"/>
                <w:b w:val="0"/>
                <w:bCs w:val="0"/>
                <w:i w:val="0"/>
                <w:iCs w:val="0"/>
                <w:caps w:val="0"/>
                <w:color w:val="auto"/>
                <w:spacing w:val="0"/>
                <w:sz w:val="21"/>
                <w:szCs w:val="21"/>
                <w:shd w:val="clear" w:color="auto" w:fill="FFFFFF"/>
              </w:rPr>
              <w:t> </w:t>
            </w:r>
            <w:r>
              <w:rPr>
                <w:rFonts w:hint="eastAsia" w:ascii="宋体" w:hAnsi="宋体" w:eastAsia="宋体" w:cs="宋体"/>
                <w:b w:val="0"/>
                <w:bCs w:val="0"/>
                <w:i w:val="0"/>
                <w:iCs w:val="0"/>
                <w:caps w:val="0"/>
                <w:color w:val="auto"/>
                <w:spacing w:val="0"/>
                <w:sz w:val="21"/>
                <w:szCs w:val="21"/>
                <w:highlight w:val="none"/>
                <w:shd w:val="clear" w:color="auto" w:fill="FFFFFF"/>
              </w:rPr>
              <w:t>（北京时间）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是</w:t>
            </w:r>
            <w:r>
              <w:rPr>
                <w:rFonts w:hint="eastAsia" w:ascii="宋体" w:hAnsi="宋体" w:cs="宋体"/>
                <w:b w:val="0"/>
                <w:bCs w:val="0"/>
                <w:color w:val="auto"/>
                <w:sz w:val="24"/>
                <w:lang w:eastAsia="zh-CN"/>
              </w:rPr>
              <w:t>□</w:t>
            </w:r>
            <w:r>
              <w:rPr>
                <w:rFonts w:hint="eastAsia" w:ascii="宋体" w:hAnsi="宋体" w:eastAsia="宋体" w:cs="宋体"/>
                <w:b w:val="0"/>
                <w:bCs w:val="0"/>
                <w:color w:val="auto"/>
                <w:sz w:val="24"/>
              </w:rPr>
              <w:t xml:space="preserve">  否 </w:t>
            </w:r>
            <w:r>
              <w:rPr>
                <w:rFonts w:hint="eastAsia" w:ascii="宋体" w:hAnsi="宋体" w:cs="宋体"/>
                <w:b w:val="0"/>
                <w:bCs w:val="0"/>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szCs w:val="32"/>
                <w:lang w:val="en-US" w:eastAsia="zh-CN"/>
              </w:rPr>
              <w:t>其他未列明行业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甘泉县交通运输局</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b/>
          <w:bCs/>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1E686A4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27C7FC11">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kern w:val="2"/>
          <w:sz w:val="24"/>
          <w:szCs w:val="24"/>
          <w:lang w:val="en-US" w:eastAsia="zh-CN" w:bidi="ar-SA"/>
        </w:rPr>
        <w:t>特定资格要求</w:t>
      </w:r>
      <w:r>
        <w:rPr>
          <w:rFonts w:hint="eastAsia" w:ascii="宋体" w:hAnsi="宋体" w:eastAsia="宋体" w:cs="宋体"/>
          <w:b w:val="0"/>
          <w:bCs w:val="0"/>
          <w:color w:val="000000"/>
          <w:kern w:val="2"/>
          <w:sz w:val="24"/>
          <w:szCs w:val="24"/>
          <w:lang w:val="en-US" w:eastAsia="zh-CN" w:bidi="ar-SA"/>
        </w:rPr>
        <w:t>：供应商须具备工程勘察综合乙级资质或工程勘察专业类（岩土工程勘察、工程测量）甲级资质。具备工程设计综合乙级资质或公路行业设计甲级资质或公路行业（公路、交通工程）专业甲级资质。</w:t>
      </w:r>
    </w:p>
    <w:p w14:paraId="33FA8AF1">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1F940CA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68B3CD67">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承诺声明：</w:t>
      </w:r>
      <w:r>
        <w:rPr>
          <w:rFonts w:hint="eastAsia" w:ascii="宋体" w:hAnsi="宋体" w:eastAsia="宋体" w:cs="宋体"/>
          <w:b w:val="0"/>
          <w:bCs w:val="0"/>
          <w:color w:val="000000"/>
          <w:sz w:val="24"/>
          <w:szCs w:val="24"/>
          <w:lang w:val="en-US" w:eastAsia="zh-CN"/>
        </w:rPr>
        <w:t>提供具有履行合同所必需的设备和专业技术能力的承诺书</w:t>
      </w:r>
      <w:r>
        <w:rPr>
          <w:rFonts w:hint="eastAsia" w:ascii="宋体" w:hAnsi="宋体" w:eastAsia="宋体" w:cs="宋体"/>
          <w:b/>
          <w:bCs/>
          <w:color w:val="auto"/>
          <w:sz w:val="24"/>
          <w:szCs w:val="24"/>
          <w:lang w:eastAsia="zh-CN"/>
        </w:rPr>
        <w:t>。</w:t>
      </w:r>
    </w:p>
    <w:p w14:paraId="4045706F">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：本项目不专门面向中小企业项目</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供应商为中型企业、小型企业、微型企业或监狱企业或残疾人福利性单位</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供应商为中小企业的，提供《中小企业声明函》；供应商为监狱企业的，应提供监狱企业的证明文件；供应商为残疾人福利性单位的，应提供《残疾人福利性单位声明函》。</w:t>
      </w:r>
    </w:p>
    <w:p w14:paraId="0AB78985">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3F3472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强博</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eastAsia="宋体" w:cs="宋体"/>
          <w:color w:val="000000" w:themeColor="text1"/>
          <w:sz w:val="24"/>
          <w:lang w:eastAsia="zh-CN"/>
          <w14:textFill>
            <w14:solidFill>
              <w14:schemeClr w14:val="tx1"/>
            </w14:solidFill>
          </w14:textFill>
        </w:rPr>
        <w:t>13909118151</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甘泉县城北关</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bCs/>
          <w:color w:val="auto"/>
          <w:highlight w:val="none"/>
        </w:rPr>
        <w:t>~</w:t>
      </w:r>
      <w:r>
        <w:rPr>
          <w:rFonts w:hint="eastAsia" w:ascii="宋体" w:hAnsi="宋体" w:eastAsia="宋体" w:cs="宋体"/>
          <w:b/>
          <w:bCs/>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文件规定的价格扣除，但不影响</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包茂高速甘泉服务区增设出入口工程勘察设计服务</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488CC15B">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15.宣读磋商结果。</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517A817">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提交日期</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2184FDF2">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技术成果要求</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9D4F4D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成果交付要求</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76761F5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 xml:space="preserve">服务承诺及履约要求 </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06032B2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质量保证及售后技术服务</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5CA16D9C">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甲乙双方责任</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7643660F">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r w14:paraId="233C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40D80CF">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0447284A">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1B8E8A8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DA17E2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D56D5C1">
            <w:pPr>
              <w:spacing w:line="400" w:lineRule="exact"/>
              <w:ind w:firstLine="200"/>
              <w:rPr>
                <w:rFonts w:hint="eastAsia" w:ascii="宋体" w:hAnsi="宋体" w:eastAsia="宋体" w:cs="宋体"/>
                <w:color w:val="auto"/>
              </w:rPr>
            </w:pPr>
          </w:p>
        </w:tc>
      </w:tr>
      <w:tr w14:paraId="1E3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C870A6">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12</w:t>
            </w:r>
          </w:p>
        </w:tc>
        <w:tc>
          <w:tcPr>
            <w:tcW w:w="3286" w:type="dxa"/>
            <w:tcBorders>
              <w:top w:val="single" w:color="auto" w:sz="4" w:space="0"/>
              <w:left w:val="single" w:color="auto" w:sz="4" w:space="0"/>
              <w:bottom w:val="single" w:color="auto" w:sz="4" w:space="0"/>
              <w:right w:val="single" w:color="auto" w:sz="4" w:space="0"/>
            </w:tcBorders>
            <w:vAlign w:val="center"/>
          </w:tcPr>
          <w:p w14:paraId="349DF00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保密条款</w:t>
            </w:r>
          </w:p>
        </w:tc>
        <w:tc>
          <w:tcPr>
            <w:tcW w:w="1768" w:type="dxa"/>
            <w:tcBorders>
              <w:top w:val="single" w:color="auto" w:sz="4" w:space="0"/>
              <w:left w:val="single" w:color="auto" w:sz="4" w:space="0"/>
              <w:bottom w:val="single" w:color="auto" w:sz="4" w:space="0"/>
              <w:right w:val="single" w:color="auto" w:sz="4" w:space="0"/>
            </w:tcBorders>
            <w:vAlign w:val="center"/>
          </w:tcPr>
          <w:p w14:paraId="157CA3B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E96D3B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A645E73">
            <w:pPr>
              <w:spacing w:line="400" w:lineRule="exact"/>
              <w:ind w:firstLine="200"/>
              <w:rPr>
                <w:rFonts w:hint="eastAsia" w:ascii="宋体" w:hAnsi="宋体" w:eastAsia="宋体" w:cs="宋体"/>
                <w:color w:val="auto"/>
              </w:rPr>
            </w:pPr>
          </w:p>
        </w:tc>
      </w:tr>
      <w:tr w14:paraId="04B5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1EEBCA5">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13</w:t>
            </w:r>
          </w:p>
        </w:tc>
        <w:tc>
          <w:tcPr>
            <w:tcW w:w="3286" w:type="dxa"/>
            <w:tcBorders>
              <w:top w:val="single" w:color="auto" w:sz="4" w:space="0"/>
              <w:left w:val="single" w:color="auto" w:sz="4" w:space="0"/>
              <w:bottom w:val="single" w:color="auto" w:sz="4" w:space="0"/>
              <w:right w:val="single" w:color="auto" w:sz="4" w:space="0"/>
            </w:tcBorders>
            <w:vAlign w:val="center"/>
          </w:tcPr>
          <w:p w14:paraId="60F7517B">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合同组成部分</w:t>
            </w:r>
            <w:r>
              <w:rPr>
                <w:rFonts w:hint="eastAsia" w:ascii="宋体" w:hAnsi="宋体" w:cs="宋体"/>
                <w:color w:val="auto"/>
                <w:lang w:val="en-US" w:eastAsia="zh-CN"/>
              </w:rPr>
              <w:t>、</w:t>
            </w:r>
            <w:r>
              <w:rPr>
                <w:rFonts w:hint="eastAsia" w:ascii="宋体" w:hAnsi="宋体" w:eastAsia="宋体" w:cs="宋体"/>
                <w:color w:val="auto"/>
                <w:lang w:val="en-US" w:eastAsia="zh-CN"/>
              </w:rPr>
              <w:t>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3BB2BFA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488F2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FF7DBAE">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评审要素及分值一览表</w:t>
      </w:r>
    </w:p>
    <w:tbl>
      <w:tblPr>
        <w:tblStyle w:val="20"/>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333"/>
        <w:gridCol w:w="885"/>
        <w:gridCol w:w="6914"/>
      </w:tblGrid>
      <w:tr w14:paraId="4498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13" w:type="dxa"/>
            <w:noWrap w:val="0"/>
            <w:vAlign w:val="center"/>
          </w:tcPr>
          <w:p w14:paraId="5D8B3351">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序号</w:t>
            </w:r>
          </w:p>
        </w:tc>
        <w:tc>
          <w:tcPr>
            <w:tcW w:w="1333" w:type="dxa"/>
            <w:noWrap w:val="0"/>
            <w:vAlign w:val="center"/>
          </w:tcPr>
          <w:p w14:paraId="4494F42C">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评审项目</w:t>
            </w:r>
          </w:p>
        </w:tc>
        <w:tc>
          <w:tcPr>
            <w:tcW w:w="885" w:type="dxa"/>
            <w:noWrap w:val="0"/>
            <w:vAlign w:val="center"/>
          </w:tcPr>
          <w:p w14:paraId="6D3D4C32">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标准分</w:t>
            </w:r>
          </w:p>
        </w:tc>
        <w:tc>
          <w:tcPr>
            <w:tcW w:w="6914" w:type="dxa"/>
            <w:noWrap w:val="0"/>
            <w:vAlign w:val="center"/>
          </w:tcPr>
          <w:p w14:paraId="5B5F1F97">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评分办法</w:t>
            </w:r>
          </w:p>
        </w:tc>
      </w:tr>
      <w:tr w14:paraId="7218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BF349F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1</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3E4217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投标</w:t>
            </w:r>
          </w:p>
          <w:p w14:paraId="7F00825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报价</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3601AA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25</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F50C8B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按照财政部《政府采购货物和服务招标投标管理办法》（财政部令第87号）的有关规定：价格分采用低价优先法计算，即满足磋商文件要求且投标价格最低的投标报价为评标基准价，其价格分为满分。其他供应商的价格分统一按照下列公式计算：</w:t>
            </w:r>
          </w:p>
          <w:p w14:paraId="0312829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投标报价得分=（评标基准价/投标报价）×价格权值（即</w:t>
            </w:r>
            <w:r>
              <w:rPr>
                <w:rFonts w:hint="eastAsia" w:ascii="宋体" w:hAnsi="宋体" w:cs="宋体"/>
                <w:lang w:val="en-US" w:eastAsia="zh-CN" w:bidi="ar-SA"/>
              </w:rPr>
              <w:t>25</w:t>
            </w:r>
            <w:r>
              <w:rPr>
                <w:rFonts w:hint="eastAsia" w:ascii="宋体" w:hAnsi="宋体" w:eastAsia="宋体" w:cs="宋体"/>
                <w:lang w:val="en-US" w:eastAsia="zh-CN" w:bidi="ar-SA"/>
              </w:rPr>
              <w:t>%）×100</w:t>
            </w:r>
          </w:p>
          <w:p w14:paraId="31102AD6">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（因落实政府采购政策进行价格调整的，以调整后的价格计算评标基准价和投标报价）</w:t>
            </w:r>
          </w:p>
          <w:p w14:paraId="2FA23C27">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备注：</w:t>
            </w:r>
            <w:r>
              <w:rPr>
                <w:rFonts w:hint="eastAsia" w:ascii="宋体" w:hAnsi="宋体" w:eastAsia="宋体" w:cs="宋体"/>
                <w:b/>
                <w:bCs/>
                <w:lang w:val="en-US" w:eastAsia="zh-CN" w:bidi="ar-SA"/>
              </w:rPr>
              <w:t>因本项目不专门面向中小企业采购，磋商报价得分针对《政府采购促进中小企业发展管理办法》的通知--财库〔2020〕46号，</w:t>
            </w:r>
            <w:r>
              <w:rPr>
                <w:rFonts w:hint="eastAsia" w:ascii="宋体" w:hAnsi="宋体" w:cs="宋体"/>
                <w:b/>
                <w:bCs/>
                <w:lang w:val="en-US" w:eastAsia="zh-CN" w:bidi="ar-SA"/>
              </w:rPr>
              <w:t>中小</w:t>
            </w:r>
            <w:r>
              <w:rPr>
                <w:rFonts w:hint="eastAsia" w:ascii="宋体" w:hAnsi="宋体" w:eastAsia="宋体" w:cs="宋体"/>
                <w:b/>
                <w:bCs/>
                <w:lang w:val="en-US" w:eastAsia="zh-CN" w:bidi="ar-SA"/>
              </w:rPr>
              <w:t>企业享受10%价格扣除计算。</w:t>
            </w:r>
          </w:p>
          <w:p w14:paraId="2CA352F9">
            <w:pPr>
              <w:widowControl w:val="0"/>
              <w:spacing w:line="240" w:lineRule="auto"/>
              <w:jc w:val="both"/>
              <w:rPr>
                <w:rFonts w:hint="default" w:ascii="Microsoft YaHei 微软雅黑 黑体 宋体" w:hAnsi="Microsoft YaHei 微软雅黑 黑体 宋体" w:eastAsia="宋体" w:cs="Microsoft YaHei 微软雅黑 黑体 宋体"/>
                <w:color w:val="333333"/>
                <w:kern w:val="0"/>
                <w:sz w:val="18"/>
                <w:szCs w:val="18"/>
                <w:shd w:val="clear" w:color="auto" w:fill="FCFCFC"/>
                <w:lang w:val="en-US" w:eastAsia="zh-CN" w:bidi="ar-SA"/>
              </w:rPr>
            </w:pPr>
            <w:r>
              <w:rPr>
                <w:rFonts w:hint="eastAsia" w:ascii="宋体" w:hAnsi="宋体" w:eastAsia="宋体" w:cs="宋体"/>
                <w:b/>
                <w:bCs/>
                <w:lang w:val="en-US" w:eastAsia="zh-CN" w:bidi="ar-SA"/>
              </w:rPr>
              <w:t>本项目所属行业：其他未列明行业</w:t>
            </w:r>
          </w:p>
        </w:tc>
      </w:tr>
      <w:tr w14:paraId="07A0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13" w:type="dxa"/>
            <w:tcBorders>
              <w:top w:val="single" w:color="auto" w:sz="4" w:space="0"/>
              <w:left w:val="single" w:color="auto" w:sz="4" w:space="0"/>
              <w:right w:val="single" w:color="auto" w:sz="4" w:space="0"/>
            </w:tcBorders>
            <w:noWrap w:val="0"/>
            <w:vAlign w:val="center"/>
          </w:tcPr>
          <w:p w14:paraId="64581EC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w:t>
            </w:r>
          </w:p>
        </w:tc>
        <w:tc>
          <w:tcPr>
            <w:tcW w:w="1333" w:type="dxa"/>
            <w:tcBorders>
              <w:top w:val="single" w:color="auto" w:sz="4" w:space="0"/>
              <w:left w:val="single" w:color="auto" w:sz="4" w:space="0"/>
              <w:right w:val="single" w:color="auto" w:sz="4" w:space="0"/>
            </w:tcBorders>
            <w:noWrap w:val="0"/>
            <w:vAlign w:val="center"/>
          </w:tcPr>
          <w:p w14:paraId="4CF7A18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勘察设计</w:t>
            </w:r>
          </w:p>
          <w:p w14:paraId="474D52A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方案及内容</w:t>
            </w:r>
          </w:p>
        </w:tc>
        <w:tc>
          <w:tcPr>
            <w:tcW w:w="885" w:type="dxa"/>
            <w:tcBorders>
              <w:top w:val="single" w:color="auto" w:sz="4" w:space="0"/>
              <w:left w:val="single" w:color="auto" w:sz="4" w:space="0"/>
              <w:right w:val="single" w:color="auto" w:sz="4" w:space="0"/>
            </w:tcBorders>
            <w:noWrap w:val="0"/>
            <w:vAlign w:val="center"/>
          </w:tcPr>
          <w:p w14:paraId="6CEA0EB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30分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8F77C5D">
            <w:pPr>
              <w:widowControl w:val="0"/>
              <w:numPr>
                <w:ilvl w:val="0"/>
                <w:numId w:val="3"/>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对项目</w:t>
            </w:r>
            <w:r>
              <w:rPr>
                <w:rFonts w:hint="eastAsia" w:ascii="宋体" w:hAnsi="宋体" w:cs="宋体"/>
                <w:b/>
                <w:bCs/>
                <w:sz w:val="21"/>
                <w:szCs w:val="21"/>
                <w:lang w:val="en-US" w:eastAsia="zh-CN" w:bidi="ar-SA"/>
              </w:rPr>
              <w:t>勘察设计</w:t>
            </w:r>
            <w:r>
              <w:rPr>
                <w:rFonts w:hint="eastAsia" w:ascii="宋体" w:hAnsi="宋体" w:eastAsia="宋体" w:cs="宋体"/>
                <w:b/>
                <w:bCs/>
                <w:sz w:val="21"/>
                <w:szCs w:val="21"/>
                <w:lang w:val="en-US" w:eastAsia="zh-CN" w:bidi="ar-SA"/>
              </w:rPr>
              <w:t>背景、勘察</w:t>
            </w:r>
            <w:r>
              <w:rPr>
                <w:rFonts w:hint="eastAsia" w:ascii="宋体" w:hAnsi="宋体" w:cs="宋体"/>
                <w:b/>
                <w:bCs/>
                <w:sz w:val="21"/>
                <w:szCs w:val="21"/>
                <w:lang w:val="en-US" w:eastAsia="zh-CN" w:bidi="ar-SA"/>
              </w:rPr>
              <w:t>设计</w:t>
            </w:r>
            <w:r>
              <w:rPr>
                <w:rFonts w:hint="eastAsia" w:ascii="宋体" w:hAnsi="宋体" w:eastAsia="宋体" w:cs="宋体"/>
                <w:b/>
                <w:bCs/>
                <w:sz w:val="21"/>
                <w:szCs w:val="21"/>
                <w:lang w:val="en-US" w:eastAsia="zh-CN" w:bidi="ar-SA"/>
              </w:rPr>
              <w:t>意义、总体思路、勘察</w:t>
            </w:r>
            <w:r>
              <w:rPr>
                <w:rFonts w:hint="eastAsia" w:ascii="宋体" w:hAnsi="宋体" w:cs="宋体"/>
                <w:b/>
                <w:bCs/>
                <w:sz w:val="21"/>
                <w:szCs w:val="21"/>
                <w:lang w:val="en-US" w:eastAsia="zh-CN" w:bidi="ar-SA"/>
              </w:rPr>
              <w:t>设计</w:t>
            </w:r>
            <w:r>
              <w:rPr>
                <w:rFonts w:hint="eastAsia" w:ascii="宋体" w:hAnsi="宋体" w:eastAsia="宋体" w:cs="宋体"/>
                <w:b/>
                <w:bCs/>
                <w:sz w:val="21"/>
                <w:szCs w:val="21"/>
                <w:lang w:val="en-US" w:eastAsia="zh-CN" w:bidi="ar-SA"/>
              </w:rPr>
              <w:t>范围、期限及勘察</w:t>
            </w:r>
            <w:r>
              <w:rPr>
                <w:rFonts w:hint="eastAsia" w:ascii="宋体" w:hAnsi="宋体" w:cs="宋体"/>
                <w:b/>
                <w:bCs/>
                <w:sz w:val="21"/>
                <w:szCs w:val="21"/>
                <w:lang w:val="en-US" w:eastAsia="zh-CN" w:bidi="ar-SA"/>
              </w:rPr>
              <w:t>设计</w:t>
            </w:r>
            <w:r>
              <w:rPr>
                <w:rFonts w:hint="eastAsia" w:ascii="宋体" w:hAnsi="宋体" w:eastAsia="宋体" w:cs="宋体"/>
                <w:b/>
                <w:bCs/>
                <w:sz w:val="21"/>
                <w:szCs w:val="21"/>
                <w:lang w:val="en-US" w:eastAsia="zh-CN" w:bidi="ar-SA"/>
              </w:rPr>
              <w:t>原则的认知解读（0-10 分）；</w:t>
            </w:r>
            <w:r>
              <w:rPr>
                <w:rFonts w:hint="eastAsia" w:ascii="宋体" w:hAnsi="宋体" w:eastAsia="宋体" w:cs="宋体"/>
                <w:sz w:val="21"/>
                <w:szCs w:val="21"/>
                <w:lang w:val="en-US" w:eastAsia="zh-CN" w:bidi="ar-SA"/>
              </w:rPr>
              <w:t xml:space="preserve"> </w:t>
            </w:r>
          </w:p>
          <w:p w14:paraId="07A45398">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1.1完整准确阐述项目的勘察</w:t>
            </w:r>
            <w:r>
              <w:rPr>
                <w:rFonts w:hint="eastAsia" w:ascii="宋体" w:hAnsi="宋体" w:cs="宋体"/>
                <w:sz w:val="21"/>
                <w:szCs w:val="21"/>
                <w:lang w:val="en-US" w:eastAsia="zh-CN" w:bidi="ar-SA"/>
              </w:rPr>
              <w:t>设计</w:t>
            </w:r>
            <w:r>
              <w:rPr>
                <w:rFonts w:hint="eastAsia" w:ascii="宋体" w:hAnsi="宋体" w:eastAsia="宋体" w:cs="宋体"/>
                <w:sz w:val="21"/>
                <w:szCs w:val="21"/>
                <w:lang w:val="en-US" w:eastAsia="zh-CN" w:bidi="ar-SA"/>
              </w:rPr>
              <w:t xml:space="preserve">背景，总体认知解读充分，得6-10分； </w:t>
            </w:r>
          </w:p>
          <w:p w14:paraId="095B5510">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1.2较准确的阐述项目的勘察设计背景，总体认知解读较充分，得3-6 分； </w:t>
            </w:r>
          </w:p>
          <w:p w14:paraId="6B820871">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1.3阐述项目的勘察设计背景不准确，总体认知解读不充分，得 0-3分。 </w:t>
            </w:r>
          </w:p>
          <w:p w14:paraId="11691802">
            <w:pPr>
              <w:widowControl w:val="0"/>
              <w:numPr>
                <w:ilvl w:val="0"/>
                <w:numId w:val="3"/>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相关工作基础掌握情况（0-10 分）</w:t>
            </w:r>
            <w:r>
              <w:rPr>
                <w:rFonts w:hint="eastAsia" w:ascii="宋体" w:hAnsi="宋体" w:eastAsia="宋体" w:cs="宋体"/>
                <w:sz w:val="21"/>
                <w:szCs w:val="21"/>
                <w:lang w:val="en-US" w:eastAsia="zh-CN" w:bidi="ar-SA"/>
              </w:rPr>
              <w:t xml:space="preserve"> </w:t>
            </w:r>
          </w:p>
          <w:p w14:paraId="3707FCE7">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2.1对工作任务理解深刻，现状、主要内容、提交成果等基础情况了解深入，相关基础工作准备充分得 6-10 分； </w:t>
            </w:r>
          </w:p>
          <w:p w14:paraId="11DC9612">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2.2对任务理解一般，现状、主要内容、提交成果等基础情况不够了解，相关基础工作准备一般得 3-6 分； </w:t>
            </w:r>
          </w:p>
          <w:p w14:paraId="32BB1856">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2.3对任务理解不够透彻，现状、主要内容、提交成果等基础情况了解不够具体充分，基本没有基础工作准备得 0-3 分；</w:t>
            </w:r>
          </w:p>
          <w:p w14:paraId="5DABDCAC">
            <w:pPr>
              <w:widowControl w:val="0"/>
              <w:numPr>
                <w:ilvl w:val="0"/>
                <w:numId w:val="3"/>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整体规划方案（0-10分）</w:t>
            </w:r>
            <w:r>
              <w:rPr>
                <w:rFonts w:hint="eastAsia" w:ascii="宋体" w:hAnsi="宋体" w:eastAsia="宋体" w:cs="宋体"/>
                <w:sz w:val="21"/>
                <w:szCs w:val="21"/>
                <w:lang w:val="en-US" w:eastAsia="zh-CN" w:bidi="ar-SA"/>
              </w:rPr>
              <w:t xml:space="preserve"> </w:t>
            </w:r>
          </w:p>
          <w:p w14:paraId="5325D328">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3.1重点难点分析准确到位、解决措施合理、制定的技术方案内容完整、表述清晰、引导实施可行性强、全面性高得6-10分； </w:t>
            </w:r>
          </w:p>
          <w:p w14:paraId="67FB77B3">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3.2重点难点分析较准确到位、解决措施较合理、制定的设计技术方案内容较完整、表述较清晰、引导实施可行性较强、全面性较高得3-6 分； </w:t>
            </w:r>
          </w:p>
          <w:p w14:paraId="2539F6C0">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3.3重点难点分析不准确、解决措施基本合理，制定的技术方案内容不完整、表述不清晰、引导实施可行性不强、全面性不高得0-3 分。</w:t>
            </w:r>
          </w:p>
        </w:tc>
      </w:tr>
      <w:tr w14:paraId="6422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A8D3BA8">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3D1ED687">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成果文件质量、安全及服务保证措施</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71386E9">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10</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149B5D0A">
            <w:pPr>
              <w:widowControl w:val="0"/>
              <w:spacing w:line="240" w:lineRule="auto"/>
              <w:jc w:val="both"/>
              <w:rPr>
                <w:rFonts w:hint="eastAsia" w:ascii="宋体" w:hAnsi="宋体" w:eastAsia="宋体" w:cs="宋体"/>
                <w:sz w:val="21"/>
                <w:szCs w:val="21"/>
                <w:lang w:val="zh-CN" w:eastAsia="en-US" w:bidi="ar-SA"/>
              </w:rPr>
            </w:pPr>
            <w:r>
              <w:rPr>
                <w:rFonts w:hint="eastAsia" w:ascii="宋体" w:hAnsi="宋体" w:eastAsia="宋体" w:cs="宋体"/>
                <w:sz w:val="21"/>
                <w:szCs w:val="21"/>
                <w:lang w:val="en-US" w:eastAsia="zh-CN" w:bidi="ar-SA"/>
              </w:rPr>
              <w:t>1、</w:t>
            </w:r>
            <w:r>
              <w:rPr>
                <w:rFonts w:hint="eastAsia" w:ascii="宋体" w:hAnsi="宋体" w:eastAsia="宋体" w:cs="宋体"/>
                <w:sz w:val="21"/>
                <w:szCs w:val="21"/>
                <w:lang w:val="zh-CN" w:eastAsia="en-US" w:bidi="ar-SA"/>
              </w:rPr>
              <w:t>质量、安全目标明确、体系健全、保证措施切实可行得</w:t>
            </w:r>
            <w:r>
              <w:rPr>
                <w:rFonts w:hint="eastAsia" w:ascii="宋体" w:hAnsi="宋体" w:eastAsia="宋体" w:cs="宋体"/>
                <w:sz w:val="21"/>
                <w:szCs w:val="21"/>
                <w:lang w:val="en-US" w:eastAsia="zh-CN" w:bidi="ar-SA"/>
              </w:rPr>
              <w:t>6</w:t>
            </w:r>
            <w:r>
              <w:rPr>
                <w:rFonts w:hint="eastAsia" w:ascii="宋体" w:hAnsi="宋体" w:eastAsia="宋体" w:cs="宋体"/>
                <w:sz w:val="21"/>
                <w:szCs w:val="21"/>
                <w:lang w:val="zh-CN" w:eastAsia="en-US" w:bidi="ar-SA"/>
              </w:rPr>
              <w:t>-</w:t>
            </w:r>
            <w:r>
              <w:rPr>
                <w:rFonts w:hint="eastAsia" w:ascii="宋体" w:hAnsi="宋体" w:eastAsia="宋体" w:cs="宋体"/>
                <w:sz w:val="21"/>
                <w:szCs w:val="21"/>
                <w:lang w:val="en-US" w:eastAsia="zh-CN" w:bidi="ar-SA"/>
              </w:rPr>
              <w:t>1</w:t>
            </w:r>
            <w:r>
              <w:rPr>
                <w:rFonts w:hint="eastAsia" w:ascii="宋体" w:hAnsi="宋体" w:eastAsia="宋体" w:cs="宋体"/>
                <w:sz w:val="21"/>
                <w:szCs w:val="21"/>
                <w:lang w:val="zh-CN" w:eastAsia="en-US" w:bidi="ar-SA"/>
              </w:rPr>
              <w:t>0分，</w:t>
            </w:r>
          </w:p>
          <w:p w14:paraId="5BC92FF3">
            <w:pPr>
              <w:widowControl w:val="0"/>
              <w:spacing w:line="240" w:lineRule="auto"/>
              <w:jc w:val="both"/>
              <w:rPr>
                <w:rFonts w:hint="eastAsia" w:ascii="宋体" w:hAnsi="宋体" w:eastAsia="宋体" w:cs="宋体"/>
                <w:sz w:val="21"/>
                <w:szCs w:val="21"/>
                <w:lang w:val="zh-CN" w:eastAsia="en-US"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lang w:val="zh-CN" w:eastAsia="en-US" w:bidi="ar-SA"/>
              </w:rPr>
              <w:t>质量、安全目标基本明确、体系基本健全、保证措施基本可行得1-</w:t>
            </w:r>
            <w:r>
              <w:rPr>
                <w:rFonts w:hint="eastAsia" w:ascii="宋体" w:hAnsi="宋体" w:eastAsia="宋体" w:cs="宋体"/>
                <w:sz w:val="21"/>
                <w:szCs w:val="21"/>
                <w:lang w:val="en-US" w:eastAsia="zh-CN" w:bidi="ar-SA"/>
              </w:rPr>
              <w:t>5</w:t>
            </w:r>
            <w:r>
              <w:rPr>
                <w:rFonts w:hint="eastAsia" w:ascii="宋体" w:hAnsi="宋体" w:eastAsia="宋体" w:cs="宋体"/>
                <w:sz w:val="21"/>
                <w:szCs w:val="21"/>
                <w:lang w:val="zh-CN" w:eastAsia="en-US" w:bidi="ar-SA"/>
              </w:rPr>
              <w:t>分，</w:t>
            </w:r>
          </w:p>
          <w:p w14:paraId="68E4E1F7">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w:t>
            </w:r>
            <w:r>
              <w:rPr>
                <w:rFonts w:hint="eastAsia" w:ascii="宋体" w:hAnsi="宋体" w:eastAsia="宋体" w:cs="宋体"/>
                <w:sz w:val="21"/>
                <w:szCs w:val="21"/>
                <w:lang w:val="zh-CN" w:eastAsia="en-US" w:bidi="ar-SA"/>
              </w:rPr>
              <w:t>缺项得0分。</w:t>
            </w:r>
          </w:p>
        </w:tc>
      </w:tr>
      <w:tr w14:paraId="2519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BCC8EFF">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3DD4E1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zh-CN"/>
              </w:rPr>
              <w:t>项目进度计划及保证措施</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9E5C7A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7C5A6D5">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1、进度计划满足要求，节点清晰，控制措施合理得4-6分；</w:t>
            </w:r>
          </w:p>
          <w:p w14:paraId="65606847">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2、进度计划基本满足要求，节点基本清晰，控制措施基本合理得1-3分；</w:t>
            </w:r>
          </w:p>
          <w:p w14:paraId="6BA5F883">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3、缺项得0分。</w:t>
            </w:r>
          </w:p>
        </w:tc>
      </w:tr>
      <w:tr w14:paraId="3A21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3560738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7BD034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服务承诺</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69088747">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5D77BE38">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投标人针对本项目制定的服务期限、服务内容、服务承诺是否满足要求，是否合理、全面。</w:t>
            </w:r>
          </w:p>
          <w:p w14:paraId="25500135">
            <w:pPr>
              <w:widowControl w:val="0"/>
              <w:numPr>
                <w:ilvl w:val="0"/>
                <w:numId w:val="4"/>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服务期限满足采购人要求、服务内容合理，服务承诺全面，得5分； 2. 服务期限较能满足采购人要求、服务内容较合理，服务承诺较全面，得3分； </w:t>
            </w:r>
          </w:p>
          <w:p w14:paraId="27584904">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服务期限基本满足采购人要求、服务内容一般</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 xml:space="preserve">承诺一般，得1分； </w:t>
            </w:r>
          </w:p>
          <w:p w14:paraId="3C1DF6E1">
            <w:pPr>
              <w:widowControl w:val="0"/>
              <w:numPr>
                <w:ilvl w:val="0"/>
                <w:numId w:val="0"/>
              </w:numPr>
              <w:spacing w:line="240" w:lineRule="auto"/>
              <w:ind w:left="0" w:leftChars="0" w:firstLine="0" w:firstLineChars="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4.无或其它情况不得分。</w:t>
            </w:r>
          </w:p>
        </w:tc>
      </w:tr>
      <w:tr w14:paraId="1ACB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514622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624DEC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拟派项目人员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4E1B0D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18分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50C95512">
            <w:pPr>
              <w:widowControl w:val="0"/>
              <w:spacing w:line="240" w:lineRule="auto"/>
              <w:jc w:val="both"/>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项目</w:t>
            </w:r>
            <w:r>
              <w:rPr>
                <w:rFonts w:hint="eastAsia" w:ascii="宋体" w:hAnsi="宋体" w:eastAsia="宋体" w:cs="宋体"/>
                <w:color w:val="auto"/>
                <w:sz w:val="21"/>
                <w:szCs w:val="21"/>
                <w:lang w:val="en-US" w:eastAsia="zh-CN" w:bidi="ar-SA"/>
              </w:rPr>
              <w:t>负责人及审核校对人员：岩土工程勘察</w:t>
            </w:r>
            <w:r>
              <w:rPr>
                <w:rFonts w:hint="eastAsia" w:ascii="宋体" w:hAnsi="宋体" w:cs="宋体"/>
                <w:color w:val="auto"/>
                <w:sz w:val="21"/>
                <w:szCs w:val="21"/>
                <w:lang w:val="en-US" w:eastAsia="zh-CN" w:bidi="ar-SA"/>
              </w:rPr>
              <w:t>或</w:t>
            </w:r>
            <w:r>
              <w:rPr>
                <w:rFonts w:hint="eastAsia" w:ascii="宋体" w:hAnsi="宋体" w:eastAsia="宋体" w:cs="宋体"/>
                <w:color w:val="auto"/>
                <w:sz w:val="21"/>
                <w:szCs w:val="21"/>
                <w:lang w:val="en-US" w:eastAsia="zh-CN" w:bidi="ar-SA"/>
              </w:rPr>
              <w:t>公路行业相关专业高级工程师或及以上职称，每提供1人得2分，最高6分，缺项得0分。</w:t>
            </w:r>
          </w:p>
          <w:p w14:paraId="6BFC43B2">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color w:val="auto"/>
                <w:sz w:val="21"/>
                <w:szCs w:val="21"/>
                <w:lang w:val="en-US" w:eastAsia="zh-CN" w:bidi="ar-SA"/>
              </w:rPr>
              <w:t>项目配套人员： 岩土工程勘察</w:t>
            </w:r>
            <w:r>
              <w:rPr>
                <w:rFonts w:hint="eastAsia" w:ascii="宋体" w:hAnsi="宋体" w:cs="宋体"/>
                <w:color w:val="auto"/>
                <w:sz w:val="21"/>
                <w:szCs w:val="21"/>
                <w:lang w:val="en-US" w:eastAsia="zh-CN" w:bidi="ar-SA"/>
              </w:rPr>
              <w:t>或</w:t>
            </w:r>
            <w:r>
              <w:rPr>
                <w:rFonts w:hint="eastAsia" w:ascii="宋体" w:hAnsi="宋体" w:eastAsia="宋体" w:cs="宋体"/>
                <w:color w:val="auto"/>
                <w:sz w:val="21"/>
                <w:szCs w:val="21"/>
                <w:lang w:val="en-US" w:eastAsia="zh-CN" w:bidi="ar-SA"/>
              </w:rPr>
              <w:t xml:space="preserve">公路行业相关专业中级工程师或及以上职称，每提供1人得2分，最高12分，缺项得0分。 </w:t>
            </w:r>
          </w:p>
        </w:tc>
      </w:tr>
      <w:tr w14:paraId="5F49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570E01DE">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7</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5795475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业绩</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1D901D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D340E8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供应商提供2023年1月至今的同类</w:t>
            </w:r>
            <w:r>
              <w:rPr>
                <w:rFonts w:hint="eastAsia" w:ascii="宋体" w:hAnsi="宋体" w:cs="宋体"/>
                <w:sz w:val="21"/>
                <w:szCs w:val="21"/>
                <w:lang w:val="en-US" w:eastAsia="zh-CN" w:bidi="ar-SA"/>
              </w:rPr>
              <w:t>项目</w:t>
            </w:r>
            <w:r>
              <w:rPr>
                <w:rFonts w:hint="eastAsia" w:ascii="宋体" w:hAnsi="宋体" w:eastAsia="宋体" w:cs="宋体"/>
                <w:sz w:val="21"/>
                <w:szCs w:val="21"/>
                <w:lang w:val="en-US" w:eastAsia="zh-CN" w:bidi="ar-SA"/>
              </w:rPr>
              <w:t>业绩，每提供一份得2分，最高得6分，未提供得0分。（以合同</w:t>
            </w:r>
            <w:r>
              <w:rPr>
                <w:rFonts w:hint="eastAsia" w:ascii="宋体" w:hAnsi="宋体" w:cs="宋体"/>
                <w:sz w:val="21"/>
                <w:szCs w:val="21"/>
                <w:lang w:val="en-US" w:eastAsia="zh-CN" w:bidi="ar-SA"/>
              </w:rPr>
              <w:t>复印件或中标通知书</w:t>
            </w:r>
            <w:r>
              <w:rPr>
                <w:rFonts w:hint="eastAsia" w:ascii="宋体" w:hAnsi="宋体" w:eastAsia="宋体" w:cs="宋体"/>
                <w:sz w:val="21"/>
                <w:szCs w:val="21"/>
                <w:lang w:val="en-US" w:eastAsia="zh-CN" w:bidi="ar-SA"/>
              </w:rPr>
              <w:t>为准）</w:t>
            </w:r>
          </w:p>
        </w:tc>
      </w:tr>
      <w:tr w14:paraId="01E0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645" w:type="dxa"/>
            <w:gridSpan w:val="4"/>
            <w:tcBorders>
              <w:top w:val="single" w:color="auto" w:sz="4" w:space="0"/>
              <w:left w:val="single" w:color="auto" w:sz="4" w:space="0"/>
              <w:bottom w:val="single" w:color="auto" w:sz="4" w:space="0"/>
              <w:right w:val="single" w:color="auto" w:sz="4" w:space="0"/>
            </w:tcBorders>
            <w:noWrap w:val="0"/>
            <w:vAlign w:val="center"/>
          </w:tcPr>
          <w:p w14:paraId="7261BF7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cs="宋体"/>
                <w:color w:val="333333"/>
                <w:kern w:val="0"/>
                <w:sz w:val="21"/>
                <w:szCs w:val="21"/>
                <w:shd w:val="clear" w:color="auto" w:fill="FCFCFC"/>
                <w:lang w:val="en-US" w:eastAsia="zh-CN"/>
              </w:rPr>
              <w:t>1、</w:t>
            </w:r>
            <w:r>
              <w:rPr>
                <w:rFonts w:hint="eastAsia" w:ascii="宋体" w:hAnsi="宋体" w:eastAsia="宋体" w:cs="宋体"/>
                <w:color w:val="333333"/>
                <w:kern w:val="0"/>
                <w:sz w:val="21"/>
                <w:szCs w:val="21"/>
                <w:shd w:val="clear" w:color="auto" w:fill="FCFCFC"/>
              </w:rPr>
              <w:t>汇总上述各项得分，按由高至低的顺序确定成交候选人。</w:t>
            </w:r>
          </w:p>
          <w:p w14:paraId="1E736A82">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2、技术标缺项的，此项得零分，不得成为成交候选人。</w:t>
            </w:r>
          </w:p>
          <w:p w14:paraId="7EAA3D26">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3、商务标计算采用插入法，数据汇总时保留小数点后两位，第三位四舍五入。</w:t>
            </w:r>
          </w:p>
          <w:p w14:paraId="3F185278">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4、当递交磋商文件的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少于三个或经</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评审合格的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少于三个且明显缺乏竞争时，采购代理机构将依法重新组织磋商。</w:t>
            </w:r>
          </w:p>
          <w:p w14:paraId="21BFAC90">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5、</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成员应写出评审报告，并在评标原始记录上签名。</w:t>
            </w:r>
          </w:p>
          <w:p w14:paraId="40A4034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6、磋商文件的其它否决条件按相关法律、法规和规定执行。</w:t>
            </w:r>
          </w:p>
          <w:p w14:paraId="1CAA1CF3">
            <w:pPr>
              <w:overflowPunct w:val="0"/>
              <w:topLinePunct/>
              <w:spacing w:line="360" w:lineRule="exact"/>
              <w:jc w:val="left"/>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宋体" w:hAnsi="宋体" w:eastAsia="宋体" w:cs="宋体"/>
                <w:color w:val="333333"/>
                <w:kern w:val="0"/>
                <w:sz w:val="21"/>
                <w:szCs w:val="21"/>
                <w:shd w:val="clear" w:color="auto" w:fill="FCFCFC"/>
              </w:rPr>
              <w:t>7、未尽事宜按有关规定执行。本文件最终解释权为磋商组织机构。</w:t>
            </w:r>
          </w:p>
        </w:tc>
      </w:tr>
    </w:tbl>
    <w:p w14:paraId="021489A0">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2"/>
        <w:spacing w:before="0" w:after="0" w:line="24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第三章 磋商内容及技术要求</w:t>
      </w:r>
    </w:p>
    <w:p w14:paraId="496722CA">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bookmarkStart w:id="9" w:name="_Toc502742968"/>
      <w:bookmarkEnd w:id="9"/>
      <w:r>
        <w:rPr>
          <w:rFonts w:hint="eastAsia" w:ascii="宋体" w:hAnsi="宋体" w:eastAsia="宋体" w:cs="宋体"/>
          <w:b/>
          <w:bCs/>
          <w:snapToGrid w:val="0"/>
          <w:color w:val="000000"/>
          <w:kern w:val="0"/>
          <w:sz w:val="24"/>
          <w:szCs w:val="24"/>
          <w:lang w:eastAsia="zh-CN"/>
        </w:rPr>
        <w:t>一、项目概况</w:t>
      </w:r>
    </w:p>
    <w:p w14:paraId="1F0CB4A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现有G65包茂高速公路位于甘泉县以西14公里，总体呈南北走向，沿山谷布设，目前区域内包茂高速布设有甘泉西与富县西两座立交，间距38公里，甘泉西立交主要通过S306与甘泉县城相接，富县西立交通过G309与富县县城相接，两座立交主要以满足县城车辆通行高速而设置。</w:t>
      </w:r>
    </w:p>
    <w:p w14:paraId="40D3F93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包茂高速甘泉段路线虽位于山区，人烟稀少，但在东沟村附近跨越的府村川道，沟道相对开阔，分布多个乡镇村寨，人口众多，经济活跃，对外交通需求与日俱增。目前区域内仅有包茂高速一条高速公路，川道内居民去往延安方向需绕行甘泉县经甘泉西立交驶入包茂高速，绕行距离40公里；去往西安方向需绕行富县经富县西立交驶入包茂高速，绕行距离60公里，沿线居民出行极为不便，迫切需要在甘泉西立交与富县西立交之间府村川附近增设一处高速公路出入口，完善区域路网，服务人民群众高效便捷出行，推进旅游资源开发，充分发挥资源优势，促进区域经济高质量发展。在甘泉县委、县政府高度重视下，组织开展包茂高速甘泉服务区增设出入口工程勘察设计工作。</w:t>
      </w:r>
    </w:p>
    <w:p w14:paraId="692EDBD1">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二、服务范围</w:t>
      </w:r>
    </w:p>
    <w:p w14:paraId="33F7329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本项目采购范围为包茂高速甘泉服务区增设出入口工程勘察设计服务，包含项目现场踏勘测量、工程地质勘察、地形测绘、资料收集分析、方案论证、初步设计、概算编制、施工图设计、预算编制、报审报批配合、技术答疑、后期配合施工服务等全部工作内容。</w:t>
      </w:r>
    </w:p>
    <w:p w14:paraId="7C0B0F4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服务内容</w:t>
      </w:r>
    </w:p>
    <w:p w14:paraId="5A30415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1.勘察工作</w:t>
      </w:r>
    </w:p>
    <w:p w14:paraId="084724E3">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工程测量：地形图测绘、中线放线、纵横断面测量、控制点布设等。</w:t>
      </w:r>
    </w:p>
    <w:p w14:paraId="2157F6A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工程地质勘察：编制工程地质勘察报告等。</w:t>
      </w:r>
    </w:p>
    <w:p w14:paraId="469D74B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2.设计工作</w:t>
      </w:r>
    </w:p>
    <w:p w14:paraId="4DDBFCB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公路总体设计、路线、路基、路面、桥涵、路线交叉、交通工程及沿线设施（含机电、房建工程）、环境保护与景观绿化、交安及其他工程等工程勘察设计（含初步设计、施工图设计）、编制概预算。</w:t>
      </w:r>
    </w:p>
    <w:p w14:paraId="215F437B">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3.专项报告与报批配合</w:t>
      </w:r>
    </w:p>
    <w:p w14:paraId="5EAC8E5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配合编制单位提供：水土保持、环境影响、用地预审、规划选址、安全评价等所需勘察设计基础资料与图纸。</w:t>
      </w:r>
    </w:p>
    <w:p w14:paraId="1CDE66F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负责初步设计、施工图设计送审、修改、报批全过程技术配合，直至获得正式批复。</w:t>
      </w:r>
    </w:p>
    <w:p w14:paraId="1B21022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4.后续服务</w:t>
      </w:r>
    </w:p>
    <w:p w14:paraId="5C5B4AC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施工期间技术交底、现场服务、设计变更、答疑、验收配合；</w:t>
      </w:r>
    </w:p>
    <w:p w14:paraId="3550CD9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派驻设计代表，及时解决现场技术问题；</w:t>
      </w:r>
    </w:p>
    <w:p w14:paraId="76F8190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配合业主完成交工、竣工验收及竣工图编制指导。</w:t>
      </w:r>
    </w:p>
    <w:p w14:paraId="307C019D">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四、技术标准与规范</w:t>
      </w:r>
    </w:p>
    <w:p w14:paraId="58FA6E8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fldChar w:fldCharType="begin"/>
      </w:r>
      <w:r>
        <w:rPr>
          <w:rFonts w:hint="eastAsia" w:ascii="宋体" w:hAnsi="宋体" w:eastAsia="宋体" w:cs="宋体"/>
          <w:b w:val="0"/>
          <w:bCs w:val="0"/>
          <w:snapToGrid w:val="0"/>
          <w:color w:val="000000"/>
          <w:kern w:val="0"/>
          <w:sz w:val="24"/>
          <w:szCs w:val="24"/>
          <w:lang w:eastAsia="zh-CN"/>
        </w:rPr>
        <w:instrText xml:space="preserve"> = 1 \* GB2 </w:instrText>
      </w:r>
      <w:r>
        <w:rPr>
          <w:rFonts w:hint="eastAsia" w:ascii="宋体" w:hAnsi="宋体" w:eastAsia="宋体" w:cs="宋体"/>
          <w:b w:val="0"/>
          <w:bCs w:val="0"/>
          <w:snapToGrid w:val="0"/>
          <w:color w:val="000000"/>
          <w:kern w:val="0"/>
          <w:sz w:val="24"/>
          <w:szCs w:val="24"/>
          <w:lang w:eastAsia="zh-CN"/>
        </w:rPr>
        <w:fldChar w:fldCharType="separate"/>
      </w:r>
      <w:r>
        <w:rPr>
          <w:rFonts w:hint="eastAsia" w:ascii="宋体" w:hAnsi="宋体" w:eastAsia="宋体" w:cs="宋体"/>
          <w:b w:val="0"/>
          <w:bCs w:val="0"/>
          <w:snapToGrid w:val="0"/>
          <w:color w:val="000000"/>
          <w:kern w:val="0"/>
          <w:sz w:val="24"/>
          <w:szCs w:val="24"/>
          <w:lang w:eastAsia="zh-CN"/>
        </w:rPr>
        <w:t>⑴</w:t>
      </w:r>
      <w:r>
        <w:rPr>
          <w:rFonts w:hint="eastAsia" w:ascii="宋体" w:hAnsi="宋体" w:eastAsia="宋体" w:cs="宋体"/>
          <w:b w:val="0"/>
          <w:bCs w:val="0"/>
          <w:snapToGrid w:val="0"/>
          <w:color w:val="000000"/>
          <w:kern w:val="0"/>
          <w:sz w:val="24"/>
          <w:szCs w:val="24"/>
          <w:lang w:eastAsia="zh-CN"/>
        </w:rPr>
        <w:fldChar w:fldCharType="end"/>
      </w:r>
      <w:r>
        <w:rPr>
          <w:rFonts w:hint="eastAsia" w:ascii="宋体" w:hAnsi="宋体" w:eastAsia="宋体" w:cs="宋体"/>
          <w:b w:val="0"/>
          <w:bCs w:val="0"/>
          <w:snapToGrid w:val="0"/>
          <w:color w:val="000000"/>
          <w:kern w:val="0"/>
          <w:sz w:val="24"/>
          <w:szCs w:val="24"/>
          <w:lang w:eastAsia="zh-CN"/>
        </w:rPr>
        <w:t>《公路工程技术标准》（交通部，JTG B01-2014）；</w:t>
      </w:r>
    </w:p>
    <w:p w14:paraId="1A6EB91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fldChar w:fldCharType="begin"/>
      </w:r>
      <w:r>
        <w:rPr>
          <w:rFonts w:hint="eastAsia" w:ascii="宋体" w:hAnsi="宋体" w:eastAsia="宋体" w:cs="宋体"/>
          <w:b w:val="0"/>
          <w:bCs w:val="0"/>
          <w:snapToGrid w:val="0"/>
          <w:color w:val="000000"/>
          <w:kern w:val="0"/>
          <w:sz w:val="24"/>
          <w:szCs w:val="24"/>
          <w:lang w:eastAsia="zh-CN"/>
        </w:rPr>
        <w:instrText xml:space="preserve"> = 2 \* GB2 </w:instrText>
      </w:r>
      <w:r>
        <w:rPr>
          <w:rFonts w:hint="eastAsia" w:ascii="宋体" w:hAnsi="宋体" w:eastAsia="宋体" w:cs="宋体"/>
          <w:b w:val="0"/>
          <w:bCs w:val="0"/>
          <w:snapToGrid w:val="0"/>
          <w:color w:val="000000"/>
          <w:kern w:val="0"/>
          <w:sz w:val="24"/>
          <w:szCs w:val="24"/>
          <w:lang w:eastAsia="zh-CN"/>
        </w:rPr>
        <w:fldChar w:fldCharType="separate"/>
      </w:r>
      <w:r>
        <w:rPr>
          <w:rFonts w:hint="eastAsia" w:ascii="宋体" w:hAnsi="宋体" w:eastAsia="宋体" w:cs="宋体"/>
          <w:b w:val="0"/>
          <w:bCs w:val="0"/>
          <w:snapToGrid w:val="0"/>
          <w:color w:val="000000"/>
          <w:kern w:val="0"/>
          <w:sz w:val="24"/>
          <w:szCs w:val="24"/>
          <w:lang w:eastAsia="zh-CN"/>
        </w:rPr>
        <w:t>⑵</w:t>
      </w:r>
      <w:r>
        <w:rPr>
          <w:rFonts w:hint="eastAsia" w:ascii="宋体" w:hAnsi="宋体" w:eastAsia="宋体" w:cs="宋体"/>
          <w:b w:val="0"/>
          <w:bCs w:val="0"/>
          <w:snapToGrid w:val="0"/>
          <w:color w:val="000000"/>
          <w:kern w:val="0"/>
          <w:sz w:val="24"/>
          <w:szCs w:val="24"/>
          <w:lang w:eastAsia="zh-CN"/>
        </w:rPr>
        <w:fldChar w:fldCharType="end"/>
      </w:r>
      <w:r>
        <w:rPr>
          <w:rFonts w:hint="eastAsia" w:ascii="宋体" w:hAnsi="宋体" w:eastAsia="宋体" w:cs="宋体"/>
          <w:b w:val="0"/>
          <w:bCs w:val="0"/>
          <w:snapToGrid w:val="0"/>
          <w:color w:val="000000"/>
          <w:kern w:val="0"/>
          <w:sz w:val="24"/>
          <w:szCs w:val="24"/>
          <w:lang w:eastAsia="zh-CN"/>
        </w:rPr>
        <w:t>《公路路线设计规范》（JTG D20-2017）；</w:t>
      </w:r>
    </w:p>
    <w:p w14:paraId="24BE5F0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⑶《公路立体交叉设计细则》（JTG/T D21-2014）；</w:t>
      </w:r>
    </w:p>
    <w:p w14:paraId="364F41B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⑷《公路路基设计规范》（JTG D30-2015）；</w:t>
      </w:r>
    </w:p>
    <w:p w14:paraId="1998E49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⑸《公路沥青路面设计规范》（JTG D50-2017）；</w:t>
      </w:r>
    </w:p>
    <w:p w14:paraId="1986704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⑹《公路桥涵设计通用规范》（JTG D60-2015）；</w:t>
      </w:r>
    </w:p>
    <w:p w14:paraId="558D9A6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⑺《公路桥梁抗震设计规范》（JTG/T2231-01-2020）；</w:t>
      </w:r>
    </w:p>
    <w:p w14:paraId="34690FA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⑻《公路钢筋混凝土及预应力混凝土桥涵设计规范》（JTG D62–2004）；</w:t>
      </w:r>
    </w:p>
    <w:p w14:paraId="3D8A2FEB">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⑼《公路桥涵地基与基础设计规范》（JTG 3363-2019）；</w:t>
      </w:r>
    </w:p>
    <w:p w14:paraId="026E9DE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⑽《公路工程抗震规范》（JTG B02-2013）；</w:t>
      </w:r>
    </w:p>
    <w:p w14:paraId="48A1BF2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⑾《公路交通安全设施设计规范》JTG D81-2017；</w:t>
      </w:r>
    </w:p>
    <w:p w14:paraId="1AB1ED4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⑿《公路工程基本建设项目设计文件编制办法》(交公路发[2007]358号文发布)；</w:t>
      </w:r>
    </w:p>
    <w:p w14:paraId="43E7692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⒀国家、交通运输部、陕西省现行其他相关规范、规程、定额、文件。</w:t>
      </w:r>
    </w:p>
    <w:p w14:paraId="26261AED">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五、技术成果要求</w:t>
      </w:r>
    </w:p>
    <w:p w14:paraId="4DB383A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提交文件包茂高速甘泉服务区增设出入口工程工程地质勘察报告、初步设计及概算、施工图设计及预算等文件，并按照项目审批程序，取得行政审批部门组织会审出具的初步设计及概算批复和施工图设计及预算批复文件。</w:t>
      </w:r>
    </w:p>
    <w:p w14:paraId="7F78A52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2．技术成果应符合国家和行业现行法规、政策。</w:t>
      </w:r>
    </w:p>
    <w:p w14:paraId="471DECA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3．技术成果应明确实施范围、具体内容和任务目标。</w:t>
      </w:r>
    </w:p>
    <w:p w14:paraId="3C580B21">
      <w:pPr>
        <w:widowControl w:val="0"/>
        <w:kinsoku/>
        <w:autoSpaceDE/>
        <w:autoSpaceDN/>
        <w:adjustRightInd/>
        <w:snapToGrid/>
        <w:spacing w:line="360" w:lineRule="auto"/>
        <w:ind w:firstLine="482"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六、成果交付要求</w:t>
      </w:r>
    </w:p>
    <w:p w14:paraId="18AFCCA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 交付内容：勘察报告、初步设计文本+图纸+概算、施工图文本+图纸+预算、所有报审修改版全套资料、电子版成果（PDF设计文件、造价文件）。</w:t>
      </w:r>
    </w:p>
    <w:p w14:paraId="2B49F59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 交付份数满足报审、存档、施工、备案要求（纸质版、电子版按甲方要求足额交付）。</w:t>
      </w:r>
    </w:p>
    <w:p w14:paraId="7C26D97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3. 所有成果必须可直接用于项目审批、招标、施工、验收、归档。</w:t>
      </w:r>
    </w:p>
    <w:p w14:paraId="078814B6">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七、提交日期</w:t>
      </w:r>
    </w:p>
    <w:p w14:paraId="5FBBFBD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1.勘察设计成果提交：合同签订后90日历</w:t>
      </w:r>
      <w:r>
        <w:rPr>
          <w:rFonts w:hint="eastAsia" w:ascii="宋体" w:hAnsi="宋体" w:cs="宋体"/>
          <w:b w:val="0"/>
          <w:bCs w:val="0"/>
          <w:snapToGrid w:val="0"/>
          <w:color w:val="000000"/>
          <w:kern w:val="0"/>
          <w:sz w:val="24"/>
          <w:szCs w:val="24"/>
          <w:lang w:val="en-US" w:eastAsia="zh-CN"/>
        </w:rPr>
        <w:t>日</w:t>
      </w:r>
      <w:r>
        <w:rPr>
          <w:rFonts w:hint="eastAsia" w:ascii="宋体" w:hAnsi="宋体" w:eastAsia="宋体" w:cs="宋体"/>
          <w:b w:val="0"/>
          <w:bCs w:val="0"/>
          <w:snapToGrid w:val="0"/>
          <w:color w:val="000000"/>
          <w:kern w:val="0"/>
          <w:sz w:val="24"/>
          <w:szCs w:val="24"/>
          <w:lang w:eastAsia="zh-CN"/>
        </w:rPr>
        <w:t>内，中标人完成全部勘察工作、初步设计及概算、施工图设计及预算全套成果文件，按要求提交采购人。</w:t>
      </w:r>
    </w:p>
    <w:p w14:paraId="3228083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2.报审配合：中标人自成果提交之日起，全程无偿配合评审、修改、答疑，直至取得初步设计、施工图正式批复文件，该阶段不计入前述 90日历</w:t>
      </w:r>
      <w:r>
        <w:rPr>
          <w:rFonts w:hint="eastAsia" w:ascii="宋体" w:hAnsi="宋体" w:cs="宋体"/>
          <w:b w:val="0"/>
          <w:bCs w:val="0"/>
          <w:snapToGrid w:val="0"/>
          <w:color w:val="000000"/>
          <w:kern w:val="0"/>
          <w:sz w:val="24"/>
          <w:szCs w:val="24"/>
          <w:lang w:val="en-US" w:eastAsia="zh-CN"/>
        </w:rPr>
        <w:t>日</w:t>
      </w:r>
      <w:r>
        <w:rPr>
          <w:rFonts w:hint="eastAsia" w:ascii="宋体" w:hAnsi="宋体" w:eastAsia="宋体" w:cs="宋体"/>
          <w:b w:val="0"/>
          <w:bCs w:val="0"/>
          <w:snapToGrid w:val="0"/>
          <w:color w:val="000000"/>
          <w:kern w:val="0"/>
          <w:sz w:val="24"/>
          <w:szCs w:val="24"/>
          <w:lang w:eastAsia="zh-CN"/>
        </w:rPr>
        <w:t>设计工期。</w:t>
      </w:r>
    </w:p>
    <w:p w14:paraId="403DA5C0">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八、付款方式</w:t>
      </w:r>
    </w:p>
    <w:p w14:paraId="1EF2432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2.1、乙方提交初步设计文件及概算并获批后，甲方支付45%；</w:t>
      </w:r>
    </w:p>
    <w:p w14:paraId="031F7AA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2.2. 乙方提交施工图设计及预算后并获批后，甲方支付至90%；</w:t>
      </w:r>
    </w:p>
    <w:p w14:paraId="441C778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val="en-US" w:eastAsia="zh-CN"/>
        </w:rPr>
        <w:t>2.3. 交工验收合格后，甲方付清全部余款。（如遇节假日顺延）。</w:t>
      </w:r>
    </w:p>
    <w:p w14:paraId="0D01FCE8">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九、履约验收</w:t>
      </w:r>
    </w:p>
    <w:p w14:paraId="6E049AE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1.验收方式</w:t>
      </w:r>
    </w:p>
    <w:p w14:paraId="3BDB0C0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乙方按技术要求将两阶段勘察设计工作成果按照项目审批程序，取得行政审批部门组织评审通过后出具的初步设计及概算批复和施工图设计及预算批复文件，视为验收通过。</w:t>
      </w:r>
    </w:p>
    <w:p w14:paraId="7F6300F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2.验收依据</w:t>
      </w:r>
    </w:p>
    <w:p w14:paraId="6AD68F93">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符合国家标准、行业标准以及有关技术规范要求。</w:t>
      </w:r>
    </w:p>
    <w:p w14:paraId="2447459D">
      <w:pPr>
        <w:widowControl w:val="0"/>
        <w:kinsoku/>
        <w:autoSpaceDE/>
        <w:autoSpaceDN/>
        <w:adjustRightInd/>
        <w:snapToGrid/>
        <w:spacing w:line="360" w:lineRule="auto"/>
        <w:ind w:firstLine="482"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十、服务承诺及履约要求</w:t>
      </w:r>
    </w:p>
    <w:p w14:paraId="5D46580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 中标单位须全程专人专项负责本项目，全程对接、全程跟进报审，不得转包、违法分包。</w:t>
      </w:r>
    </w:p>
    <w:p w14:paraId="6EABBCA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 严格遵守工期节点，按时提交各阶段成果，逾期按合同约定承担违约责任。</w:t>
      </w:r>
    </w:p>
    <w:p w14:paraId="4D71A17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3. 所有修改、答疑、现场服务、报审配合均包含在合同价内，无任何隐形增项费用。</w:t>
      </w:r>
    </w:p>
    <w:p w14:paraId="5BE6284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4. 设计成果须满足高速运营安全、道路施工、项目审批、财政评审、工程归档全部要求。</w:t>
      </w:r>
    </w:p>
    <w:p w14:paraId="4EA331D5">
      <w:pPr>
        <w:widowControl w:val="0"/>
        <w:kinsoku/>
        <w:autoSpaceDE/>
        <w:autoSpaceDN/>
        <w:adjustRightInd/>
        <w:snapToGrid/>
        <w:spacing w:line="360" w:lineRule="auto"/>
        <w:ind w:firstLine="482"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十一、质量保证及售后技术服务</w:t>
      </w:r>
    </w:p>
    <w:p w14:paraId="65BB9A4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1. 设计质量终身负责，因设计漏项、错项、设计缺陷导致的变更、返工、经济损失，由中标单位全权负责。</w:t>
      </w:r>
    </w:p>
    <w:p w14:paraId="691BB20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2. 项目建设期内，提供技术咨询、现场服务、变更设计、图纸答疑等后续技术支持。</w:t>
      </w:r>
    </w:p>
    <w:p w14:paraId="668A5F0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eastAsia="zh-CN"/>
        </w:rPr>
        <w:t>3. 积极配合建设单位完成项目审计、验收、归档等相关工作。</w:t>
      </w:r>
    </w:p>
    <w:p w14:paraId="40440E17">
      <w:pPr>
        <w:widowControl w:val="0"/>
        <w:kinsoku/>
        <w:autoSpaceDE/>
        <w:autoSpaceDN/>
        <w:adjustRightInd/>
        <w:snapToGrid/>
        <w:spacing w:line="240" w:lineRule="auto"/>
        <w:ind w:firstLine="480" w:firstLineChars="200"/>
        <w:jc w:val="left"/>
        <w:textAlignment w:val="auto"/>
        <w:rPr>
          <w:rStyle w:val="39"/>
          <w:rFonts w:ascii="仿宋" w:hAnsi="仿宋" w:eastAsia="仿宋" w:cs="仿宋"/>
          <w:color w:val="auto"/>
          <w:sz w:val="24"/>
          <w:szCs w:val="24"/>
          <w:lang w:bidi="ar"/>
        </w:rPr>
      </w:pPr>
    </w:p>
    <w:p w14:paraId="60D1EFF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6A69C752">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852C8E7">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2B6A82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02346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numPr>
          <w:ilvl w:val="0"/>
          <w:numId w:val="5"/>
        </w:numPr>
        <w:spacing w:line="400" w:lineRule="exact"/>
        <w:ind w:firstLine="422" w:firstLineChars="20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采购内容由采购人提供，如有疑问，请与采购单位联系。</w:t>
      </w:r>
    </w:p>
    <w:p w14:paraId="684FB2DD">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38AC8478">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31908FBD">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5B176E32">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48B3B406">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7B5C9B11">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685BDB18">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772B1E33">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26FDD5A8">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6E225E1D">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58F6DC6D">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0939A201">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659B2B5F">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1664B9EF">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4DDAC5BC">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44791DD9">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4C17E532">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40317332">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280FBF9C">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1A890F44">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38E0AAEB">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5AE9BCF6">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5623ED3A">
      <w:pPr>
        <w:widowControl/>
        <w:numPr>
          <w:ilvl w:val="0"/>
          <w:numId w:val="0"/>
        </w:numPr>
        <w:spacing w:line="400" w:lineRule="exact"/>
        <w:jc w:val="left"/>
        <w:rPr>
          <w:rFonts w:hint="eastAsia" w:ascii="宋体" w:hAnsi="宋体" w:eastAsia="宋体" w:cs="宋体"/>
          <w:b/>
          <w:bCs/>
          <w:color w:val="auto"/>
          <w:sz w:val="21"/>
          <w:szCs w:val="21"/>
          <w:highlight w:val="none"/>
          <w:lang w:val="en-US" w:eastAsia="zh-CN"/>
        </w:rPr>
      </w:pP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64A82BF2">
      <w:pPr>
        <w:snapToGrid w:val="0"/>
        <w:spacing w:line="360" w:lineRule="auto"/>
        <w:ind w:firstLine="482" w:firstLineChars="200"/>
        <w:rPr>
          <w:rFonts w:hint="eastAsia" w:ascii="宋体" w:hAnsi="宋体" w:eastAsia="宋体" w:cs="宋体"/>
          <w:b/>
          <w:bCs/>
          <w:sz w:val="24"/>
        </w:rPr>
      </w:pPr>
      <w:bookmarkStart w:id="10" w:name="_Toc445407254"/>
      <w:bookmarkStart w:id="11" w:name="_Toc502742969"/>
      <w:r>
        <w:rPr>
          <w:rFonts w:hint="eastAsia" w:ascii="宋体" w:hAnsi="宋体" w:eastAsia="宋体" w:cs="宋体"/>
          <w:b/>
          <w:bCs/>
          <w:sz w:val="24"/>
        </w:rPr>
        <w:t>一、合同标的</w:t>
      </w:r>
    </w:p>
    <w:p w14:paraId="22AAC35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乙方应当根据公告、响应文件及中标（成交）通知书等有关文本要求，并按照甲方需求提供下列服务内容。</w:t>
      </w:r>
    </w:p>
    <w:p w14:paraId="0C1509D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eastAsia="zh-CN"/>
        </w:rPr>
        <w:t>包茂高速甘泉服务区增设出入口工程勘察设计服务</w:t>
      </w:r>
    </w:p>
    <w:p w14:paraId="1E287001">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二、合同总价</w:t>
      </w:r>
    </w:p>
    <w:p w14:paraId="105D8E7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合同总价：人民币（大写）：</w:t>
      </w:r>
    </w:p>
    <w:p w14:paraId="703006C2">
      <w:pPr>
        <w:snapToGrid w:val="0"/>
        <w:spacing w:line="360" w:lineRule="auto"/>
        <w:ind w:firstLine="1680" w:firstLineChars="700"/>
        <w:rPr>
          <w:rFonts w:hint="eastAsia" w:ascii="宋体" w:hAnsi="宋体" w:eastAsia="宋体" w:cs="宋体"/>
          <w:sz w:val="24"/>
        </w:rPr>
      </w:pPr>
      <w:r>
        <w:rPr>
          <w:rFonts w:hint="eastAsia" w:ascii="宋体" w:hAnsi="宋体" w:eastAsia="宋体" w:cs="宋体"/>
          <w:sz w:val="24"/>
        </w:rPr>
        <w:t>人民币（小写）：</w:t>
      </w:r>
    </w:p>
    <w:p w14:paraId="7D8026E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1、合同总价包括：《</w:t>
      </w:r>
      <w:r>
        <w:rPr>
          <w:rFonts w:hint="eastAsia" w:ascii="宋体" w:hAnsi="宋体" w:cs="宋体"/>
          <w:sz w:val="24"/>
          <w:lang w:eastAsia="zh-CN"/>
        </w:rPr>
        <w:t>包茂高速甘泉服务区增设出入口工程勘察设计服务</w:t>
      </w:r>
      <w:r>
        <w:rPr>
          <w:rFonts w:hint="eastAsia" w:ascii="宋体" w:hAnsi="宋体" w:eastAsia="宋体" w:cs="宋体"/>
          <w:sz w:val="24"/>
        </w:rPr>
        <w:t>》的全部费用。</w:t>
      </w:r>
    </w:p>
    <w:p w14:paraId="38615172">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2、合同总价即为固定不变价格，不受市场价格变化因素的影响。</w:t>
      </w:r>
    </w:p>
    <w:p w14:paraId="087E610D">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三、结算方式及付款方式</w:t>
      </w:r>
    </w:p>
    <w:p w14:paraId="735DF301">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1、结算方式：按年实际服务进度结算，不因市场及国家法规政策变化而变化。</w:t>
      </w:r>
    </w:p>
    <w:p w14:paraId="4AA57A86">
      <w:pPr>
        <w:wordWrap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2、付款方式：</w:t>
      </w:r>
    </w:p>
    <w:p w14:paraId="11DE445A">
      <w:pPr>
        <w:wordWrap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2.1、乙方提交初步设计文件及概算并获批后，甲方支付45%；</w:t>
      </w:r>
    </w:p>
    <w:p w14:paraId="21898B9E">
      <w:pPr>
        <w:wordWrap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2.2. 乙方提交施工图设计及预算后并获批后，甲方支付至90%；</w:t>
      </w:r>
    </w:p>
    <w:p w14:paraId="338DB6ED">
      <w:pPr>
        <w:wordWrap w:val="0"/>
        <w:spacing w:line="360" w:lineRule="auto"/>
        <w:ind w:firstLine="480" w:firstLineChars="200"/>
        <w:rPr>
          <w:rFonts w:hint="eastAsia" w:ascii="宋体" w:hAnsi="宋体" w:eastAsia="宋体" w:cs="宋体"/>
          <w:sz w:val="24"/>
          <w:lang w:eastAsia="zh-CN"/>
        </w:rPr>
      </w:pPr>
      <w:r>
        <w:rPr>
          <w:rFonts w:hint="eastAsia" w:ascii="宋体" w:hAnsi="宋体" w:cs="宋体"/>
          <w:sz w:val="24"/>
          <w:highlight w:val="none"/>
          <w:lang w:val="en-US" w:eastAsia="zh-CN"/>
        </w:rPr>
        <w:t>2.3. 交工验收合格后，甲方付清全部余款。（如遇节假日顺延）</w:t>
      </w:r>
    </w:p>
    <w:bookmarkEnd w:id="10"/>
    <w:bookmarkEnd w:id="11"/>
    <w:p w14:paraId="233FB1DC">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四、提交日期</w:t>
      </w:r>
    </w:p>
    <w:p w14:paraId="5F03593D">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1.勘察设计成果提交：合同签订后90日历</w:t>
      </w:r>
      <w:r>
        <w:rPr>
          <w:rFonts w:hint="eastAsia" w:ascii="宋体" w:hAnsi="宋体" w:cs="宋体"/>
          <w:sz w:val="24"/>
          <w:lang w:val="en-US" w:eastAsia="zh-CN"/>
        </w:rPr>
        <w:t>日</w:t>
      </w:r>
      <w:r>
        <w:rPr>
          <w:rFonts w:hint="eastAsia" w:ascii="宋体" w:hAnsi="宋体" w:eastAsia="宋体" w:cs="宋体"/>
          <w:sz w:val="24"/>
          <w:lang w:val="en-US" w:eastAsia="zh-CN"/>
        </w:rPr>
        <w:t>内，中标人完成全部勘察工作、初步设计及概算、施工图设计及预算全套成果文件，按要求提交采购人。</w:t>
      </w:r>
    </w:p>
    <w:p w14:paraId="2125AFD9">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2.报审配合：中标人自成果提交之日起，全程无偿配合评审、修改、答疑，直至取得初步设计、施工图正式批复文件，该阶段不计入前述 90日历</w:t>
      </w:r>
      <w:r>
        <w:rPr>
          <w:rFonts w:hint="eastAsia" w:ascii="宋体" w:hAnsi="宋体" w:cs="宋体"/>
          <w:sz w:val="24"/>
          <w:lang w:val="en-US" w:eastAsia="zh-CN"/>
        </w:rPr>
        <w:t>日</w:t>
      </w:r>
      <w:r>
        <w:rPr>
          <w:rFonts w:hint="eastAsia" w:ascii="宋体" w:hAnsi="宋体" w:eastAsia="宋体" w:cs="宋体"/>
          <w:sz w:val="24"/>
          <w:lang w:val="en-US" w:eastAsia="zh-CN"/>
        </w:rPr>
        <w:t>设计工期。</w:t>
      </w:r>
    </w:p>
    <w:p w14:paraId="593976F3">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五、技术成果要求</w:t>
      </w:r>
    </w:p>
    <w:p w14:paraId="2A296AA0">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提交文件包茂高速甘泉服务区增设出入口工程工程地质勘察报告、初步设计及概算、施工图设计及预算等文件，并按照项目审批程序，取得行政审批部门组织会审出具的初步设计及概算批复和施工图设计及预算批复文件。</w:t>
      </w:r>
    </w:p>
    <w:p w14:paraId="1A8955DB">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2．技术成果应符合国家和行业现行法规、政策。</w:t>
      </w:r>
    </w:p>
    <w:p w14:paraId="3A37ED2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3．技术成果应明确实施范围、具体内容和任务目标。</w:t>
      </w:r>
    </w:p>
    <w:p w14:paraId="748CDABD">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w:t>
      </w:r>
      <w:r>
        <w:rPr>
          <w:rFonts w:hint="eastAsia" w:ascii="宋体" w:hAnsi="宋体" w:eastAsia="宋体" w:cs="宋体"/>
          <w:b/>
          <w:bCs/>
          <w:sz w:val="24"/>
          <w:lang w:val="en-US" w:eastAsia="zh-CN"/>
        </w:rPr>
        <w:t>成果交付要求</w:t>
      </w:r>
    </w:p>
    <w:p w14:paraId="660CA0FC">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 交付内容：勘察报告、初步设计文本+图纸+概算、施工图文本+图纸+预算、所有报审修改版全套资料、电子版成果（PDF设计文件、造价文件）。</w:t>
      </w:r>
    </w:p>
    <w:p w14:paraId="5DF6F714">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 交付份数满足报审、存档、施工、备案要求（纸质版、电子版按甲方要求足额交付）。</w:t>
      </w:r>
    </w:p>
    <w:p w14:paraId="6AFB7DA4">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 所有成果必须可直接用于项目审批、招标、施工、验收、归档。</w:t>
      </w:r>
    </w:p>
    <w:p w14:paraId="69AE0347">
      <w:pPr>
        <w:snapToGrid w:val="0"/>
        <w:spacing w:line="360" w:lineRule="auto"/>
        <w:ind w:firstLine="482" w:firstLineChars="200"/>
        <w:rPr>
          <w:rFonts w:hint="eastAsia" w:ascii="宋体" w:hAnsi="宋体" w:eastAsia="宋体" w:cs="宋体"/>
          <w:sz w:val="24"/>
          <w:lang w:val="en-US" w:eastAsia="zh-CN"/>
        </w:rPr>
      </w:pPr>
      <w:r>
        <w:rPr>
          <w:rFonts w:hint="eastAsia" w:ascii="宋体" w:hAnsi="宋体" w:cs="宋体"/>
          <w:b/>
          <w:bCs/>
          <w:sz w:val="24"/>
          <w:lang w:val="en-US" w:eastAsia="zh-CN"/>
        </w:rPr>
        <w:t>七、</w:t>
      </w:r>
      <w:r>
        <w:rPr>
          <w:rFonts w:hint="eastAsia" w:ascii="宋体" w:hAnsi="宋体" w:eastAsia="宋体" w:cs="宋体"/>
          <w:b/>
          <w:bCs/>
          <w:sz w:val="24"/>
          <w:lang w:val="en-US" w:eastAsia="zh-CN"/>
        </w:rPr>
        <w:t>服务承诺及履约要求</w:t>
      </w:r>
      <w:r>
        <w:rPr>
          <w:rFonts w:hint="eastAsia" w:ascii="宋体" w:hAnsi="宋体" w:eastAsia="宋体" w:cs="宋体"/>
          <w:sz w:val="24"/>
          <w:lang w:val="en-US" w:eastAsia="zh-CN"/>
        </w:rPr>
        <w:t xml:space="preserve"> </w:t>
      </w:r>
    </w:p>
    <w:p w14:paraId="7544F643">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 中标单位须全程专人专项负责本项目，全程对接、全程跟进报审，不得转包、违法分包。</w:t>
      </w:r>
    </w:p>
    <w:p w14:paraId="22765032">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 严格遵守工期节点，按时提交各阶段成果，逾期按合同约定承担违约责任。</w:t>
      </w:r>
    </w:p>
    <w:p w14:paraId="6D6B4DDD">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 所有修改、答疑、现场服务、报审配合均包含在合同价内，无任何隐形增项费用。</w:t>
      </w:r>
    </w:p>
    <w:p w14:paraId="139AF4B9">
      <w:pPr>
        <w:snapToGrid w:val="0"/>
        <w:spacing w:line="360" w:lineRule="auto"/>
        <w:ind w:firstLine="482" w:firstLineChars="200"/>
        <w:rPr>
          <w:rFonts w:hint="eastAsia" w:ascii="宋体" w:hAnsi="宋体" w:eastAsia="宋体" w:cs="宋体"/>
          <w:sz w:val="24"/>
          <w:lang w:val="en-US" w:eastAsia="zh-CN"/>
        </w:rPr>
      </w:pPr>
      <w:r>
        <w:rPr>
          <w:rFonts w:hint="eastAsia" w:ascii="宋体" w:hAnsi="宋体" w:cs="宋体"/>
          <w:b/>
          <w:bCs/>
          <w:sz w:val="24"/>
          <w:lang w:val="en-US" w:eastAsia="zh-CN"/>
        </w:rPr>
        <w:t>八、质量保证及售后技术服务</w:t>
      </w:r>
    </w:p>
    <w:p w14:paraId="371A1C2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 设计质量终身负责，因设计漏项、错项、设计缺陷导致的变更、返工、经济损失，由中标单位全权负责。</w:t>
      </w:r>
    </w:p>
    <w:p w14:paraId="6F5D2E43">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 项目建设期内，提供技术咨询、现场服务、变更设计、图纸答疑等后续技术支持。</w:t>
      </w:r>
    </w:p>
    <w:p w14:paraId="5C51185B">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 积极配合建设单位完成项目审计、验收、归档等相关工作。</w:t>
      </w:r>
    </w:p>
    <w:p w14:paraId="4E03AC98">
      <w:pPr>
        <w:snapToGrid w:val="0"/>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九、甲乙双方责任</w:t>
      </w:r>
    </w:p>
    <w:p w14:paraId="2ED58C93">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合同一经签订，甲乙双方不得擅自变更或终止合同。甲乙双方必须遵守并执行合同中的各项规定，保证合同的正常履行。任何一方未履行本协议项下的义务均被视为违约。除因不可抗力因素造成协议无法履行外，任何一方违反违约应当向守约方支付因争议、索赔、诉讼而遭受的全部损失及相关费用，该费用包括但不限于诉讼费、公证费、鉴定费、保全费、律师费、差旅费等。</w:t>
      </w:r>
    </w:p>
    <w:p w14:paraId="73D4569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应当在规定的时间内保质保量完成工作任务，如因乙方工作人员在履行职务过程中的疏忽、失职、过错等故意或者过失原因造成甲方工作计划延误，乙方应承担合同总价款5%作为违约金或者赔偿责任或采取补救措施，甲方有权解除合同。</w:t>
      </w:r>
    </w:p>
    <w:p w14:paraId="31783386">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若因乙方原因造成工作不能顺利完成，乙方无条件增加人员完成。若本合同约定的期限内最终未能完成，乙方应退还甲方支付的所有费用，并承担合同总价款5%作为违约金或者赔偿由此给甲方造成的一切损失，甲方有权解除合同。</w:t>
      </w:r>
    </w:p>
    <w:p w14:paraId="2D8B952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4、甲方应积极配合乙方的工作，保证提供的资料真实可靠，为乙方的工作提供便利条件。</w:t>
      </w:r>
    </w:p>
    <w:p w14:paraId="7116E7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5、甲方按照约定按时给乙方支付服务费用，逾期不付款的，应当向乙方支付逾期付款额度的5%作为违约金或赔偿给乙方造成的损失。</w:t>
      </w:r>
    </w:p>
    <w:p w14:paraId="18CFC1AC">
      <w:pPr>
        <w:numPr>
          <w:ilvl w:val="0"/>
          <w:numId w:val="0"/>
        </w:numPr>
        <w:snapToGrid w:val="0"/>
        <w:spacing w:line="360" w:lineRule="auto"/>
        <w:ind w:firstLine="480" w:firstLineChars="200"/>
        <w:rPr>
          <w:rFonts w:hint="eastAsia" w:ascii="宋体" w:hAnsi="宋体" w:eastAsia="宋体" w:cs="宋体"/>
          <w:b/>
          <w:sz w:val="24"/>
          <w:szCs w:val="24"/>
          <w:lang w:val="en-US" w:eastAsia="zh-CN"/>
        </w:rPr>
      </w:pPr>
      <w:r>
        <w:rPr>
          <w:rFonts w:hint="eastAsia" w:ascii="宋体" w:hAnsi="宋体" w:eastAsia="宋体" w:cs="宋体"/>
          <w:bCs/>
          <w:sz w:val="24"/>
          <w:szCs w:val="24"/>
          <w:lang w:val="en-US" w:eastAsia="zh-CN"/>
        </w:rPr>
        <w:t>6.乙方负责</w:t>
      </w:r>
      <w:r>
        <w:rPr>
          <w:rFonts w:hint="eastAsia" w:ascii="宋体" w:hAnsi="宋体" w:cs="宋体"/>
          <w:bCs/>
          <w:sz w:val="24"/>
          <w:szCs w:val="24"/>
          <w:lang w:val="en-US" w:eastAsia="zh-CN"/>
        </w:rPr>
        <w:t>包茂高速甘泉服务区增设出入口工程勘察设计服务</w:t>
      </w:r>
      <w:r>
        <w:rPr>
          <w:rFonts w:hint="eastAsia" w:ascii="宋体" w:hAnsi="宋体" w:eastAsia="宋体" w:cs="宋体"/>
          <w:bCs/>
          <w:sz w:val="24"/>
          <w:szCs w:val="24"/>
          <w:lang w:val="en-US" w:eastAsia="zh-CN"/>
        </w:rPr>
        <w:t>。乙方要增强安全意识，加强对员工（含雇用人员）的安全管理，上述诸环节发生的安全事故和人员伤亡事件，均由乙方负责，甲方不承担任何</w:t>
      </w:r>
      <w:r>
        <w:rPr>
          <w:rFonts w:hint="eastAsia" w:ascii="宋体" w:hAnsi="宋体" w:cs="宋体"/>
          <w:bCs/>
          <w:sz w:val="24"/>
          <w:szCs w:val="24"/>
          <w:lang w:val="en-US" w:eastAsia="zh-CN"/>
        </w:rPr>
        <w:t>责任</w:t>
      </w:r>
      <w:r>
        <w:rPr>
          <w:rFonts w:hint="eastAsia" w:ascii="宋体" w:hAnsi="宋体" w:eastAsia="宋体" w:cs="宋体"/>
          <w:bCs/>
          <w:sz w:val="24"/>
          <w:szCs w:val="24"/>
          <w:lang w:val="en-US" w:eastAsia="zh-CN"/>
        </w:rPr>
        <w:t>。</w:t>
      </w:r>
    </w:p>
    <w:p w14:paraId="1B9FA152">
      <w:pPr>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color w:val="FF0000"/>
          <w:sz w:val="24"/>
          <w:szCs w:val="24"/>
          <w:highlight w:val="none"/>
        </w:rPr>
        <w:t xml:space="preserve"> </w:t>
      </w:r>
      <w:r>
        <w:rPr>
          <w:rFonts w:hint="eastAsia" w:ascii="宋体" w:hAnsi="宋体" w:cs="宋体"/>
          <w:b/>
          <w:color w:val="auto"/>
          <w:sz w:val="24"/>
          <w:szCs w:val="24"/>
          <w:highlight w:val="none"/>
          <w:lang w:val="en-US" w:eastAsia="zh-CN"/>
        </w:rPr>
        <w:t>十</w:t>
      </w:r>
      <w:r>
        <w:rPr>
          <w:rFonts w:hint="eastAsia" w:ascii="宋体" w:hAnsi="宋体" w:eastAsia="宋体" w:cs="宋体"/>
          <w:b/>
          <w:color w:val="auto"/>
          <w:sz w:val="24"/>
          <w:szCs w:val="24"/>
          <w:highlight w:val="none"/>
        </w:rPr>
        <w:t>、验收</w:t>
      </w:r>
    </w:p>
    <w:p w14:paraId="0DE556E7">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（一）验收</w:t>
      </w:r>
      <w:r>
        <w:rPr>
          <w:rFonts w:hint="eastAsia" w:ascii="宋体" w:hAnsi="宋体" w:cs="宋体"/>
          <w:b w:val="0"/>
          <w:bCs w:val="0"/>
          <w:snapToGrid w:val="0"/>
          <w:color w:val="auto"/>
          <w:kern w:val="0"/>
          <w:sz w:val="24"/>
          <w:szCs w:val="24"/>
          <w:lang w:val="en-US" w:eastAsia="zh-CN"/>
        </w:rPr>
        <w:t>方式</w:t>
      </w:r>
      <w:r>
        <w:rPr>
          <w:rFonts w:hint="eastAsia" w:ascii="宋体" w:hAnsi="宋体" w:eastAsia="宋体" w:cs="宋体"/>
          <w:b w:val="0"/>
          <w:bCs w:val="0"/>
          <w:snapToGrid w:val="0"/>
          <w:color w:val="auto"/>
          <w:kern w:val="0"/>
          <w:sz w:val="24"/>
          <w:szCs w:val="24"/>
          <w:lang w:val="en-US" w:eastAsia="zh-CN"/>
        </w:rPr>
        <w:t>:</w:t>
      </w:r>
    </w:p>
    <w:p w14:paraId="08B0D1BF">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乙方按技术要求将两阶段勘察设计工作成果按照项目审批程序，取得行政审批部门组织评审通过后出具的初步设计及概算批复和施工图设计及预算批复文件，视为验收通过。</w:t>
      </w:r>
    </w:p>
    <w:p w14:paraId="38DD2A8A">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（二）验收依据</w:t>
      </w:r>
    </w:p>
    <w:p w14:paraId="005F1970">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（1）磋商文件、响应文件、澄清表（函）；</w:t>
      </w:r>
    </w:p>
    <w:p w14:paraId="2538AB6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（2）本合同及附件文本；</w:t>
      </w:r>
    </w:p>
    <w:p w14:paraId="273332A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（3）国家相应的标准、规范。</w:t>
      </w:r>
    </w:p>
    <w:p w14:paraId="303F3D3B">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（4）验收标准：符合国家标准、行业标准以及有关技术规范要求。</w:t>
      </w:r>
    </w:p>
    <w:p w14:paraId="58B1162F">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十一</w:t>
      </w:r>
      <w:r>
        <w:rPr>
          <w:rFonts w:hint="eastAsia" w:ascii="宋体" w:hAnsi="宋体" w:eastAsia="宋体" w:cs="宋体"/>
          <w:b/>
          <w:sz w:val="24"/>
          <w:szCs w:val="24"/>
        </w:rPr>
        <w:t>、违约责任</w:t>
      </w:r>
    </w:p>
    <w:p w14:paraId="63347ED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3982C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256DBB6F">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3、因履行本合同引起的或者与本合同有关的争议，甲乙双方应当通过友好协商方式解决；如协商不能解决争议的，任何一方可以向甲方住所地的甘泉县人民法院提起诉讼。</w:t>
      </w:r>
    </w:p>
    <w:p w14:paraId="3180B3C7">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cs="宋体"/>
          <w:b/>
          <w:sz w:val="24"/>
          <w:szCs w:val="24"/>
          <w:lang w:val="en-US" w:eastAsia="zh-CN"/>
        </w:rPr>
        <w:t>十二</w:t>
      </w:r>
      <w:r>
        <w:rPr>
          <w:rFonts w:hint="eastAsia" w:ascii="宋体" w:hAnsi="宋体" w:eastAsia="宋体" w:cs="宋体"/>
          <w:b/>
          <w:sz w:val="24"/>
          <w:szCs w:val="24"/>
          <w:lang w:val="en-US" w:eastAsia="zh-CN"/>
        </w:rPr>
        <w:t>、保密条款</w:t>
      </w:r>
    </w:p>
    <w:p w14:paraId="3431FC7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1、甲乙双方参与本合同及本合同下后勤项目的所有人员，对本合同、本合同下的项目信息均负有保密义务。</w:t>
      </w:r>
    </w:p>
    <w:p w14:paraId="49E8F117">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2、以下内容属于本合同约定的保密信息范围，甲乙双方应按照本合同约定予以严格保密并且不得向任何第三方透露。</w:t>
      </w:r>
    </w:p>
    <w:p w14:paraId="5CFF74FB">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（1）甲乙双方在本合同规定的合作过程中提供的全部资料及在本合同履行过程中接触和了解到的对方的全部情况和资料。包括但不限于：合同双方成员信息、债权债务信息、经营信息、资信信息、财务信息等。</w:t>
      </w:r>
    </w:p>
    <w:p w14:paraId="515EA40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（2）甲乙双方为履行合同，合作过程中各方往来函件、会议记录、谈判内容等。</w:t>
      </w:r>
    </w:p>
    <w:p w14:paraId="1365B1B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（3）甲乙双方合作过程中获取的相关企业信息、管理人履职信息、与有关机构部门沟通信息、全部资料等。</w:t>
      </w:r>
    </w:p>
    <w:p w14:paraId="75A2AD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3、甲乙双方应采取一切合理措施对应校内突发事件予以保密，避免突发事件被不当披露或使用。任何一方若发现对方有滥用或者误用应保密信息的情况，应及时将该情形书面通知对方。</w:t>
      </w:r>
    </w:p>
    <w:p w14:paraId="1B22981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4、甲乙双方的保密义务不因任何原因而免除，即无论本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因何种原因被解除、终止、履行完毕、部分条款归于无效等，甲乙双方均应当严格履行保密义务，否则应承担相应的法律责任及赔偿责任。</w:t>
      </w:r>
    </w:p>
    <w:p w14:paraId="5AC73FFA">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cs="宋体"/>
          <w:b/>
          <w:sz w:val="24"/>
          <w:szCs w:val="24"/>
          <w:lang w:val="en-US" w:eastAsia="zh-CN"/>
        </w:rPr>
        <w:t>十三</w:t>
      </w:r>
      <w:r>
        <w:rPr>
          <w:rFonts w:hint="eastAsia" w:ascii="宋体" w:hAnsi="宋体" w:eastAsia="宋体" w:cs="宋体"/>
          <w:b/>
          <w:sz w:val="24"/>
          <w:szCs w:val="24"/>
          <w:lang w:val="en-US" w:eastAsia="zh-CN"/>
        </w:rPr>
        <w:t>、合同组成部分</w:t>
      </w:r>
    </w:p>
    <w:p w14:paraId="13E39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151CC05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w:t>
      </w:r>
      <w:r>
        <w:rPr>
          <w:rFonts w:hint="eastAsia" w:ascii="宋体" w:hAnsi="宋体" w:cs="宋体"/>
          <w:b/>
          <w:sz w:val="24"/>
          <w:szCs w:val="24"/>
          <w:lang w:val="en-US" w:eastAsia="zh-CN"/>
        </w:rPr>
        <w:t>四</w:t>
      </w:r>
      <w:r>
        <w:rPr>
          <w:rFonts w:hint="eastAsia" w:ascii="宋体" w:hAnsi="宋体" w:eastAsia="宋体" w:cs="宋体"/>
          <w:b/>
          <w:sz w:val="24"/>
          <w:szCs w:val="24"/>
          <w:lang w:val="en-US" w:eastAsia="zh-CN"/>
        </w:rPr>
        <w:t>、合同生效及其他</w:t>
      </w:r>
    </w:p>
    <w:p w14:paraId="2B00A3D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6C937A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1D8E867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3BC1D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1B3405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22798F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29FE61A0">
      <w:pPr>
        <w:snapToGrid w:val="0"/>
        <w:spacing w:line="360" w:lineRule="auto"/>
        <w:ind w:firstLine="480" w:firstLineChars="200"/>
        <w:rPr>
          <w:rFonts w:hint="eastAsia" w:ascii="宋体" w:hAnsi="宋体" w:eastAsia="宋体" w:cs="宋体"/>
          <w:sz w:val="24"/>
        </w:rPr>
      </w:pPr>
    </w:p>
    <w:p w14:paraId="146C4681">
      <w:pPr>
        <w:rPr>
          <w:rFonts w:hint="eastAsia" w:ascii="仿宋" w:hAnsi="仿宋" w:eastAsia="仿宋" w:cs="仿宋"/>
        </w:rPr>
      </w:pPr>
    </w:p>
    <w:p w14:paraId="69A511DF">
      <w:pPr>
        <w:rPr>
          <w:rFonts w:hint="eastAsia" w:ascii="仿宋" w:hAnsi="仿宋" w:eastAsia="仿宋" w:cs="仿宋"/>
        </w:rPr>
      </w:pPr>
    </w:p>
    <w:p w14:paraId="038A6C80">
      <w:pPr>
        <w:rPr>
          <w:rFonts w:hint="eastAsia" w:ascii="仿宋" w:hAnsi="仿宋" w:eastAsia="仿宋" w:cs="仿宋"/>
        </w:rPr>
      </w:pPr>
    </w:p>
    <w:p w14:paraId="67F35681">
      <w:pPr>
        <w:rPr>
          <w:rFonts w:hint="eastAsia" w:ascii="仿宋" w:hAnsi="仿宋" w:eastAsia="仿宋" w:cs="仿宋"/>
        </w:rPr>
      </w:pPr>
    </w:p>
    <w:p w14:paraId="5E89637D">
      <w:pPr>
        <w:rPr>
          <w:rFonts w:hint="eastAsia" w:ascii="仿宋" w:hAnsi="仿宋" w:eastAsia="仿宋" w:cs="仿宋"/>
        </w:rPr>
      </w:pPr>
    </w:p>
    <w:p w14:paraId="4317A377">
      <w:pPr>
        <w:rPr>
          <w:rFonts w:hint="eastAsia" w:ascii="仿宋" w:hAnsi="仿宋" w:eastAsia="仿宋" w:cs="仿宋"/>
        </w:rPr>
      </w:pPr>
    </w:p>
    <w:p w14:paraId="38BD10B0">
      <w:pPr>
        <w:rPr>
          <w:rFonts w:hint="eastAsia" w:ascii="仿宋" w:hAnsi="仿宋" w:eastAsia="仿宋" w:cs="仿宋"/>
        </w:rPr>
      </w:pPr>
    </w:p>
    <w:p w14:paraId="790D7069">
      <w:pPr>
        <w:rPr>
          <w:rFonts w:hint="eastAsia" w:ascii="仿宋" w:hAnsi="仿宋" w:eastAsia="仿宋" w:cs="仿宋"/>
        </w:rPr>
      </w:pPr>
    </w:p>
    <w:p w14:paraId="5E1F7C11">
      <w:pPr>
        <w:rPr>
          <w:rFonts w:hint="eastAsia" w:ascii="仿宋" w:hAnsi="仿宋" w:eastAsia="仿宋" w:cs="仿宋"/>
        </w:rPr>
      </w:pPr>
    </w:p>
    <w:p w14:paraId="3027D5CA">
      <w:pPr>
        <w:rPr>
          <w:rFonts w:hint="eastAsia" w:ascii="仿宋" w:hAnsi="仿宋" w:eastAsia="仿宋" w:cs="仿宋"/>
        </w:rPr>
      </w:pPr>
    </w:p>
    <w:p w14:paraId="265C4E8C">
      <w:pPr>
        <w:rPr>
          <w:rFonts w:hint="eastAsia" w:ascii="仿宋" w:hAnsi="仿宋" w:eastAsia="仿宋" w:cs="仿宋"/>
        </w:rPr>
      </w:pPr>
    </w:p>
    <w:p w14:paraId="04279F2B">
      <w:pPr>
        <w:rPr>
          <w:rFonts w:hint="eastAsia" w:ascii="仿宋" w:hAnsi="仿宋" w:eastAsia="仿宋" w:cs="仿宋"/>
        </w:rPr>
      </w:pPr>
    </w:p>
    <w:p w14:paraId="6DA957D1">
      <w:pPr>
        <w:rPr>
          <w:rFonts w:hint="eastAsia" w:ascii="仿宋" w:hAnsi="仿宋" w:eastAsia="仿宋" w:cs="仿宋"/>
        </w:rPr>
      </w:pPr>
    </w:p>
    <w:p w14:paraId="232F0A2D">
      <w:pPr>
        <w:rPr>
          <w:rFonts w:hint="eastAsia" w:ascii="仿宋" w:hAnsi="仿宋" w:eastAsia="仿宋" w:cs="仿宋"/>
        </w:rPr>
      </w:pPr>
    </w:p>
    <w:p w14:paraId="2805A374">
      <w:pPr>
        <w:rPr>
          <w:rFonts w:hint="eastAsia" w:ascii="仿宋" w:hAnsi="仿宋" w:eastAsia="仿宋" w:cs="仿宋"/>
        </w:rPr>
      </w:pPr>
    </w:p>
    <w:p w14:paraId="5B87529D">
      <w:pPr>
        <w:rPr>
          <w:rFonts w:hint="eastAsia" w:ascii="仿宋" w:hAnsi="仿宋" w:eastAsia="仿宋" w:cs="仿宋"/>
        </w:rPr>
      </w:pPr>
    </w:p>
    <w:p w14:paraId="7CE7D7F9">
      <w:pPr>
        <w:rPr>
          <w:rFonts w:hint="eastAsia" w:ascii="仿宋" w:hAnsi="仿宋" w:eastAsia="仿宋" w:cs="仿宋"/>
        </w:rPr>
      </w:pPr>
    </w:p>
    <w:p w14:paraId="5DE5EFC1">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包茂高速甘泉服务区增设出入口工程勘察设计服务</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GZC2026-CS-043</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包茂高速甘泉服务区增设出入口工程勘察设计服务</w:t>
      </w:r>
      <w:r>
        <w:rPr>
          <w:rFonts w:hint="eastAsia" w:ascii="宋体" w:hAnsi="宋体" w:eastAsia="宋体" w:cs="宋体"/>
          <w:sz w:val="24"/>
          <w:szCs w:val="24"/>
        </w:rPr>
        <w:t>》（项目编号：</w:t>
      </w:r>
      <w:r>
        <w:rPr>
          <w:rFonts w:hint="eastAsia" w:ascii="宋体" w:hAnsi="宋体" w:cs="宋体"/>
          <w:sz w:val="24"/>
          <w:szCs w:val="24"/>
          <w:lang w:eastAsia="zh-CN"/>
        </w:rPr>
        <w:t>GZC2026-CS-043</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90日历日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4"/>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6"/>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甘泉县交通运输局</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569,250.00元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lang w:eastAsia="zh-CN"/>
              </w:rPr>
              <w:t>提交日期</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日历日</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包茂高速甘泉服务区增设出入口工程勘察设计服务</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7"/>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134"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包茂高速甘泉服务区增设出入口工程勘察设计服务</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GZC2026-CS-043</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包茂高速甘泉服务区增设出入口工程勘察设计服务</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GZC2026-CS-043</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包茂高速甘泉服务区增设出入口工程勘察设计服务</w:t>
      </w:r>
      <w:r>
        <w:rPr>
          <w:rFonts w:hint="eastAsia" w:ascii="宋体" w:hAnsi="宋体" w:eastAsia="宋体" w:cs="宋体"/>
          <w:sz w:val="24"/>
        </w:rPr>
        <w:t>（项目编号：</w:t>
      </w:r>
      <w:r>
        <w:rPr>
          <w:rFonts w:hint="eastAsia" w:ascii="宋体" w:hAnsi="宋体" w:cs="宋体"/>
          <w:b/>
          <w:bCs/>
          <w:sz w:val="24"/>
          <w:lang w:eastAsia="zh-CN"/>
        </w:rPr>
        <w:t>GZC2026-CS-043</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lang w:eastAsia="zh-CN"/>
        </w:rPr>
        <w:t>）</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17F2E3AF">
      <w:pPr>
        <w:rPr>
          <w:rFonts w:ascii="仿宋" w:hAnsi="仿宋" w:eastAsia="仿宋" w:cs="仿宋"/>
          <w:b/>
          <w:sz w:val="32"/>
          <w:szCs w:val="32"/>
        </w:rPr>
      </w:pPr>
      <w:r>
        <w:rPr>
          <w:rFonts w:hint="eastAsia" w:ascii="仿宋" w:hAnsi="仿宋" w:eastAsia="仿宋" w:cs="仿宋"/>
          <w:b/>
          <w:sz w:val="32"/>
          <w:szCs w:val="32"/>
        </w:rPr>
        <w:br w:type="page"/>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w:t>
            </w:r>
            <w:r>
              <w:rPr>
                <w:rFonts w:hint="eastAsia" w:ascii="宋体" w:hAnsi="宋体" w:cs="宋体"/>
                <w:color w:val="auto"/>
                <w:sz w:val="24"/>
                <w:lang w:val="en-US" w:eastAsia="zh-CN"/>
              </w:rPr>
              <w:t>1日</w:t>
            </w:r>
            <w:r>
              <w:rPr>
                <w:rFonts w:hint="eastAsia" w:ascii="宋体" w:hAnsi="宋体" w:eastAsia="宋体" w:cs="宋体"/>
                <w:color w:val="auto"/>
                <w:sz w:val="24"/>
              </w:rPr>
              <w:t>至今完成的同类项目。</w:t>
            </w:r>
          </w:p>
          <w:p w14:paraId="6395C2F3">
            <w:pPr>
              <w:overflowPunct w:val="0"/>
              <w:topLinePunct/>
              <w:spacing w:line="360" w:lineRule="auto"/>
              <w:jc w:val="both"/>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2.以合同复印件或中标通知书为准。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FF0000"/>
          <w:sz w:val="32"/>
          <w:szCs w:val="36"/>
        </w:rPr>
      </w:pPr>
      <w:r>
        <w:rPr>
          <w:rFonts w:hint="eastAsia" w:ascii="宋体" w:hAnsi="宋体" w:eastAsia="宋体" w:cs="宋体"/>
          <w:color w:val="FF0000"/>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p w14:paraId="5AAB4F1D">
            <w:pPr>
              <w:spacing w:line="360" w:lineRule="auto"/>
              <w:ind w:firstLine="240" w:firstLineChars="100"/>
              <w:rPr>
                <w:rFonts w:hint="eastAsia" w:ascii="宋体" w:hAnsi="宋体" w:eastAsia="宋体" w:cs="宋体"/>
                <w:sz w:val="24"/>
              </w:rPr>
            </w:pPr>
            <w:r>
              <w:rPr>
                <w:rFonts w:hint="eastAsia" w:ascii="宋体" w:hAnsi="宋体" w:cs="宋体"/>
                <w:b w:val="0"/>
                <w:bCs w:val="0"/>
                <w:color w:val="auto"/>
                <w:sz w:val="24"/>
                <w:lang w:val="en-US" w:eastAsia="zh-CN"/>
              </w:rPr>
              <w:t>2、同时须附上述人员从业资格证、身份证、学历等相关复印件</w:t>
            </w:r>
            <w:r>
              <w:rPr>
                <w:rFonts w:hint="eastAsia" w:ascii="宋体" w:hAnsi="宋体" w:eastAsia="宋体" w:cs="宋体"/>
                <w:b w:val="0"/>
                <w:bCs w:val="0"/>
                <w:color w:val="auto"/>
                <w:sz w:val="24"/>
              </w:rPr>
              <w:t>。</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w:t>
      </w:r>
      <w:r>
        <w:rPr>
          <w:rFonts w:hint="eastAsia" w:ascii="宋体" w:hAnsi="宋体" w:cs="宋体"/>
          <w:b/>
          <w:bCs/>
          <w:color w:val="auto"/>
          <w:sz w:val="28"/>
          <w:szCs w:val="28"/>
          <w:highlight w:val="none"/>
          <w:lang w:val="en-US" w:eastAsia="zh-CN"/>
        </w:rPr>
        <w:t>如有提供</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8"/>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8"/>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auto"/>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勘察设计方案及内容</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cs="宋体"/>
          <w:b w:val="0"/>
          <w:bCs w:val="0"/>
          <w:color w:val="auto"/>
          <w:kern w:val="0"/>
          <w:sz w:val="24"/>
          <w:szCs w:val="24"/>
          <w:highlight w:val="none"/>
          <w:lang w:val="en-US" w:eastAsia="zh-CN"/>
        </w:rPr>
        <w:t>成果文件质量、安全及服务保证措施</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cs="宋体"/>
          <w:b w:val="0"/>
          <w:bCs w:val="0"/>
          <w:color w:val="auto"/>
          <w:kern w:val="0"/>
          <w:sz w:val="24"/>
          <w:szCs w:val="24"/>
          <w:highlight w:val="none"/>
          <w:lang w:val="en-US" w:eastAsia="zh-CN"/>
        </w:rPr>
        <w:t>项目进度计划及保证措施</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cs="宋体"/>
          <w:b w:val="0"/>
          <w:bCs w:val="0"/>
          <w:color w:val="auto"/>
          <w:kern w:val="0"/>
          <w:sz w:val="24"/>
          <w:szCs w:val="24"/>
          <w:highlight w:val="none"/>
          <w:lang w:val="en-US" w:eastAsia="zh-CN"/>
        </w:rPr>
        <w:t>服务承诺</w:t>
      </w:r>
      <w:r>
        <w:rPr>
          <w:rFonts w:hint="eastAsia" w:ascii="宋体" w:hAnsi="宋体" w:eastAsia="宋体" w:cs="宋体"/>
          <w:b w:val="0"/>
          <w:bCs w:val="0"/>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（五）</w:t>
      </w:r>
      <w:r>
        <w:rPr>
          <w:rFonts w:hint="eastAsia" w:ascii="宋体" w:hAnsi="宋体" w:cs="宋体"/>
          <w:b w:val="0"/>
          <w:bCs w:val="0"/>
          <w:color w:val="auto"/>
          <w:kern w:val="0"/>
          <w:sz w:val="24"/>
          <w:szCs w:val="24"/>
          <w:highlight w:val="none"/>
          <w:lang w:val="en-US" w:eastAsia="zh-CN"/>
        </w:rPr>
        <w:t>拟派项目人员</w:t>
      </w:r>
      <w:r>
        <w:rPr>
          <w:rFonts w:hint="eastAsia" w:ascii="宋体" w:hAnsi="宋体" w:eastAsia="宋体" w:cs="宋体"/>
          <w:b w:val="0"/>
          <w:bCs w:val="0"/>
          <w:color w:val="auto"/>
          <w:kern w:val="0"/>
          <w:sz w:val="24"/>
          <w:szCs w:val="24"/>
          <w:highlight w:val="none"/>
        </w:rPr>
        <w:t>；</w:t>
      </w:r>
    </w:p>
    <w:p w14:paraId="46E1FC87">
      <w:pPr>
        <w:pStyle w:val="4"/>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（六）业绩；</w:t>
      </w:r>
    </w:p>
    <w:p w14:paraId="64A767C0">
      <w:pPr>
        <w:pStyle w:val="4"/>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126C9B3C">
      <w:pPr>
        <w:pStyle w:val="31"/>
        <w:numPr>
          <w:ilvl w:val="0"/>
          <w:numId w:val="9"/>
        </w:numPr>
        <w:rPr>
          <w:rFonts w:hint="eastAsia" w:ascii="宋体" w:hAnsi="宋体" w:eastAsia="宋体" w:cs="宋体"/>
        </w:rPr>
      </w:pPr>
      <w:r>
        <w:rPr>
          <w:rFonts w:hint="eastAsia" w:ascii="宋体" w:hAnsi="宋体" w:eastAsia="宋体" w:cs="宋体"/>
        </w:rPr>
        <w:t xml:space="preserve"> 响应文件封袋标识式样</w:t>
      </w:r>
    </w:p>
    <w:p w14:paraId="3653C40A">
      <w:pPr>
        <w:bidi w:val="0"/>
        <w:rPr>
          <w:rFonts w:hint="eastAsia" w:ascii="Times New Roman" w:hAnsi="Times New Roman" w:eastAsia="宋体" w:cs="Times New Roman"/>
          <w:kern w:val="2"/>
          <w:sz w:val="21"/>
          <w:szCs w:val="24"/>
          <w:lang w:val="en-US" w:eastAsia="zh-CN" w:bidi="ar-SA"/>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GZC2026-CS-043</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 xml:space="preserve">包茂高速甘泉服务区增设出入口工程勘察设计服务 </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GZC2026-CS-043</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 xml:space="preserve">包茂高速甘泉服务区增设出入口工程勘察设计服务 </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val="en-US"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r>
        <w:rPr>
          <w:rFonts w:hint="eastAsia" w:ascii="Times New Roman" w:hAnsi="Times New Roman" w:cs="Times New Roman"/>
          <w:color w:val="000000"/>
          <w:lang w:val="en-US" w:eastAsia="zh-CN"/>
        </w:rPr>
        <w:t>:</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2ABFC0C-AF0F-4D1C-9B44-197AB7C18A3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570B48C-C1CE-4C4A-B25D-F187749B0B98}"/>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embedRegular r:id="rId3" w:fontKey="{C695146C-B894-4899-81EE-EB60E9A3C145}"/>
  </w:font>
  <w:font w:name="仿宋">
    <w:panose1 w:val="02010609060101010101"/>
    <w:charset w:val="86"/>
    <w:family w:val="modern"/>
    <w:pitch w:val="default"/>
    <w:sig w:usb0="800002BF" w:usb1="38CF7CFA" w:usb2="00000016" w:usb3="00000000" w:csb0="00040001" w:csb1="00000000"/>
    <w:embedRegular r:id="rId4" w:fontKey="{BCB84F59-CCC6-48A2-9D3A-E628F59DFF35}"/>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60FD0E6B-103D-4B5A-954A-D7A7C34CE66E}"/>
  </w:font>
  <w:font w:name="Microsoft YaHei 微软雅黑 黑体 宋体">
    <w:altName w:val="宋体"/>
    <w:panose1 w:val="00000000000000000000"/>
    <w:charset w:val="00"/>
    <w:family w:val="auto"/>
    <w:pitch w:val="default"/>
    <w:sig w:usb0="00000000" w:usb1="00000000" w:usb2="00000000" w:usb3="00000000" w:csb0="00040001" w:csb1="00000000"/>
    <w:embedRegular r:id="rId6" w:fontKey="{72FF8D1A-18BD-4A9E-A6DD-4FA44ECE7203}"/>
  </w:font>
  <w:font w:name="仿宋_GB2312">
    <w:panose1 w:val="02010609030101010101"/>
    <w:charset w:val="86"/>
    <w:family w:val="auto"/>
    <w:pitch w:val="default"/>
    <w:sig w:usb0="00000001" w:usb1="080E0000" w:usb2="00000000" w:usb3="00000000" w:csb0="00040000" w:csb1="00000000"/>
    <w:embedRegular r:id="rId7" w:fontKey="{96C977D9-212E-4694-A03C-A19C683D1E0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63</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 共 </w:t>
                          </w:r>
                          <w:r>
                            <w:rPr>
                              <w:rFonts w:hint="eastAsia" w:ascii="Times New Roman" w:hAnsi="Times New Roman" w:cs="Times New Roman"/>
                              <w:kern w:val="2"/>
                              <w:sz w:val="18"/>
                              <w:szCs w:val="18"/>
                              <w:lang w:val="en-US" w:eastAsia="zh-CN" w:bidi="ar-SA"/>
                            </w:rPr>
                            <w:t>71</w:t>
                          </w:r>
                          <w:r>
                            <w:rPr>
                              <w:rFonts w:ascii="Times New Roman" w:hAnsi="Times New Roman" w:eastAsia="宋体" w:cs="Times New Roman"/>
                              <w:kern w:val="2"/>
                              <w:sz w:val="18"/>
                              <w:szCs w:val="18"/>
                              <w:lang w:val="en-US" w:eastAsia="zh-CN" w:bidi="ar-S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63</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 共 </w:t>
                    </w:r>
                    <w:r>
                      <w:rPr>
                        <w:rFonts w:hint="eastAsia" w:ascii="Times New Roman" w:hAnsi="Times New Roman" w:cs="Times New Roman"/>
                        <w:kern w:val="2"/>
                        <w:sz w:val="18"/>
                        <w:szCs w:val="18"/>
                        <w:lang w:val="en-US" w:eastAsia="zh-CN" w:bidi="ar-SA"/>
                      </w:rPr>
                      <w:t>71</w:t>
                    </w:r>
                    <w:r>
                      <w:rPr>
                        <w:rFonts w:ascii="Times New Roman" w:hAnsi="Times New Roman" w:eastAsia="宋体" w:cs="Times New Roman"/>
                        <w:kern w:val="2"/>
                        <w:sz w:val="18"/>
                        <w:szCs w:val="18"/>
                        <w:lang w:val="en-US" w:eastAsia="zh-CN" w:bidi="ar-SA"/>
                      </w:rPr>
                      <w:t>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7C075">
    <w:pPr>
      <w:framePr w:wrap="around" w:vAnchor="text" w:hAnchor="margin" w:xAlign="center" w:y="1"/>
      <w:widowControl w:val="0"/>
      <w:snapToGrid w:val="0"/>
      <w:spacing w:line="324" w:lineRule="auto"/>
      <w:jc w:val="left"/>
      <w:rPr>
        <w:rStyle w:val="24"/>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24"/>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Style w:val="24"/>
        <w:rFonts w:ascii="Times New Roman" w:hAnsi="Times New Roman" w:eastAsia="宋体" w:cs="Times New Roman"/>
        <w:kern w:val="2"/>
        <w:sz w:val="21"/>
        <w:szCs w:val="24"/>
        <w:lang w:val="en-US" w:eastAsia="zh-CN" w:bidi="ar-SA"/>
      </w:rPr>
      <w:t>6</w:t>
    </w:r>
    <w:r>
      <w:rPr>
        <w:rFonts w:ascii="Times New Roman" w:hAnsi="Times New Roman" w:eastAsia="宋体" w:cs="Times New Roman"/>
        <w:kern w:val="2"/>
        <w:sz w:val="18"/>
        <w:szCs w:val="18"/>
        <w:lang w:val="en-US" w:eastAsia="zh-CN" w:bidi="ar-SA"/>
      </w:rPr>
      <w:fldChar w:fldCharType="end"/>
    </w:r>
  </w:p>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包茂高速甘泉服务区增设出入口工程勘察设计服务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包茂高速甘泉服务区增设出入口工程勘察设计服务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GZC2026-CS-043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包茂高速甘泉服务区增设出入口工程勘察设计服务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GZC2026-CS-043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包茂高速甘泉服务区增设出入口工程勘察设计服务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9B8C">
    <w:pPr>
      <w:pStyle w:val="13"/>
      <w:pBdr>
        <w:bottom w:val="none" w:color="auto" w:sz="0" w:space="1"/>
      </w:pBdr>
      <w:jc w:val="both"/>
      <w:rPr>
        <w:rFonts w:ascii="Times New Roman" w:hAnsi="Times New Roman" w:cs="Times New Roman"/>
      </w:rPr>
    </w:pPr>
    <w:r>
      <w:rPr>
        <w:rFonts w:hint="eastAsia" w:ascii="宋体" w:hAnsi="宋体" w:cs="宋体"/>
        <w:kern w:val="2"/>
        <w:sz w:val="18"/>
        <w:szCs w:val="18"/>
        <w:lang w:val="en-US" w:eastAsia="zh-CN" w:bidi="ar-SA"/>
      </w:rPr>
      <w:t>包茂高速甘泉服务区增设出入口工程勘察设计服务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GZC2026-CS-043</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包茂高速甘泉服务区增设出入口工程勘察设计服务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E07232B8"/>
    <w:multiLevelType w:val="singleLevel"/>
    <w:tmpl w:val="E07232B8"/>
    <w:lvl w:ilvl="0" w:tentative="0">
      <w:start w:val="1"/>
      <w:numFmt w:val="decimal"/>
      <w:lvlText w:val="%1."/>
      <w:lvlJc w:val="left"/>
      <w:pPr>
        <w:tabs>
          <w:tab w:val="left" w:pos="312"/>
        </w:tabs>
      </w:pPr>
    </w:lvl>
  </w:abstractNum>
  <w:abstractNum w:abstractNumId="2">
    <w:nsid w:val="16BB253C"/>
    <w:multiLevelType w:val="singleLevel"/>
    <w:tmpl w:val="16BB253C"/>
    <w:lvl w:ilvl="0" w:tentative="0">
      <w:start w:val="1"/>
      <w:numFmt w:val="decimal"/>
      <w:suff w:val="space"/>
      <w:lvlText w:val="%1."/>
      <w:lvlJc w:val="left"/>
    </w:lvl>
  </w:abstractNum>
  <w:abstractNum w:abstractNumId="3">
    <w:nsid w:val="1AF67877"/>
    <w:multiLevelType w:val="singleLevel"/>
    <w:tmpl w:val="1AF67877"/>
    <w:lvl w:ilvl="0" w:tentative="0">
      <w:start w:val="2"/>
      <w:numFmt w:val="chineseCounting"/>
      <w:suff w:val="space"/>
      <w:lvlText w:val="第%1部分"/>
      <w:lvlJc w:val="left"/>
      <w:rPr>
        <w:rFonts w:hint="eastAsia"/>
      </w:rPr>
    </w:lvl>
  </w:abstractNum>
  <w:abstractNum w:abstractNumId="4">
    <w:nsid w:val="2FE6198D"/>
    <w:multiLevelType w:val="singleLevel"/>
    <w:tmpl w:val="2FE6198D"/>
    <w:lvl w:ilvl="0" w:tentative="0">
      <w:start w:val="7"/>
      <w:numFmt w:val="chineseCounting"/>
      <w:suff w:val="space"/>
      <w:lvlText w:val="第%1部分"/>
      <w:lvlJc w:val="left"/>
      <w:rPr>
        <w:rFonts w:hint="eastAsia"/>
      </w:rPr>
    </w:lvl>
  </w:abstractNum>
  <w:abstractNum w:abstractNumId="5">
    <w:nsid w:val="432F1C8B"/>
    <w:multiLevelType w:val="singleLevel"/>
    <w:tmpl w:val="432F1C8B"/>
    <w:lvl w:ilvl="0" w:tentative="0">
      <w:start w:val="1"/>
      <w:numFmt w:val="decimal"/>
      <w:suff w:val="nothing"/>
      <w:lvlText w:val="%1、"/>
      <w:lvlJc w:val="left"/>
    </w:lvl>
  </w:abstractNum>
  <w:abstractNum w:abstractNumId="6">
    <w:nsid w:val="5694B7E5"/>
    <w:multiLevelType w:val="singleLevel"/>
    <w:tmpl w:val="5694B7E5"/>
    <w:lvl w:ilvl="0" w:tentative="0">
      <w:start w:val="1"/>
      <w:numFmt w:val="decimal"/>
      <w:suff w:val="nothing"/>
      <w:lvlText w:val="%1、"/>
      <w:lvlJc w:val="left"/>
    </w:lvl>
  </w:abstractNum>
  <w:abstractNum w:abstractNumId="7">
    <w:nsid w:val="5CD847CB"/>
    <w:multiLevelType w:val="singleLevel"/>
    <w:tmpl w:val="5CD847CB"/>
    <w:lvl w:ilvl="0" w:tentative="0">
      <w:start w:val="1"/>
      <w:numFmt w:val="decimal"/>
      <w:lvlText w:val="%1."/>
      <w:lvlJc w:val="left"/>
      <w:pPr>
        <w:tabs>
          <w:tab w:val="left" w:pos="312"/>
        </w:tabs>
      </w:pPr>
    </w:lvl>
  </w:abstractNum>
  <w:abstractNum w:abstractNumId="8">
    <w:nsid w:val="62290D6A"/>
    <w:multiLevelType w:val="singleLevel"/>
    <w:tmpl w:val="62290D6A"/>
    <w:lvl w:ilvl="0" w:tentative="0">
      <w:start w:val="1"/>
      <w:numFmt w:val="chineseCounting"/>
      <w:suff w:val="nothing"/>
      <w:lvlText w:val="（%1）"/>
      <w:lvlJc w:val="left"/>
      <w:rPr>
        <w:rFonts w:hint="eastAsia"/>
        <w:b/>
        <w:bCs/>
      </w:rPr>
    </w:lvl>
  </w:abstractNum>
  <w:num w:numId="1">
    <w:abstractNumId w:val="0"/>
  </w:num>
  <w:num w:numId="2">
    <w:abstractNumId w:val="8"/>
  </w:num>
  <w:num w:numId="3">
    <w:abstractNumId w:val="5"/>
  </w:num>
  <w:num w:numId="4">
    <w:abstractNumId w:val="1"/>
  </w:num>
  <w:num w:numId="5">
    <w:abstractNumId w:val="7"/>
  </w:num>
  <w:num w:numId="6">
    <w:abstractNumId w:val="3"/>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20476"/>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F344E1"/>
    <w:rsid w:val="0BD51E39"/>
    <w:rsid w:val="0C167005"/>
    <w:rsid w:val="0C515FBA"/>
    <w:rsid w:val="0CC04897"/>
    <w:rsid w:val="0CCE2B10"/>
    <w:rsid w:val="0CFB767D"/>
    <w:rsid w:val="0D31309F"/>
    <w:rsid w:val="0D4B23B2"/>
    <w:rsid w:val="0E0E5177"/>
    <w:rsid w:val="0E1358E5"/>
    <w:rsid w:val="0F2851B8"/>
    <w:rsid w:val="10170173"/>
    <w:rsid w:val="10297B3B"/>
    <w:rsid w:val="10401F77"/>
    <w:rsid w:val="10484987"/>
    <w:rsid w:val="108A4FA0"/>
    <w:rsid w:val="10907CB9"/>
    <w:rsid w:val="10C85AC8"/>
    <w:rsid w:val="11A2456B"/>
    <w:rsid w:val="11B66476"/>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7F808EB"/>
    <w:rsid w:val="18200032"/>
    <w:rsid w:val="182F5358"/>
    <w:rsid w:val="18842C1C"/>
    <w:rsid w:val="18AB495E"/>
    <w:rsid w:val="18E15979"/>
    <w:rsid w:val="19197809"/>
    <w:rsid w:val="19424899"/>
    <w:rsid w:val="194F6D87"/>
    <w:rsid w:val="19661582"/>
    <w:rsid w:val="19766901"/>
    <w:rsid w:val="19921369"/>
    <w:rsid w:val="19E537AA"/>
    <w:rsid w:val="1A266185"/>
    <w:rsid w:val="1A6C2290"/>
    <w:rsid w:val="1A7867B1"/>
    <w:rsid w:val="1A8101E8"/>
    <w:rsid w:val="1AA650CC"/>
    <w:rsid w:val="1AE8109D"/>
    <w:rsid w:val="1AF71E0D"/>
    <w:rsid w:val="1B080322"/>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9A0A39"/>
    <w:rsid w:val="1FB913FE"/>
    <w:rsid w:val="20515ADA"/>
    <w:rsid w:val="20C95670"/>
    <w:rsid w:val="20DB5A33"/>
    <w:rsid w:val="20E325CD"/>
    <w:rsid w:val="20FD17BE"/>
    <w:rsid w:val="210112AE"/>
    <w:rsid w:val="21582E98"/>
    <w:rsid w:val="21D55048"/>
    <w:rsid w:val="21DC13D3"/>
    <w:rsid w:val="21EE6184"/>
    <w:rsid w:val="222A65E3"/>
    <w:rsid w:val="225D0766"/>
    <w:rsid w:val="244B45EE"/>
    <w:rsid w:val="24BE1264"/>
    <w:rsid w:val="24EE1B49"/>
    <w:rsid w:val="25657932"/>
    <w:rsid w:val="25BA5ED0"/>
    <w:rsid w:val="25E019B8"/>
    <w:rsid w:val="262D156E"/>
    <w:rsid w:val="2698212E"/>
    <w:rsid w:val="27084A19"/>
    <w:rsid w:val="274E2D73"/>
    <w:rsid w:val="274F61D2"/>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8F08D4"/>
    <w:rsid w:val="2EC35DF5"/>
    <w:rsid w:val="2EC76F67"/>
    <w:rsid w:val="2EFD1BEE"/>
    <w:rsid w:val="2F12224B"/>
    <w:rsid w:val="2F210D6D"/>
    <w:rsid w:val="2F481F00"/>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67774C5"/>
    <w:rsid w:val="369D62DA"/>
    <w:rsid w:val="37222033"/>
    <w:rsid w:val="374B2E2B"/>
    <w:rsid w:val="379841E9"/>
    <w:rsid w:val="37A12A4B"/>
    <w:rsid w:val="38AE0C59"/>
    <w:rsid w:val="38B4055C"/>
    <w:rsid w:val="38BD1B07"/>
    <w:rsid w:val="38F10D90"/>
    <w:rsid w:val="38F73BA5"/>
    <w:rsid w:val="38F92413"/>
    <w:rsid w:val="39181B75"/>
    <w:rsid w:val="39627FB8"/>
    <w:rsid w:val="3A571AE7"/>
    <w:rsid w:val="3A8B4605"/>
    <w:rsid w:val="3AA840F1"/>
    <w:rsid w:val="3AE0388B"/>
    <w:rsid w:val="3B196D9D"/>
    <w:rsid w:val="3B2C6AD0"/>
    <w:rsid w:val="3B6434E3"/>
    <w:rsid w:val="3B6B3ED8"/>
    <w:rsid w:val="3B77709B"/>
    <w:rsid w:val="3B7A1457"/>
    <w:rsid w:val="3B90705F"/>
    <w:rsid w:val="3C3D6ABB"/>
    <w:rsid w:val="3C8F37BA"/>
    <w:rsid w:val="3CA8662A"/>
    <w:rsid w:val="3CE05CC9"/>
    <w:rsid w:val="3CFC47B1"/>
    <w:rsid w:val="3D31661F"/>
    <w:rsid w:val="3D6A7D83"/>
    <w:rsid w:val="3D89645B"/>
    <w:rsid w:val="3DA74B34"/>
    <w:rsid w:val="3E834C59"/>
    <w:rsid w:val="3EA8326A"/>
    <w:rsid w:val="3F4563B2"/>
    <w:rsid w:val="3F4B09A7"/>
    <w:rsid w:val="3F516B05"/>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901E7E"/>
    <w:rsid w:val="44B75DD3"/>
    <w:rsid w:val="456B6447"/>
    <w:rsid w:val="46841F07"/>
    <w:rsid w:val="46E94959"/>
    <w:rsid w:val="471A45C8"/>
    <w:rsid w:val="471C5C4A"/>
    <w:rsid w:val="4787446C"/>
    <w:rsid w:val="47A90A7F"/>
    <w:rsid w:val="47B04F1D"/>
    <w:rsid w:val="47D36DA5"/>
    <w:rsid w:val="47DB3D58"/>
    <w:rsid w:val="47E726FC"/>
    <w:rsid w:val="482374AD"/>
    <w:rsid w:val="4834214E"/>
    <w:rsid w:val="485A180A"/>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D897E2F"/>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6568E"/>
    <w:rsid w:val="59945B14"/>
    <w:rsid w:val="59DB7BE7"/>
    <w:rsid w:val="5AAB75B9"/>
    <w:rsid w:val="5AAE0E58"/>
    <w:rsid w:val="5AE43107"/>
    <w:rsid w:val="5B7958E6"/>
    <w:rsid w:val="5B81656C"/>
    <w:rsid w:val="5BBB382C"/>
    <w:rsid w:val="5BEB0420"/>
    <w:rsid w:val="5C186ED1"/>
    <w:rsid w:val="5C45759A"/>
    <w:rsid w:val="5C4C6B7A"/>
    <w:rsid w:val="5CC46711"/>
    <w:rsid w:val="5CD050B5"/>
    <w:rsid w:val="5CD10E2D"/>
    <w:rsid w:val="5D255765"/>
    <w:rsid w:val="5D485594"/>
    <w:rsid w:val="5D6F2B20"/>
    <w:rsid w:val="5D973E25"/>
    <w:rsid w:val="5DB524FD"/>
    <w:rsid w:val="5DBA7B13"/>
    <w:rsid w:val="5E0A45F7"/>
    <w:rsid w:val="5E113BD7"/>
    <w:rsid w:val="5E2A4C99"/>
    <w:rsid w:val="5F447FDD"/>
    <w:rsid w:val="5F4D50E3"/>
    <w:rsid w:val="5F730794"/>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7E00BB"/>
    <w:rsid w:val="688D47A2"/>
    <w:rsid w:val="68F6059A"/>
    <w:rsid w:val="69E05F1F"/>
    <w:rsid w:val="69E91EAC"/>
    <w:rsid w:val="6A2C1D99"/>
    <w:rsid w:val="6A38073E"/>
    <w:rsid w:val="6AF02DC7"/>
    <w:rsid w:val="6AFE3735"/>
    <w:rsid w:val="6B146942"/>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63E70DC"/>
    <w:rsid w:val="764F3097"/>
    <w:rsid w:val="76FD6F97"/>
    <w:rsid w:val="77CD0717"/>
    <w:rsid w:val="7892370F"/>
    <w:rsid w:val="78B813C8"/>
    <w:rsid w:val="7919798C"/>
    <w:rsid w:val="791F0D7D"/>
    <w:rsid w:val="794964C4"/>
    <w:rsid w:val="79B349F7"/>
    <w:rsid w:val="79BA6AC9"/>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2787</Words>
  <Characters>3178</Characters>
  <Lines>237</Lines>
  <Paragraphs>66</Paragraphs>
  <TotalTime>2</TotalTime>
  <ScaleCrop>false</ScaleCrop>
  <LinksUpToDate>false</LinksUpToDate>
  <CharactersWithSpaces>3322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2026-06-04T02:31:00Z</cp:lastPrinted>
  <dcterms:modified xsi:type="dcterms:W3CDTF">2026-06-30T07:23:37Z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