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版本号：HZ-J2026033C20260709001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西乡县2026年农村公路安全生命防护工程监理服务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HZ-J2026033C</w:t>
      </w:r>
      <w:r>
        <w:br/>
      </w:r>
      <w:r>
        <w:br/>
      </w:r>
      <w:r>
        <w:br/>
      </w:r>
    </w:p>
    <w:p>
      <w:pPr>
        <w:pStyle w:val="null3"/>
        <w:jc w:val="center"/>
        <w:outlineLvl w:val="2"/>
      </w:pPr>
      <w:r>
        <w:rPr>
          <w:rFonts w:ascii="仿宋_GB2312" w:hAnsi="仿宋_GB2312" w:cs="仿宋_GB2312" w:eastAsia="仿宋_GB2312"/>
          <w:sz w:val="28"/>
          <w:b/>
        </w:rPr>
        <w:t>西乡县农村公路管理站</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西乡县农村公路管理站</w:t>
      </w:r>
      <w:r>
        <w:rPr>
          <w:rFonts w:ascii="仿宋_GB2312" w:hAnsi="仿宋_GB2312" w:cs="仿宋_GB2312" w:eastAsia="仿宋_GB2312"/>
        </w:rPr>
        <w:t>委托，拟对</w:t>
      </w:r>
      <w:r>
        <w:rPr>
          <w:rFonts w:ascii="仿宋_GB2312" w:hAnsi="仿宋_GB2312" w:cs="仿宋_GB2312" w:eastAsia="仿宋_GB2312"/>
        </w:rPr>
        <w:t>西乡县2026年农村公路安全生命防护工程监理服务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HZ-J2026033C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西乡县2026年农村公路安全生命防护工程监理服务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2026年农村公路生命安全防护工程项目涉及白龙塘镇、白勉峡镇、茶镇、大河镇、高川镇、两河口镇、桑园镇、沙河镇、峡口镇、堰口镇、子午镇共11个镇259条农村公路，设计路线总里程596.867公里，安全隐患处置里程435.436公里。主要工程量为:共设置波形护栏211304米、交通标志牌1643套、凸面镜302套、道口标柱1420根、挡墙135处M7.5浆砌片石6654.94m、警示桩416根、错车道1748处81710m2、停车让行线2003.65m2、水位标示牌1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采购包1（西乡县2026年农村公路安全生命防护工程监理服务第一合同段（两河口镇、高川镇、茶镇、白勉峡镇））：属于专门面向中小企业采购。</w:t>
      </w:r>
    </w:p>
    <w:p>
      <w:pPr>
        <w:pStyle w:val="null3"/>
      </w:pPr>
      <w:r>
        <w:rPr>
          <w:rFonts w:ascii="仿宋_GB2312" w:hAnsi="仿宋_GB2312" w:cs="仿宋_GB2312" w:eastAsia="仿宋_GB2312"/>
        </w:rPr>
        <w:t>采购包2（西乡县2026年农村公路安全生命防护工程监理服务第二合同段（堰口镇、峡口镇、沙河镇、大河镇））：属于专门面向中小企业采购。</w:t>
      </w:r>
    </w:p>
    <w:p>
      <w:pPr>
        <w:pStyle w:val="null3"/>
      </w:pPr>
      <w:r>
        <w:rPr>
          <w:rFonts w:ascii="仿宋_GB2312" w:hAnsi="仿宋_GB2312" w:cs="仿宋_GB2312" w:eastAsia="仿宋_GB2312"/>
        </w:rPr>
        <w:t>采购包3（西乡县2026年农村公路安全生命防护工程监理服务第三合同段（白龙塘镇、桑园镇、子午镇））：属于专门面向中小企业采购。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授权合法的人员参加磋商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p>
      <w:pPr>
        <w:pStyle w:val="null3"/>
      </w:pPr>
      <w:r>
        <w:rPr>
          <w:rFonts w:ascii="仿宋_GB2312" w:hAnsi="仿宋_GB2312" w:cs="仿宋_GB2312" w:eastAsia="仿宋_GB2312"/>
        </w:rPr>
        <w:t>4、企业资质：供应商具备工程监理综合资质或交通运输行业主管部门颁发的公路工程专业监理乙级及以上资质。</w:t>
      </w:r>
    </w:p>
    <w:p>
      <w:pPr>
        <w:pStyle w:val="null3"/>
      </w:pPr>
      <w:r>
        <w:rPr>
          <w:rFonts w:ascii="仿宋_GB2312" w:hAnsi="仿宋_GB2312" w:cs="仿宋_GB2312" w:eastAsia="仿宋_GB2312"/>
        </w:rPr>
        <w:t>5、项目总监：拟派项目总监理工程师须具备交通运输专业监理工程师证书或交通行业主管部门核发的监理工程师资格证书，且在本单位注册并未担任其他在建项目的总监理工程师（提供承诺书）。</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授权合法的人员参加磋商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p>
      <w:pPr>
        <w:pStyle w:val="null3"/>
      </w:pPr>
      <w:r>
        <w:rPr>
          <w:rFonts w:ascii="仿宋_GB2312" w:hAnsi="仿宋_GB2312" w:cs="仿宋_GB2312" w:eastAsia="仿宋_GB2312"/>
        </w:rPr>
        <w:t>4、企业资质：供应商具备工程监理综合资质或交通运输行业主管部门颁发的公路工程专业监理乙级及以上资质。</w:t>
      </w:r>
    </w:p>
    <w:p>
      <w:pPr>
        <w:pStyle w:val="null3"/>
      </w:pPr>
      <w:r>
        <w:rPr>
          <w:rFonts w:ascii="仿宋_GB2312" w:hAnsi="仿宋_GB2312" w:cs="仿宋_GB2312" w:eastAsia="仿宋_GB2312"/>
        </w:rPr>
        <w:t>5、项目总监：拟派项目总监理工程师须具备交通运输专业监理工程师证书或交通行业主管部门核发的监理工程师资格证书，且在本单位注册并未担任其他在建项目的总监理工程师（提供承诺书）。</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授权合法的人员参加磋商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p>
      <w:pPr>
        <w:pStyle w:val="null3"/>
      </w:pPr>
      <w:r>
        <w:rPr>
          <w:rFonts w:ascii="仿宋_GB2312" w:hAnsi="仿宋_GB2312" w:cs="仿宋_GB2312" w:eastAsia="仿宋_GB2312"/>
        </w:rPr>
        <w:t>4、企业资质：供应商具备工程监理综合资质或交通运输行业主管部门颁发的公路工程专业监理乙级及以上资质。</w:t>
      </w:r>
    </w:p>
    <w:p>
      <w:pPr>
        <w:pStyle w:val="null3"/>
      </w:pPr>
      <w:r>
        <w:rPr>
          <w:rFonts w:ascii="仿宋_GB2312" w:hAnsi="仿宋_GB2312" w:cs="仿宋_GB2312" w:eastAsia="仿宋_GB2312"/>
        </w:rPr>
        <w:t>5、项目总监：拟派项目总监理工程师须具备交通运输专业监理工程师证书或交通行业主管部门核发的监理工程师资格证书，且在本单位注册并未担任其他在建项目的总监理工程师（提供承诺书）。</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西乡县莲花路北段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13909169412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张培泽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采购包1：267,174.00元</w:t>
            </w:r>
          </w:p>
          <w:p>
            <w:pPr>
              <w:pStyle w:val="null3"/>
            </w:pPr>
            <w:r>
              <w:rPr>
                <w:rFonts w:ascii="仿宋_GB2312" w:hAnsi="仿宋_GB2312" w:cs="仿宋_GB2312" w:eastAsia="仿宋_GB2312"/>
              </w:rPr>
              <w:t>采购包2：303,682.00元</w:t>
            </w:r>
          </w:p>
          <w:p>
            <w:pPr>
              <w:pStyle w:val="null3"/>
            </w:pPr>
            <w:r>
              <w:rPr>
                <w:rFonts w:ascii="仿宋_GB2312" w:hAnsi="仿宋_GB2312" w:cs="仿宋_GB2312" w:eastAsia="仿宋_GB2312"/>
              </w:rPr>
              <w:t>采购包3：253,069.00元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采购代理服务费依据合同约定支付，（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西乡县农村公路管理站</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供应商为本项目产出的全部监理成果、资料、文书等知识产权归采购人所有，供应商仅享有署名权。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联系人：张培泽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2026年农村公路生命安全防护工程项目涉及白龙塘镇、白勉峡镇、茶镇、大河镇、高川镇、两河口镇、桑园镇、沙河镇、峡口镇、堰口镇、子午镇共11个镇259条农村公路，设计路线总里程596.867公里，安全隐患处置里程435.436公里。主要工程量为:共设置波形护栏211304米、交通标志牌1643套、凸面镜302套、道口标柱1420根、挡墙135处M7.5浆砌片石6654.94m、警示桩416根、错车道1748处81710m2、停车让行线2003.65m2、水位标示牌1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267,174.00</w:t>
      </w:r>
    </w:p>
    <w:p>
      <w:pPr>
        <w:pStyle w:val="null3"/>
      </w:pPr>
      <w:r>
        <w:rPr>
          <w:rFonts w:ascii="仿宋_GB2312" w:hAnsi="仿宋_GB2312" w:cs="仿宋_GB2312" w:eastAsia="仿宋_GB2312"/>
        </w:rPr>
        <w:t>采购包最高限价（元）: 267,174.00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西乡县2026年农村公路安全生命防护工程监理服务第一合同段（两河口镇、高川镇、茶镇、白勉峡镇）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267,174.00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303,682.00</w:t>
      </w:r>
    </w:p>
    <w:p>
      <w:pPr>
        <w:pStyle w:val="null3"/>
      </w:pPr>
      <w:r>
        <w:rPr>
          <w:rFonts w:ascii="仿宋_GB2312" w:hAnsi="仿宋_GB2312" w:cs="仿宋_GB2312" w:eastAsia="仿宋_GB2312"/>
        </w:rPr>
        <w:t>采购包最高限价（元）: 303,682.00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西乡县2026年农村公路安全生命防护工程监理服务第二合同段（堰口镇、峡口镇、沙河镇、大河镇）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303,682.00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253,069.00</w:t>
      </w:r>
    </w:p>
    <w:p>
      <w:pPr>
        <w:pStyle w:val="null3"/>
      </w:pPr>
      <w:r>
        <w:rPr>
          <w:rFonts w:ascii="仿宋_GB2312" w:hAnsi="仿宋_GB2312" w:cs="仿宋_GB2312" w:eastAsia="仿宋_GB2312"/>
        </w:rPr>
        <w:t>采购包最高限价（元）: 253,069.00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西乡县2026年农村公路安全生命防护工程监理服务第三合同段（白龙塘镇、桑园镇、子午镇）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253,069.00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标的名称：西乡县2026年农村公路安全生命防护工程监理服务第一合同段（两河口镇、高川镇、茶镇、白勉峡镇）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（一）标段概况：</w:t>
            </w:r>
          </w:p>
          <w:p>
            <w:pPr>
              <w:pStyle w:val="null3"/>
            </w:pPr>
            <w:r>
              <w:rPr>
                <w:rFonts w:ascii="仿宋_GB2312" w:hAnsi="仿宋_GB2312" w:cs="仿宋_GB2312" w:eastAsia="仿宋_GB2312"/>
                <w:sz w:val="21"/>
              </w:rPr>
              <w:t xml:space="preserve">    西乡县2026年农村公路安全生命防护工程监理服务第一合同段（两河口镇、高川镇、茶镇、白勉峡镇），负责76条农村公路139.633公里隐患路段的安防施工监理。</w:t>
            </w:r>
            <w:r>
              <w:rPr>
                <w:rFonts w:ascii="仿宋_GB2312" w:hAnsi="仿宋_GB2312" w:cs="仿宋_GB2312" w:eastAsia="仿宋_GB2312"/>
                <w:sz w:val="21"/>
              </w:rPr>
              <w:t>其中</w:t>
            </w:r>
            <w:r>
              <w:rPr>
                <w:rFonts w:ascii="仿宋_GB2312" w:hAnsi="仿宋_GB2312" w:cs="仿宋_GB2312" w:eastAsia="仿宋_GB2312"/>
                <w:sz w:val="21"/>
              </w:rPr>
              <w:t>两河口镇共17条路线，实施里程合计37.200km</w:t>
            </w:r>
            <w:r>
              <w:rPr>
                <w:rFonts w:ascii="仿宋_GB2312" w:hAnsi="仿宋_GB2312" w:cs="仿宋_GB2312" w:eastAsia="仿宋_GB2312"/>
                <w:sz w:val="21"/>
              </w:rPr>
              <w:t>；</w:t>
            </w:r>
            <w:r>
              <w:rPr>
                <w:rFonts w:ascii="仿宋_GB2312" w:hAnsi="仿宋_GB2312" w:cs="仿宋_GB2312" w:eastAsia="仿宋_GB2312"/>
                <w:sz w:val="21"/>
              </w:rPr>
              <w:t>高川镇共25条路线，实施里程合计31.738km</w:t>
            </w:r>
            <w:r>
              <w:rPr>
                <w:rFonts w:ascii="仿宋_GB2312" w:hAnsi="仿宋_GB2312" w:cs="仿宋_GB2312" w:eastAsia="仿宋_GB2312"/>
                <w:sz w:val="21"/>
              </w:rPr>
              <w:t>；</w:t>
            </w:r>
            <w:r>
              <w:rPr>
                <w:rFonts w:ascii="仿宋_GB2312" w:hAnsi="仿宋_GB2312" w:cs="仿宋_GB2312" w:eastAsia="仿宋_GB2312"/>
                <w:sz w:val="21"/>
              </w:rPr>
              <w:t>茶镇共19条路线，实施里程合计52.720km；白勉峡镇共15条路线，实施里程合计17.975km。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施工主要内容</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工程主要对急弯、陡坡、视距不良、路侧险要等危险路段设置安全防护设施，包括波形梁护栏、交通标志、标线及视线诱导设施等。(具体以工程量清单及施工图纸为准)。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（三）监理依据：</w:t>
            </w:r>
          </w:p>
          <w:p>
            <w:pPr>
              <w:pStyle w:val="null3"/>
            </w:pPr>
            <w:r>
              <w:rPr>
                <w:rFonts w:ascii="仿宋_GB2312" w:hAnsi="仿宋_GB2312" w:cs="仿宋_GB2312" w:eastAsia="仿宋_GB2312"/>
                <w:sz w:val="21"/>
              </w:rPr>
              <w:t xml:space="preserve">   1. 国家和地方现行法律、行政法规、规章；</w:t>
            </w:r>
          </w:p>
          <w:p>
            <w:pPr>
              <w:pStyle w:val="null3"/>
            </w:pPr>
            <w:r>
              <w:rPr>
                <w:rFonts w:ascii="仿宋_GB2312" w:hAnsi="仿宋_GB2312" w:cs="仿宋_GB2312" w:eastAsia="仿宋_GB2312"/>
                <w:sz w:val="21"/>
              </w:rPr>
              <w:t xml:space="preserve">   2. 国家、交通运输行业及地方现行有效的标准、规范、规程、试验检测相关文件；</w:t>
            </w:r>
          </w:p>
          <w:p>
            <w:pPr>
              <w:pStyle w:val="null3"/>
            </w:pPr>
            <w:r>
              <w:rPr>
                <w:rFonts w:ascii="仿宋_GB2312" w:hAnsi="仿宋_GB2312" w:cs="仿宋_GB2312" w:eastAsia="仿宋_GB2312"/>
                <w:sz w:val="21"/>
              </w:rPr>
              <w:t xml:space="preserve">   3. 本项目监理招标文件、答疑补遗书、中标通知书及签订后的监理合同；</w:t>
            </w:r>
          </w:p>
          <w:p>
            <w:pPr>
              <w:pStyle w:val="null3"/>
            </w:pPr>
            <w:r>
              <w:rPr>
                <w:rFonts w:ascii="仿宋_GB2312" w:hAnsi="仿宋_GB2312" w:cs="仿宋_GB2312" w:eastAsia="仿宋_GB2312"/>
                <w:sz w:val="21"/>
              </w:rPr>
              <w:t xml:space="preserve">   4. 本项目后续签订的工程施工合同；</w:t>
            </w:r>
          </w:p>
          <w:p>
            <w:pPr>
              <w:pStyle w:val="null3"/>
            </w:pPr>
            <w:r>
              <w:rPr>
                <w:rFonts w:ascii="仿宋_GB2312" w:hAnsi="仿宋_GB2312" w:cs="仿宋_GB2312" w:eastAsia="仿宋_GB2312"/>
                <w:sz w:val="21"/>
              </w:rPr>
              <w:t xml:space="preserve">   5. 《公路工程施工监理规范》(JTG C10-2016)；</w:t>
            </w:r>
          </w:p>
          <w:p>
            <w:pPr>
              <w:pStyle w:val="null3"/>
            </w:pPr>
            <w:r>
              <w:rPr>
                <w:rFonts w:ascii="仿宋_GB2312" w:hAnsi="仿宋_GB2312" w:cs="仿宋_GB2312" w:eastAsia="仿宋_GB2312"/>
                <w:sz w:val="21"/>
              </w:rPr>
              <w:t xml:space="preserve">   6. 工程前期立项、用地、环评、施工图审查等全部批复文件；</w:t>
            </w:r>
          </w:p>
          <w:p>
            <w:pPr>
              <w:pStyle w:val="null3"/>
            </w:pPr>
            <w:r>
              <w:rPr>
                <w:rFonts w:ascii="仿宋_GB2312" w:hAnsi="仿宋_GB2312" w:cs="仿宋_GB2312" w:eastAsia="仿宋_GB2312"/>
                <w:sz w:val="21"/>
              </w:rPr>
              <w:t xml:space="preserve">   7. 工程勘察设计文件、施工图纸、设计变更及技术交底资料；</w:t>
            </w:r>
          </w:p>
          <w:p>
            <w:pPr>
              <w:pStyle w:val="null3"/>
            </w:pPr>
            <w:r>
              <w:rPr>
                <w:rFonts w:ascii="仿宋_GB2312" w:hAnsi="仿宋_GB2312" w:cs="仿宋_GB2312" w:eastAsia="仿宋_GB2312"/>
                <w:sz w:val="21"/>
              </w:rPr>
              <w:t xml:space="preserve">   8. 发包人下发的管理制度、正式工作函件、项目会议纪要；</w:t>
            </w:r>
          </w:p>
          <w:p>
            <w:pPr>
              <w:pStyle w:val="null3"/>
            </w:pPr>
            <w:r>
              <w:rPr>
                <w:rFonts w:ascii="仿宋_GB2312" w:hAnsi="仿宋_GB2312" w:cs="仿宋_GB2312" w:eastAsia="仿宋_GB2312"/>
                <w:sz w:val="21"/>
              </w:rPr>
              <w:t xml:space="preserve">   9. 工程实施阶段新发布实施的国家、行业、地方新标准、新规范及发包人书面明确的其他管理要求。</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（四）适用规范标准</w:t>
            </w:r>
          </w:p>
          <w:p>
            <w:pPr>
              <w:pStyle w:val="null3"/>
            </w:pPr>
            <w:r>
              <w:rPr>
                <w:rFonts w:ascii="仿宋_GB2312" w:hAnsi="仿宋_GB2312" w:cs="仿宋_GB2312" w:eastAsia="仿宋_GB2312"/>
                <w:sz w:val="21"/>
              </w:rPr>
              <w:t xml:space="preserve">   1.</w:t>
            </w:r>
            <w:r>
              <w:rPr>
                <w:rFonts w:ascii="仿宋_GB2312" w:hAnsi="仿宋_GB2312" w:cs="仿宋_GB2312" w:eastAsia="仿宋_GB2312"/>
                <w:sz w:val="21"/>
              </w:rPr>
              <w:t>本项目监理、施工全过程须遵守国家、交通运输部及地方现行有效的公路工程相关法律、技术标准、规范、规程、试验检测评定标准、安全环保规范及强制性条文；</w:t>
            </w:r>
          </w:p>
          <w:p>
            <w:pPr>
              <w:pStyle w:val="null3"/>
            </w:pPr>
            <w:r>
              <w:rPr>
                <w:rFonts w:ascii="仿宋_GB2312" w:hAnsi="仿宋_GB2312" w:cs="仿宋_GB2312" w:eastAsia="仿宋_GB2312"/>
                <w:sz w:val="21"/>
              </w:rPr>
              <w:t xml:space="preserve">   2.</w:t>
            </w:r>
            <w:r>
              <w:rPr>
                <w:rFonts w:ascii="仿宋_GB2312" w:hAnsi="仿宋_GB2312" w:cs="仿宋_GB2312" w:eastAsia="仿宋_GB2312"/>
                <w:sz w:val="21"/>
              </w:rPr>
              <w:t>执行规范：《公路工程施工监理规范》（JTG C10—2016），同步严格执行波形梁护栏、交通标志标线、视线诱导设施等农村公路安防工程专项行业规范与标准；</w:t>
            </w:r>
          </w:p>
          <w:p>
            <w:pPr>
              <w:pStyle w:val="null3"/>
            </w:pPr>
            <w:r>
              <w:rPr>
                <w:rFonts w:ascii="仿宋_GB2312" w:hAnsi="仿宋_GB2312" w:cs="仿宋_GB2312" w:eastAsia="仿宋_GB2312"/>
                <w:sz w:val="21"/>
              </w:rPr>
              <w:t xml:space="preserve">   3.</w:t>
            </w:r>
            <w:r>
              <w:rPr>
                <w:rFonts w:ascii="仿宋_GB2312" w:hAnsi="仿宋_GB2312" w:cs="仿宋_GB2312" w:eastAsia="仿宋_GB2312"/>
                <w:sz w:val="21"/>
              </w:rPr>
              <w:t>标准适用优先级约定：同一技术内容新旧规范存在不一致时，优先执行最新版强制性标准；规范条文与本项目设计图纸、合同文件冲突时，以合同及施工图设计文件约定为准；项目建设期新发布实施的行业、地方标准、规范，建设单位有权要求监理单位同步遵照落实。</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标的名称：西乡县2026年农村公路安全生命防护工程监理服务第二合同段（堰口镇、峡口镇、沙河镇、大河镇）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（一）标段概况：</w:t>
            </w:r>
          </w:p>
          <w:p>
            <w:pPr>
              <w:pStyle w:val="null3"/>
            </w:pPr>
            <w:r>
              <w:rPr>
                <w:rFonts w:ascii="仿宋_GB2312" w:hAnsi="仿宋_GB2312" w:cs="仿宋_GB2312" w:eastAsia="仿宋_GB2312"/>
                <w:sz w:val="21"/>
                <w:color w:val="333333"/>
              </w:rPr>
              <w:t xml:space="preserve">    </w:t>
            </w:r>
            <w:r>
              <w:rPr>
                <w:rFonts w:ascii="仿宋_GB2312" w:hAnsi="仿宋_GB2312" w:cs="仿宋_GB2312" w:eastAsia="仿宋_GB2312"/>
                <w:color w:val="333333"/>
              </w:rPr>
              <w:t>西乡县2026年农村公路</w:t>
            </w:r>
            <w:r>
              <w:rPr>
                <w:rFonts w:ascii="仿宋_GB2312" w:hAnsi="仿宋_GB2312" w:cs="仿宋_GB2312" w:eastAsia="仿宋_GB2312"/>
                <w:sz w:val="21"/>
                <w:color w:val="333333"/>
              </w:rPr>
              <w:t>安全生命防护工程监理</w:t>
            </w:r>
            <w:r>
              <w:rPr>
                <w:rFonts w:ascii="仿宋_GB2312" w:hAnsi="仿宋_GB2312" w:cs="仿宋_GB2312" w:eastAsia="仿宋_GB2312"/>
                <w:sz w:val="21"/>
                <w:color w:val="333333"/>
              </w:rPr>
              <w:t>服务第二合同段（堰口</w:t>
            </w:r>
            <w:r>
              <w:rPr>
                <w:rFonts w:ascii="仿宋_GB2312" w:hAnsi="仿宋_GB2312" w:cs="仿宋_GB2312" w:eastAsia="仿宋_GB2312"/>
                <w:sz w:val="21"/>
                <w:color w:val="333333"/>
              </w:rPr>
              <w:t>镇、峡口镇、沙河镇、</w:t>
            </w:r>
            <w:r>
              <w:rPr>
                <w:rFonts w:ascii="仿宋_GB2312" w:hAnsi="仿宋_GB2312" w:cs="仿宋_GB2312" w:eastAsia="仿宋_GB2312"/>
                <w:sz w:val="21"/>
                <w:color w:val="333333"/>
              </w:rPr>
              <w:t>大河镇），负责116条</w:t>
            </w:r>
            <w:r>
              <w:rPr>
                <w:rFonts w:ascii="仿宋_GB2312" w:hAnsi="仿宋_GB2312" w:cs="仿宋_GB2312" w:eastAsia="仿宋_GB2312"/>
                <w:sz w:val="21"/>
                <w:color w:val="333333"/>
              </w:rPr>
              <w:t>农村公路161.249公里</w:t>
            </w:r>
            <w:r>
              <w:rPr>
                <w:rFonts w:ascii="仿宋_GB2312" w:hAnsi="仿宋_GB2312" w:cs="仿宋_GB2312" w:eastAsia="仿宋_GB2312"/>
                <w:sz w:val="21"/>
                <w:color w:val="333333"/>
              </w:rPr>
              <w:t>隐患路段的安防施工监</w:t>
            </w:r>
            <w:r>
              <w:rPr>
                <w:rFonts w:ascii="仿宋_GB2312" w:hAnsi="仿宋_GB2312" w:cs="仿宋_GB2312" w:eastAsia="仿宋_GB2312"/>
                <w:sz w:val="21"/>
                <w:color w:val="333333"/>
              </w:rPr>
              <w:t>理。</w:t>
            </w:r>
            <w:r>
              <w:rPr>
                <w:rFonts w:ascii="仿宋_GB2312" w:hAnsi="仿宋_GB2312" w:cs="仿宋_GB2312" w:eastAsia="仿宋_GB2312"/>
                <w:sz w:val="21"/>
                <w:color w:val="333333"/>
              </w:rPr>
              <w:t>其中堰口镇共62条路线，实施里程合计78.746km；峡口镇13条农村公路，实施里程合计13.755公里；大河镇8条农村公路，实施里程合计17.964公里；沙河镇33条农村公路，实施里程合计50.784公里。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施工主要内容</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工程主要对急弯、陡坡、视距不良、路侧险要等危险路段设置安全防护设施，包括波形梁护栏、交通标志、标线及视线诱导设施等。(具体以工程量清单及施工图纸为准)。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（三）监理依据：</w:t>
            </w:r>
          </w:p>
          <w:p>
            <w:pPr>
              <w:pStyle w:val="null3"/>
            </w:pPr>
            <w:r>
              <w:rPr>
                <w:rFonts w:ascii="仿宋_GB2312" w:hAnsi="仿宋_GB2312" w:cs="仿宋_GB2312" w:eastAsia="仿宋_GB2312"/>
                <w:sz w:val="21"/>
              </w:rPr>
              <w:t xml:space="preserve">   1. 国家和地方现行法律、行政法规、规章；</w:t>
            </w:r>
          </w:p>
          <w:p>
            <w:pPr>
              <w:pStyle w:val="null3"/>
            </w:pPr>
            <w:r>
              <w:rPr>
                <w:rFonts w:ascii="仿宋_GB2312" w:hAnsi="仿宋_GB2312" w:cs="仿宋_GB2312" w:eastAsia="仿宋_GB2312"/>
                <w:sz w:val="21"/>
              </w:rPr>
              <w:t xml:space="preserve">   2. 国家、交通运输行业及地方现行有效的标准、规范、规程、试验检测相关文件；</w:t>
            </w:r>
          </w:p>
          <w:p>
            <w:pPr>
              <w:pStyle w:val="null3"/>
            </w:pPr>
            <w:r>
              <w:rPr>
                <w:rFonts w:ascii="仿宋_GB2312" w:hAnsi="仿宋_GB2312" w:cs="仿宋_GB2312" w:eastAsia="仿宋_GB2312"/>
                <w:sz w:val="21"/>
              </w:rPr>
              <w:t xml:space="preserve">   3. 本项目监理招标文件、答疑补遗书、中标通知书及签订后的监理合同；</w:t>
            </w:r>
          </w:p>
          <w:p>
            <w:pPr>
              <w:pStyle w:val="null3"/>
            </w:pPr>
            <w:r>
              <w:rPr>
                <w:rFonts w:ascii="仿宋_GB2312" w:hAnsi="仿宋_GB2312" w:cs="仿宋_GB2312" w:eastAsia="仿宋_GB2312"/>
                <w:sz w:val="21"/>
              </w:rPr>
              <w:t xml:space="preserve">   4. 本项目后续签订的工程施工合同；</w:t>
            </w:r>
          </w:p>
          <w:p>
            <w:pPr>
              <w:pStyle w:val="null3"/>
            </w:pPr>
            <w:r>
              <w:rPr>
                <w:rFonts w:ascii="仿宋_GB2312" w:hAnsi="仿宋_GB2312" w:cs="仿宋_GB2312" w:eastAsia="仿宋_GB2312"/>
                <w:sz w:val="21"/>
              </w:rPr>
              <w:t xml:space="preserve">   5. 《公路工程施工监理规范》(JTG C10-2016)；</w:t>
            </w:r>
          </w:p>
          <w:p>
            <w:pPr>
              <w:pStyle w:val="null3"/>
            </w:pPr>
            <w:r>
              <w:rPr>
                <w:rFonts w:ascii="仿宋_GB2312" w:hAnsi="仿宋_GB2312" w:cs="仿宋_GB2312" w:eastAsia="仿宋_GB2312"/>
                <w:sz w:val="21"/>
              </w:rPr>
              <w:t xml:space="preserve">   6. 工程前期立项、用地、环评、施工图审查等全部批复文件；</w:t>
            </w:r>
          </w:p>
          <w:p>
            <w:pPr>
              <w:pStyle w:val="null3"/>
            </w:pPr>
            <w:r>
              <w:rPr>
                <w:rFonts w:ascii="仿宋_GB2312" w:hAnsi="仿宋_GB2312" w:cs="仿宋_GB2312" w:eastAsia="仿宋_GB2312"/>
                <w:sz w:val="21"/>
              </w:rPr>
              <w:t xml:space="preserve">   7. 工程勘察设计文件、施工图纸、设计变更及技术交底资料；</w:t>
            </w:r>
          </w:p>
          <w:p>
            <w:pPr>
              <w:pStyle w:val="null3"/>
            </w:pPr>
            <w:r>
              <w:rPr>
                <w:rFonts w:ascii="仿宋_GB2312" w:hAnsi="仿宋_GB2312" w:cs="仿宋_GB2312" w:eastAsia="仿宋_GB2312"/>
                <w:sz w:val="21"/>
              </w:rPr>
              <w:t xml:space="preserve">   8. 发包人下发的管理制度、正式工作函件、项目会议纪要；</w:t>
            </w:r>
          </w:p>
          <w:p>
            <w:pPr>
              <w:pStyle w:val="null3"/>
            </w:pPr>
            <w:r>
              <w:rPr>
                <w:rFonts w:ascii="仿宋_GB2312" w:hAnsi="仿宋_GB2312" w:cs="仿宋_GB2312" w:eastAsia="仿宋_GB2312"/>
                <w:sz w:val="21"/>
              </w:rPr>
              <w:t xml:space="preserve">   9. 工程实施阶段新发布实施的国家、行业、地方新标准、新规范及发包人书面明确的其他管理要求。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（四）适用规范标准</w:t>
            </w:r>
          </w:p>
          <w:p>
            <w:pPr>
              <w:pStyle w:val="null3"/>
            </w:pPr>
            <w:r>
              <w:rPr>
                <w:rFonts w:ascii="仿宋_GB2312" w:hAnsi="仿宋_GB2312" w:cs="仿宋_GB2312" w:eastAsia="仿宋_GB2312"/>
                <w:sz w:val="21"/>
              </w:rPr>
              <w:t xml:space="preserve">   1.</w:t>
            </w:r>
            <w:r>
              <w:rPr>
                <w:rFonts w:ascii="仿宋_GB2312" w:hAnsi="仿宋_GB2312" w:cs="仿宋_GB2312" w:eastAsia="仿宋_GB2312"/>
                <w:sz w:val="21"/>
              </w:rPr>
              <w:t>本项目监理、施工全过程须遵守国家、交通运输部及地方现行有效的公路工程相关法律、技术标准、规范、规程、试验检测评定标准、安全环保规范及强制性条文；</w:t>
            </w:r>
          </w:p>
          <w:p>
            <w:pPr>
              <w:pStyle w:val="null3"/>
            </w:pPr>
            <w:r>
              <w:rPr>
                <w:rFonts w:ascii="仿宋_GB2312" w:hAnsi="仿宋_GB2312" w:cs="仿宋_GB2312" w:eastAsia="仿宋_GB2312"/>
                <w:sz w:val="21"/>
              </w:rPr>
              <w:t xml:space="preserve">   2.</w:t>
            </w:r>
            <w:r>
              <w:rPr>
                <w:rFonts w:ascii="仿宋_GB2312" w:hAnsi="仿宋_GB2312" w:cs="仿宋_GB2312" w:eastAsia="仿宋_GB2312"/>
                <w:sz w:val="21"/>
              </w:rPr>
              <w:t>执行规范：《公路工程施工监理规范》（JTG C10—2016），同步严格执行波形梁护栏、交通标志标线、视线诱导设施等农村公路安防工程专项行业规范与标准；</w:t>
            </w:r>
          </w:p>
          <w:p>
            <w:pPr>
              <w:pStyle w:val="null3"/>
            </w:pPr>
            <w:r>
              <w:rPr>
                <w:rFonts w:ascii="仿宋_GB2312" w:hAnsi="仿宋_GB2312" w:cs="仿宋_GB2312" w:eastAsia="仿宋_GB2312"/>
                <w:sz w:val="21"/>
              </w:rPr>
              <w:t xml:space="preserve">   3.</w:t>
            </w:r>
            <w:r>
              <w:rPr>
                <w:rFonts w:ascii="仿宋_GB2312" w:hAnsi="仿宋_GB2312" w:cs="仿宋_GB2312" w:eastAsia="仿宋_GB2312"/>
                <w:sz w:val="21"/>
              </w:rPr>
              <w:t>标准适用优先级约定：同一技术内容新旧规范存在不一致时，优先执行最新版强制性标准；规范条文与本项目设计图纸、合同文件冲突时，以合同及施工图设计文件约定为准；项目建设期新发布实施的行业、地方标准、规范，建设单位有权要求监理单位同步遵照落实。</w:t>
            </w:r>
          </w:p>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标的名称：西乡县2026年农村公路安全生命防护工程监理服务第三合同段（白龙塘镇、桑园镇、子午镇）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（一）标段概况：</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西乡县2026年农村公路安全生命防护工程监理服务</w:t>
            </w:r>
            <w:r>
              <w:rPr>
                <w:rFonts w:ascii="仿宋_GB2312" w:hAnsi="仿宋_GB2312" w:cs="仿宋_GB2312" w:eastAsia="仿宋_GB2312"/>
                <w:sz w:val="21"/>
                <w:color w:val="333333"/>
              </w:rPr>
              <w:t>第三合同段（白龙</w:t>
            </w:r>
            <w:r>
              <w:rPr>
                <w:rFonts w:ascii="仿宋_GB2312" w:hAnsi="仿宋_GB2312" w:cs="仿宋_GB2312" w:eastAsia="仿宋_GB2312"/>
                <w:sz w:val="21"/>
                <w:color w:val="333333"/>
              </w:rPr>
              <w:t>塘镇、桑园镇、子午</w:t>
            </w:r>
            <w:r>
              <w:rPr>
                <w:rFonts w:ascii="仿宋_GB2312" w:hAnsi="仿宋_GB2312" w:cs="仿宋_GB2312" w:eastAsia="仿宋_GB2312"/>
                <w:sz w:val="21"/>
                <w:color w:val="333333"/>
              </w:rPr>
              <w:t>镇），负责67条农村公</w:t>
            </w:r>
            <w:r>
              <w:rPr>
                <w:rFonts w:ascii="仿宋_GB2312" w:hAnsi="仿宋_GB2312" w:cs="仿宋_GB2312" w:eastAsia="仿宋_GB2312"/>
                <w:sz w:val="21"/>
                <w:color w:val="333333"/>
              </w:rPr>
              <w:t>路134.554公里隐患路</w:t>
            </w:r>
            <w:r>
              <w:rPr>
                <w:rFonts w:ascii="仿宋_GB2312" w:hAnsi="仿宋_GB2312" w:cs="仿宋_GB2312" w:eastAsia="仿宋_GB2312"/>
                <w:sz w:val="21"/>
                <w:color w:val="333333"/>
              </w:rPr>
              <w:t>段的安防施工监理</w:t>
            </w:r>
            <w:r>
              <w:rPr>
                <w:rFonts w:ascii="仿宋_GB2312" w:hAnsi="仿宋_GB2312" w:cs="仿宋_GB2312" w:eastAsia="仿宋_GB2312"/>
                <w:sz w:val="21"/>
              </w:rPr>
              <w:t>。</w:t>
            </w:r>
            <w:r>
              <w:rPr>
                <w:rFonts w:ascii="仿宋_GB2312" w:hAnsi="仿宋_GB2312" w:cs="仿宋_GB2312" w:eastAsia="仿宋_GB2312"/>
                <w:sz w:val="21"/>
              </w:rPr>
              <w:t>其中白龙塘镇19条农村公路，实施里程合计35.677公里；桑园镇23条农村公路，实施里程合计42.614公里；子午镇共25条农村公路，实施里程合计56.263公里。</w:t>
            </w:r>
          </w:p>
          <w:p>
            <w:pPr>
              <w:pStyle w:val="null3"/>
            </w:pPr>
            <w:r>
              <w:rPr>
                <w:rFonts w:ascii="仿宋_GB2312" w:hAnsi="仿宋_GB2312" w:cs="仿宋_GB2312" w:eastAsia="仿宋_GB2312"/>
                <w:sz w:val="21"/>
                <w:color w:val="333333"/>
              </w:rPr>
              <w:t xml:space="preserve">   </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施工主要内容</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工程主要对急弯、陡坡、视距不良、路侧险要等危险路段设置安全防护设施，包括波形梁护栏、交通标志、标线及视线诱导设施等。(具体以工程量清单及施工图纸为准)。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（三）监理依据：</w:t>
            </w:r>
          </w:p>
          <w:p>
            <w:pPr>
              <w:pStyle w:val="null3"/>
            </w:pPr>
            <w:r>
              <w:rPr>
                <w:rFonts w:ascii="仿宋_GB2312" w:hAnsi="仿宋_GB2312" w:cs="仿宋_GB2312" w:eastAsia="仿宋_GB2312"/>
                <w:sz w:val="21"/>
              </w:rPr>
              <w:t xml:space="preserve">   1. 国家和地方现行法律、行政法规、规章；</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 国家、交通运输行业及地方现行有效的标准、规范、规程、试验检测相关文件；</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3. 本项目监理招标文件、答疑补遗书、中标通知书及签订后的监理合同；</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4. 本项目后续签订的工程施工合同；</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5. 《公路工程施工监理规范》(JTG C10-2016)；</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6. 工程前期立项、用地、环评、施工图审查等全部批复文件；</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7. 工程勘察设计文件、施工图纸、设计变更及技术交底资料；</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8. 发包人下发的管理制度、正式工作函件、项目会议纪要；</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9. 工程实施阶段新发布实施的国家、行业、地方新标准、新规范及发包人书面明确的其他管理要求。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（四）适用规范标准</w:t>
            </w:r>
          </w:p>
          <w:p>
            <w:pPr>
              <w:pStyle w:val="null3"/>
            </w:pPr>
            <w:r>
              <w:rPr>
                <w:rFonts w:ascii="仿宋_GB2312" w:hAnsi="仿宋_GB2312" w:cs="仿宋_GB2312" w:eastAsia="仿宋_GB2312"/>
                <w:sz w:val="21"/>
              </w:rPr>
              <w:t xml:space="preserve">   1.本项目监理、施工全过程须遵守国家、交通运输部及地方现行有效的公路工程相关法律、技术标准、规范、规程、试验检测评定标准、安全环保规范及强制性条文；</w:t>
            </w:r>
          </w:p>
          <w:p>
            <w:pPr>
              <w:pStyle w:val="null3"/>
            </w:pPr>
            <w:r>
              <w:rPr>
                <w:rFonts w:ascii="仿宋_GB2312" w:hAnsi="仿宋_GB2312" w:cs="仿宋_GB2312" w:eastAsia="仿宋_GB2312"/>
                <w:sz w:val="21"/>
              </w:rPr>
              <w:t xml:space="preserve">   2.执行规范：《公路工程施工监理规范》（JTG C10—2016），同步严格执行波形梁护栏、交通标志标线、视线诱导设施等农村公路安防工程专项行业规范与标准；</w:t>
            </w:r>
          </w:p>
          <w:p>
            <w:pPr>
              <w:pStyle w:val="null3"/>
            </w:pPr>
            <w:r>
              <w:rPr>
                <w:rFonts w:ascii="仿宋_GB2312" w:hAnsi="仿宋_GB2312" w:cs="仿宋_GB2312" w:eastAsia="仿宋_GB2312"/>
                <w:sz w:val="21"/>
              </w:rPr>
              <w:t xml:space="preserve">   3.标准适用优先级约定：同一技术内容新旧规范存在不一致时，优先执行最新版强制性标准；规范条文与本项目设计图纸、合同文件冲突时，以合同及施工图设计文件约定为准；项目建设期新发布实施的行业、地方标准、规范，建设单位有权要求监理单位同步遵照落实。</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供应商提供满足本项目实施的人员配置。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供应商提供满足本项目实施的设施设备。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施工全过程监理服务，涵盖施工准备、施工、交竣工验收及缺陷责任期全部监理工作，包含非监理人原因引发工程延期的配套监理服务，延期不再另行计费。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施工全过程监理服务，涵盖施工准备、施工、交竣工验收及缺陷责任期全部监理工作，包含非监理人原因引发工程延期的配套监理服务，延期不再另行计费。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施工全过程监理服务，涵盖施工准备、施工、交竣工验收及缺陷责任期全部监理工作，包含非监理人原因引发工程延期的配套监理服务，延期不再另行计费。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严格按照国家、行业现行规范标准及采购合同约定，通过资料审核、现场核查方式完成验收交付。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严格按照国家、行业现行规范标准及采购合同约定，通过资料审核、现场核查方式完成验收交付。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严格按照国家、行业现行规范标准及采购合同约定，通过资料审核、现场核查方式完成验收交付。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进度款，竣（交）工验收合格，达到付款条件起30个工作日内，支付合同总金额的100.0%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进度款，竣（交）工验收合格，达到付款条件起30个工作日内，支付合同总金额的100.0%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竣（交）工验收合格，达到付款条件起30个工作日内，支付合同总金额的100.0%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一、违约责任：合同签订时约定。二、解决争议的方法：合同在履行过程中发生的争议，当事人双方应协商解决，协商达不成一致时，可向采购方所在地人民法院提请诉讼。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一、违约责任：合同签订时约定。二、解决争议的方法：合同在履行过程中发生的争议，当事人双方应协商解决，协商达不成一致时，可向采购方所在地人民法院提请诉讼。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一、违约责任：合同签订时约定。二、解决争议的方法：合同在履行过程中发生的争议，当事人双方应协商解决，协商达不成一致时，可向采购方所在地人民法院提请诉讼。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供应商具备工程监理综合资质或交通运输行业主管部门颁发的公路工程专业监理乙级及以上资质。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拟派项目总监理工程师须具备交通运输专业监理工程师证书或交通行业主管部门核发的监理工程师资格证书，且在本单位注册并未担任其他在建项目的总监理工程师（提供承诺书）。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供应商具备工程监理综合资质或交通运输行业主管部门颁发的公路工程专业监理乙级及以上资质。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拟派项目总监理工程师须具备交通运输专业监理工程师证书或交通行业主管部门核发的监理工程师资格证书，且在本单位注册并未担任其他在建项目的总监理工程师（提供承诺书）。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供应商具备工程监理综合资质或交通运输行业主管部门颁发的公路工程专业监理乙级及以上资质。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拟派项目总监理工程师须具备交通运输专业监理工程师证书或交通行业主管部门核发的监理工程师资格证书，且在本单位注册并未担任其他在建项目的总监理工程师（提供承诺书）。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（企业业绩）业绩一览表.docx 项目团队人员配备表.docx 响应文件封面 供应商应提交的相关资格证明材料.docx 残疾人福利性单位声明函 标的清单 项目总监简历表.docx 服务内容及服务要求应答表.docx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（企业业绩）业绩一览表.docx 项目团队人员配备表.docx 响应文件封面 供应商应提交的相关资格证明材料.docx 残疾人福利性单位声明函 标的清单 项目总监简历表.docx 服务内容及服务要求应答表.docx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供应商应提交的相关资格证明材料.docx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（企业业绩）业绩一览表.docx 项目团队人员配备表.docx 响应文件封面 供应商应提交的相关资格证明材料.docx 残疾人福利性单位声明函 标的清单 项目总监简历表.docx 服务内容及服务要求应答表.docx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（企业业绩）业绩一览表.docx 项目团队人员配备表.docx 响应文件封面 供应商应提交的相关资格证明材料.docx 残疾人福利性单位声明函 标的清单 项目总监简历表.docx 服务内容及服务要求应答表.docx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标的清单 服务内容及服务要求应答表.docx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（企业业绩）业绩一览表.docx 项目团队人员配备表.docx 响应文件封面 供应商应提交的相关资格证明材料.docx 残疾人福利性单位声明函 标的清单 项目总监简历表.docx 服务内容及服务要求应答表.docx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（企业业绩）业绩一览表.docx 项目团队人员配备表.docx 响应文件封面 供应商应提交的相关资格证明材料.docx 残疾人福利性单位声明函 标的清单 项目总监简历表.docx 服务内容及服务要求应答表.docx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供应商应提交的相关资格证明材料.docx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一、评审内容：针对本项目特点制定监理大纲，包含①监理工作范围及内容；②监理工作目标；③监理工作依据；④监理工作程序；⑤监理工作制度；⑥进度计划安排；⑦进度保障措施；⑧ 拟投入仪器及设备；⑨工程资料管理措施；⑩沟通机制、沟通措施及沟通优势（施工矛盾协调），针对施工中各种矛盾组织协调具有明确沟通方法与方式。二、赋分标准： 1.完整性：对上述每小项内容均有描述，得5分；每缺1项扣0.5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施工安全及文明监督措施</w:t>
            </w:r>
          </w:p>
        </w:tc>
        <w:tc>
          <w:tcPr>
            <w:tcW w:type="dxa" w:w="2492"/>
          </w:tcPr>
          <w:p>
            <w:pPr>
              <w:pStyle w:val="null3"/>
            </w:pPr>
            <w:r>
              <w:rPr>
                <w:rFonts w:ascii="仿宋_GB2312" w:hAnsi="仿宋_GB2312" w:cs="仿宋_GB2312" w:eastAsia="仿宋_GB2312"/>
              </w:rPr>
              <w:t>一、评审内容：供应商针对本项目提供施工安全及文明监督措施：包含①施工安全监督管理；②文明施工管理及环境保护制度；③治污减霾监督管理措施。二、赋分标准： 1.完整性：对上述每小项内容均有描述，得3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一、评审内容：供应商针对本项目提供应急预案，包含①突发性事件应急处置预案；②暴雨等专项防汛应急预案。 二、赋分标准： 1.完整性：对上述每小项内容均有描述，得1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一、评审内容：针对本项目服务内容制定监理工作制度，包括①监理岗位责任制度；②图纸会审、设计交底制度；③施工方案审查审批制度；④原材料进场验收与见证取样制度；⑤巡视、旁站、平行检验制度；⑥工序报验与隐蔽工程验收制度；⑦工地例会与专题协调会议制度；⑧工程变更、签证管理制度；⑨安全生产、占道施工巡查制度；⑩进度管控预警制度；⑪工程计量支付复核制度；⑫监理内业、资料管理制度； ⑬监理通知单闭环整改复查制度；⑭缺陷责任期巡查回访制度；⑮廉洁自律管理制度；⑯应急处置值班制度。 二、赋分标准： 以上各项内容均有描述，得16分；每缺1项扣1分，扣完为止。此项不提供不得分。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工作的服务承诺，包括不限于：①人员驻场服务承诺；②质量管控服务承诺；③进度管控服务承诺；④安全生产与交通疏导承诺；⑤资料管理服务承诺；⑥多方沟通协调服务承诺；⑦仪器设备投入承诺；⑧造价与合同管理承诺；⑨缺陷责任期服务承诺；⑩廉洁从业服务承诺⑪应急保障承诺。二、赋分标准： 以上各项内容均有描述，得11分；每缺1项扣1分，扣完为止。此项不提供不得分。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拟派项目总监</w:t>
            </w:r>
          </w:p>
        </w:tc>
        <w:tc>
          <w:tcPr>
            <w:tcW w:type="dxa" w:w="2492"/>
          </w:tcPr>
          <w:p>
            <w:pPr>
              <w:pStyle w:val="null3"/>
            </w:pPr>
            <w:r>
              <w:rPr>
                <w:rFonts w:ascii="仿宋_GB2312" w:hAnsi="仿宋_GB2312" w:cs="仿宋_GB2312" w:eastAsia="仿宋_GB2312"/>
              </w:rPr>
              <w:t>1.具备（交通工程类）中级及以上职称得5分，未提供得0分。（ 注：响应文件内附技术职称证书复印件并加盖企业公章。） 2.提供2023年7月1日至今类似项目业绩，每提供1份有效业绩得2.5分，满分5分，未提供得0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项目总监简历表.docx</w:t>
            </w:r>
          </w:p>
          <w:p>
            <w:pPr>
              <w:pStyle w:val="null3"/>
            </w:pPr>
            <w:r>
              <w:rPr>
                <w:rFonts w:ascii="仿宋_GB2312" w:hAnsi="仿宋_GB2312" w:cs="仿宋_GB2312" w:eastAsia="仿宋_GB2312"/>
              </w:rPr>
              <w:t>（总监理工程师）业绩一览表.docx</w:t>
            </w:r>
          </w:p>
        </w:tc>
      </w:tr>
      <w:tr>
        <w:tc>
          <w:tcPr>
            <w:tcW w:type="dxa" w:w="831"/>
            <w:vMerge/>
          </w:tcPr>
          <w:p/>
        </w:tc>
        <w:tc>
          <w:tcPr>
            <w:tcW w:type="dxa" w:w="1661"/>
          </w:tcPr>
          <w:p>
            <w:pPr>
              <w:pStyle w:val="null3"/>
            </w:pPr>
            <w:r>
              <w:rPr>
                <w:rFonts w:ascii="仿宋_GB2312" w:hAnsi="仿宋_GB2312" w:cs="仿宋_GB2312" w:eastAsia="仿宋_GB2312"/>
              </w:rPr>
              <w:t>拟投入团队人员</w:t>
            </w:r>
          </w:p>
        </w:tc>
        <w:tc>
          <w:tcPr>
            <w:tcW w:type="dxa" w:w="2492"/>
          </w:tcPr>
          <w:p>
            <w:pPr>
              <w:pStyle w:val="null3"/>
            </w:pPr>
            <w:r>
              <w:rPr>
                <w:rFonts w:ascii="仿宋_GB2312" w:hAnsi="仿宋_GB2312" w:cs="仿宋_GB2312" w:eastAsia="仿宋_GB2312"/>
              </w:rPr>
              <w:t>拟投入团队人员中，除项目总监理工程师外，配备的监理人员具有工程类中级及以上职称得2分，最高得8分，未提供得0分。 注：以上人员须提供相关证明材料，技术职称证书及社保缴纳证明，未提供不得分。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提供2023年7月1日以来完成的类似项目业绩：每有一个类似项目业绩得2.5分,最高5分。无此项内容不得分。 （注：业绩证明材料以中标（成交）通知书或合同协议书为准，磋商响应文件中附中标（成交）通知书或合同协议书复印件并加盖企业公章。）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一、评审内容：针对本项目特点制定监理大纲，包含①监理工作范围及内容；②监理工作目标；③监理工作依据；④监理工作程序；⑤监理工作制度；⑥进度计划安排；⑦进度保障措施；⑧ 拟投入仪器及设备；⑨工程资料管理措施；⑩沟通机制、沟通措施及沟通优势（施工矛盾协调），针对施工中各种矛盾组织协调具有明确沟通方法与方式。二、赋分标准： 1.完整性：对上述每小项内容均有描述，得5分；每缺1项扣0.5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施工安全及文明监督措施</w:t>
            </w:r>
          </w:p>
        </w:tc>
        <w:tc>
          <w:tcPr>
            <w:tcW w:type="dxa" w:w="2492"/>
          </w:tcPr>
          <w:p>
            <w:pPr>
              <w:pStyle w:val="null3"/>
            </w:pPr>
            <w:r>
              <w:rPr>
                <w:rFonts w:ascii="仿宋_GB2312" w:hAnsi="仿宋_GB2312" w:cs="仿宋_GB2312" w:eastAsia="仿宋_GB2312"/>
              </w:rPr>
              <w:t>一、评审内容：供应商针对本项目提供施工安全及文明监督措施：包含①施工安全监督管理；②文明施工管理及环境保护制度；③治污减霾监督管理措施。二、赋分标准： 1.完整性：对上述每小项内容均有描述，得3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一、评审内容：供应商针对本项目提供应急预案，包含①突发性事件应急处置预案；②暴雨等专项防汛应急预案。 二、赋分标准： 1.完整性：对上述每小项内容均有描述，得1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一、评审内容：针对本项目服务内容制定监理工作制度，包括①监理岗位责任制度；②图纸会审、设计交底制度；③施工方案审查审批制度；④原材料进场验收与见证取样制度；⑤巡视、旁站、平行检验制度；⑥工序报验与隐蔽工程验收制度；⑦工地例会与专题协调会议制度；⑧工程变更、签证管理制度；⑨安全生产、占道施工巡查制度；⑩进度管控预警制度；⑪工程计量支付复核制度；⑫监理内业、资料管理制度； ⑬监理通知单闭环整改复查制度；⑭缺陷责任期巡查回访制度；⑮廉洁自律管理制度；⑯应急处置值班制度。 二、赋分标准： 以上各项内容均有描述，得16分；每缺1项扣1分，扣完为止。此项不提供不得分。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工作的服务承诺，包括不限于：①人员驻场服务承诺；②质量管控服务承诺；③进度管控服务承诺；④安全生产与交通疏导承诺；⑤资料管理服务承诺；⑥多方沟通协调服务承诺；⑦仪器设备投入承诺；⑧造价与合同管理承诺；⑨缺陷责任期服务承诺；⑩廉洁从业服务承诺⑪应急保障承诺。二、赋分标准： 以上各项内容均有描述，得11分；每缺1项扣1分，扣完为止。此项不提供不得分。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拟派项目总监</w:t>
            </w:r>
          </w:p>
        </w:tc>
        <w:tc>
          <w:tcPr>
            <w:tcW w:type="dxa" w:w="2492"/>
          </w:tcPr>
          <w:p>
            <w:pPr>
              <w:pStyle w:val="null3"/>
            </w:pPr>
            <w:r>
              <w:rPr>
                <w:rFonts w:ascii="仿宋_GB2312" w:hAnsi="仿宋_GB2312" w:cs="仿宋_GB2312" w:eastAsia="仿宋_GB2312"/>
              </w:rPr>
              <w:t>1.具备（交通工程类）中级及以上职称得5分，未提供得0分。（ 注：响应文件内附技术职称证书复印件并加盖企业公章。） 2.提供2023年7月1日至今类似项目业绩，每提供1份有效业绩得2.5分，满分5分，未提供得0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项目总监简历表.docx</w:t>
            </w:r>
          </w:p>
          <w:p>
            <w:pPr>
              <w:pStyle w:val="null3"/>
            </w:pPr>
            <w:r>
              <w:rPr>
                <w:rFonts w:ascii="仿宋_GB2312" w:hAnsi="仿宋_GB2312" w:cs="仿宋_GB2312" w:eastAsia="仿宋_GB2312"/>
              </w:rPr>
              <w:t>（总监理工程师）业绩一览表.docx</w:t>
            </w:r>
          </w:p>
        </w:tc>
      </w:tr>
      <w:tr>
        <w:tc>
          <w:tcPr>
            <w:tcW w:type="dxa" w:w="831"/>
            <w:vMerge/>
          </w:tcPr>
          <w:p/>
        </w:tc>
        <w:tc>
          <w:tcPr>
            <w:tcW w:type="dxa" w:w="1661"/>
          </w:tcPr>
          <w:p>
            <w:pPr>
              <w:pStyle w:val="null3"/>
            </w:pPr>
            <w:r>
              <w:rPr>
                <w:rFonts w:ascii="仿宋_GB2312" w:hAnsi="仿宋_GB2312" w:cs="仿宋_GB2312" w:eastAsia="仿宋_GB2312"/>
              </w:rPr>
              <w:t>拟投入团队人员</w:t>
            </w:r>
          </w:p>
        </w:tc>
        <w:tc>
          <w:tcPr>
            <w:tcW w:type="dxa" w:w="2492"/>
          </w:tcPr>
          <w:p>
            <w:pPr>
              <w:pStyle w:val="null3"/>
            </w:pPr>
            <w:r>
              <w:rPr>
                <w:rFonts w:ascii="仿宋_GB2312" w:hAnsi="仿宋_GB2312" w:cs="仿宋_GB2312" w:eastAsia="仿宋_GB2312"/>
              </w:rPr>
              <w:t>拟投入团队人员中，除项目总监理工程师外，配备的监理人员具有工程类中级及以上职称得2分，最高得8分，未提供得0分。 注：以上人员须提供相关证明材料，技术职称证书及社保缴纳证明，未提供不得分。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提供2023年7月1日以来完成的类似项目业绩：每有一个类似项目业绩得2.5分,最高5分。无此项内容不得分。 （注：业绩证明材料以中标（成交）通知书或合同协议书为准，磋商响应文件中附中标（成交）通知书或合同协议书复印件并加盖企业公章。）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一、评审内容：针对本项目特点制定监理大纲，包含①监理工作范围及内容；②监理工作目标；③监理工作依据；④监理工作程序；⑤监理工作制度；⑥进度计划安排；⑦进度保障措施；⑧ 拟投入仪器及设备；⑨工程资料管理措施；⑩沟通机制、沟通措施及沟通优势（施工矛盾协调），针对施工中各种矛盾组织协调具有明确沟通方法与方式。二、赋分标准： 1.完整性：对上述每小项内容均有描述，得5分；每缺1项扣0.5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施工安全及文明监督措施</w:t>
            </w:r>
          </w:p>
        </w:tc>
        <w:tc>
          <w:tcPr>
            <w:tcW w:type="dxa" w:w="2492"/>
          </w:tcPr>
          <w:p>
            <w:pPr>
              <w:pStyle w:val="null3"/>
            </w:pPr>
            <w:r>
              <w:rPr>
                <w:rFonts w:ascii="仿宋_GB2312" w:hAnsi="仿宋_GB2312" w:cs="仿宋_GB2312" w:eastAsia="仿宋_GB2312"/>
              </w:rPr>
              <w:t>一、评审内容：供应商针对本项目提供施工安全及文明监督措施：包含①施工安全监督管理；②文明施工管理及环境保护制度；③治污减霾监督管理措施。二、赋分标准： 1.完整性：对上述每小项内容均有描述，得3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一、评审内容：供应商针对本项目提供应急预案，包含①突发性事件应急处置预案；②暴雨等专项防汛应急预案。 二、赋分标准： 1.完整性：对上述每小项内容均有描述，得1分；每缺1项扣1分，扣完为止。此项不提供不得分。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一、评审内容：针对本项目服务内容制定监理工作制度，包括①监理岗位责任制度；②图纸会审、设计交底制度；③施工方案审查审批制度；④原材料进场验收与见证取样制度；⑤巡视、旁站、平行检验制度；⑥工序报验与隐蔽工程验收制度；⑦工地例会与专题协调会议制度；⑧工程变更、签证管理制度；⑨安全生产、占道施工巡查制度；⑩进度管控预警制度；⑪工程计量支付复核制度；⑫监理内业、资料管理制度； ⑬监理通知单闭环整改复查制度；⑭缺陷责任期巡查回访制度；⑮廉洁自律管理制度；⑯应急处置值班制度。 二、赋分标准： 以上各项内容均有描述，得16分；每缺1项扣1分，扣完为止。此项不提供不得分。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工作的服务承诺，包括不限于：①人员驻场服务承诺；②质量管控服务承诺；③进度管控服务承诺；④安全生产与交通疏导承诺；⑤资料管理服务承诺；⑥多方沟通协调服务承诺；⑦仪器设备投入承诺；⑧造价与合同管理承诺；⑨缺陷责任期服务承诺；⑩廉洁从业服务承诺⑪应急保障承诺。二、赋分标准： 以上各项内容均有描述，得11分；每缺1项扣1分，扣完为止。此项不提供不得分。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拟派项目总监</w:t>
            </w:r>
          </w:p>
        </w:tc>
        <w:tc>
          <w:tcPr>
            <w:tcW w:type="dxa" w:w="2492"/>
          </w:tcPr>
          <w:p>
            <w:pPr>
              <w:pStyle w:val="null3"/>
            </w:pPr>
            <w:r>
              <w:rPr>
                <w:rFonts w:ascii="仿宋_GB2312" w:hAnsi="仿宋_GB2312" w:cs="仿宋_GB2312" w:eastAsia="仿宋_GB2312"/>
              </w:rPr>
              <w:t>1.具备（交通工程类）中级及以上职称得5分，未提供得0分。（ 注：响应文件内附技术职称证书复印件并加盖企业公章。） 2.提供2023年7月1日至今类似项目业绩，每提供1份有效业绩得2.5分，满分5分，未提供得0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（总监理工程师）业绩一览表.docx</w:t>
            </w:r>
          </w:p>
          <w:p>
            <w:pPr>
              <w:pStyle w:val="null3"/>
            </w:pPr>
            <w:r>
              <w:rPr>
                <w:rFonts w:ascii="仿宋_GB2312" w:hAnsi="仿宋_GB2312" w:cs="仿宋_GB2312" w:eastAsia="仿宋_GB2312"/>
              </w:rPr>
              <w:t>项目总监简历表.docx</w:t>
            </w:r>
          </w:p>
        </w:tc>
      </w:tr>
      <w:tr>
        <w:tc>
          <w:tcPr>
            <w:tcW w:type="dxa" w:w="831"/>
            <w:vMerge/>
          </w:tcPr>
          <w:p/>
        </w:tc>
        <w:tc>
          <w:tcPr>
            <w:tcW w:type="dxa" w:w="1661"/>
          </w:tcPr>
          <w:p>
            <w:pPr>
              <w:pStyle w:val="null3"/>
            </w:pPr>
            <w:r>
              <w:rPr>
                <w:rFonts w:ascii="仿宋_GB2312" w:hAnsi="仿宋_GB2312" w:cs="仿宋_GB2312" w:eastAsia="仿宋_GB2312"/>
              </w:rPr>
              <w:t>拟投入团队人员</w:t>
            </w:r>
          </w:p>
        </w:tc>
        <w:tc>
          <w:tcPr>
            <w:tcW w:type="dxa" w:w="2492"/>
          </w:tcPr>
          <w:p>
            <w:pPr>
              <w:pStyle w:val="null3"/>
            </w:pPr>
            <w:r>
              <w:rPr>
                <w:rFonts w:ascii="仿宋_GB2312" w:hAnsi="仿宋_GB2312" w:cs="仿宋_GB2312" w:eastAsia="仿宋_GB2312"/>
              </w:rPr>
              <w:t>拟投入团队人员中，除项目总监理工程师外，配备的监理人员具有工程类中级及以上职称得2分，最高得8分，未提供得0分。 注：以上人员须提供相关证明材料，技术职称证书及社保缴纳证明，未提供不得分。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提供2023年7月1日以来完成的类似项目业绩：每有一个类似项目业绩得2.5分,最高5分。无此项内容不得分。 （注：业绩证明材料以中标（成交）通知书或合同协议书为准，磋商响应文件中附中标（成交）通知书或合同协议书复印件并加盖企业公章。）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详见附件：（企业业绩）业绩一览表.docx</w:t>
      </w:r>
    </w:p>
    <w:p>
      <w:pPr>
        <w:pStyle w:val="null3"/>
        <w:ind w:firstLine="960"/>
      </w:pPr>
      <w:r>
        <w:rPr>
          <w:rFonts w:ascii="仿宋_GB2312" w:hAnsi="仿宋_GB2312" w:cs="仿宋_GB2312" w:eastAsia="仿宋_GB2312"/>
        </w:rPr>
        <w:t>详见附件：（总监理工程师）业绩一览表.docx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详见附件：（总监理工程师）业绩一览表.docx</w:t>
      </w:r>
    </w:p>
    <w:p>
      <w:pPr>
        <w:pStyle w:val="null3"/>
        <w:ind w:firstLine="960"/>
      </w:pPr>
      <w:r>
        <w:rPr>
          <w:rFonts w:ascii="仿宋_GB2312" w:hAnsi="仿宋_GB2312" w:cs="仿宋_GB2312" w:eastAsia="仿宋_GB2312"/>
        </w:rPr>
        <w:t>详见附件：（企业业绩）业绩一览表.docx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详见附件：（企业业绩）业绩一览表.docx</w:t>
      </w:r>
    </w:p>
    <w:p>
      <w:pPr>
        <w:pStyle w:val="null3"/>
        <w:ind w:firstLine="960"/>
      </w:pPr>
      <w:r>
        <w:rPr>
          <w:rFonts w:ascii="仿宋_GB2312" w:hAnsi="仿宋_GB2312" w:cs="仿宋_GB2312" w:eastAsia="仿宋_GB2312"/>
        </w:rPr>
        <w:t>详见附件：（总监理工程师）业绩一览表.docx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详见附件：项目总监简历表.docx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