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D70442">
      <w:pPr>
        <w:pStyle w:val="4"/>
        <w:jc w:val="center"/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采购需求</w:t>
      </w:r>
    </w:p>
    <w:bookmarkEnd w:id="0"/>
    <w:p w14:paraId="12047971">
      <w:pPr>
        <w:pStyle w:val="4"/>
        <w:jc w:val="left"/>
      </w:pPr>
      <w:r>
        <w:rPr>
          <w:rFonts w:ascii="仿宋_GB2312" w:hAnsi="仿宋_GB2312" w:eastAsia="仿宋_GB2312" w:cs="仿宋_GB2312"/>
          <w:b/>
          <w:sz w:val="20"/>
        </w:rPr>
        <w:t>一、第三方服务承包单位的要求</w:t>
      </w:r>
    </w:p>
    <w:p w14:paraId="1A6053BB">
      <w:pPr>
        <w:pStyle w:val="4"/>
        <w:jc w:val="left"/>
      </w:pPr>
      <w:r>
        <w:rPr>
          <w:rFonts w:ascii="仿宋_GB2312" w:hAnsi="仿宋_GB2312" w:eastAsia="仿宋_GB2312" w:cs="仿宋_GB2312"/>
          <w:b/>
          <w:sz w:val="20"/>
        </w:rPr>
        <w:t>（一）法规依据与服务期限</w:t>
      </w:r>
    </w:p>
    <w:p w14:paraId="77E95976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1.按照《学校卫生工作条例》相关规定，校医务室（保健室）隶属后勤管理处，由后勤管理处统一管理和监督实施。</w:t>
      </w:r>
    </w:p>
    <w:p w14:paraId="641E3F54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2.本项目服务期限为三年，每年度服务期满前，由学校根据综合考核评估结果决定是否续签下一年度合同，考核评估内容包括但不限于：服务质量、师生满意度、制度执行情况、医疗安全等。</w:t>
      </w:r>
    </w:p>
    <w:p w14:paraId="64D4F6FD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3.考核合格后续签，考核不合格的，学校有权终止合同，不再续签。</w:t>
      </w:r>
    </w:p>
    <w:p w14:paraId="3424EE19">
      <w:pPr>
        <w:pStyle w:val="4"/>
        <w:jc w:val="left"/>
      </w:pPr>
      <w:r>
        <w:rPr>
          <w:rFonts w:ascii="仿宋_GB2312" w:hAnsi="仿宋_GB2312" w:eastAsia="仿宋_GB2312" w:cs="仿宋_GB2312"/>
          <w:b/>
          <w:sz w:val="20"/>
        </w:rPr>
        <w:t>（二）合规运营要求</w:t>
      </w:r>
    </w:p>
    <w:p w14:paraId="135C90E0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合作期间，服务机构须严格按照《学校卫生工作条例》《医疗机构管理条例》《执业医师法》等国家法律法规及相关医疗技术规范要求，结合学校实际需求，主动配合学校建立健全医务室各项管理制度，全面落实医务（保健）室的各项工作职责。</w:t>
      </w:r>
    </w:p>
    <w:p w14:paraId="35B52668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1.依法执业：所有医务人员须持有效的《医师资格证书》《医师执业证书》或《护士执业证书》上岗，执业地点注册在本机构，严禁非卫生技术人员从事诊疗技术工作。</w:t>
      </w:r>
    </w:p>
    <w:p w14:paraId="4D442115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2.诊疗规范：严格执行首诊负责制、病历书写规范、处方管理制度、消毒隔离制度、医疗废物管理制度等，确保诊疗行为规范、安全。</w:t>
      </w:r>
    </w:p>
    <w:p w14:paraId="3C50CFBE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3.药品管理：药品须从具有合法资质的正规渠道采购，执行国家药品价格政策，实行明码标价，杜绝上调药品价格等乱收费行为。</w:t>
      </w:r>
    </w:p>
    <w:p w14:paraId="0D3D6C25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4.收费标准：医疗诊疗服务费严格执行国家及属地医疗服务价格标准（明码标价上墙），原则上不得高于同等高校医务室服务价格标准，不得擅自提高收费标准或变相增加收费项目。</w:t>
      </w:r>
    </w:p>
    <w:p w14:paraId="469D190A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5.服务时间：本岗位实行全年常态化值守机制，工作日、双休日、法定节假日均需按排班开展工作。如遇突发公共卫生事件、校园重大应急处置等特殊情形，工作人员须保持全天候通信畅通，接到应急指令即时到岗响应，落实 24 小时应急处置职责。</w:t>
      </w:r>
    </w:p>
    <w:p w14:paraId="28992173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6.质量安全：不断提高医疗技术水平和医疗服务态度，确保医疗质量和医疗安全。按规定购买医疗责任保险，独立承担医疗法律责任。</w:t>
      </w:r>
    </w:p>
    <w:p w14:paraId="46D80847">
      <w:pPr>
        <w:pStyle w:val="4"/>
        <w:jc w:val="left"/>
      </w:pPr>
      <w:r>
        <w:rPr>
          <w:rFonts w:ascii="仿宋_GB2312" w:hAnsi="仿宋_GB2312" w:eastAsia="仿宋_GB2312" w:cs="仿宋_GB2312"/>
          <w:b/>
          <w:sz w:val="20"/>
        </w:rPr>
        <w:t>二、人员保障</w:t>
      </w:r>
    </w:p>
    <w:p w14:paraId="37714A99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结合我校医务工作实际和各校区医务室设置情况，严格按照在校总人数600:1的比例配齐配全专业专职医务团队，总人数≥19人。具体配置如下：</w:t>
      </w:r>
    </w:p>
    <w:p w14:paraId="7E883DC9">
      <w:pPr>
        <w:pStyle w:val="4"/>
        <w:jc w:val="left"/>
      </w:pPr>
      <w:r>
        <w:rPr>
          <w:rFonts w:ascii="仿宋_GB2312" w:hAnsi="仿宋_GB2312" w:eastAsia="仿宋_GB2312" w:cs="仿宋_GB2312"/>
          <w:b/>
          <w:sz w:val="20"/>
        </w:rPr>
        <w:t>（一）郭杜校区（≥9人）</w:t>
      </w:r>
    </w:p>
    <w:p w14:paraId="156D345F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1.医务室负责人（兼全科医生）1名：具有医师从业经验及正规医师资质，全面负责各校区医务室的整体管理、医疗质量控制、人员调度及与学校的日常对接工作，协调处理突发公共卫生事件。</w:t>
      </w:r>
    </w:p>
    <w:p w14:paraId="05147CFC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2.预防保健员（兼医保专员）1名：负责各校区日常医疗数据上报统计、传染病监测与上报、大学生医保事务及医保档案管理，协助学校完成与属地卫健、医保等部门的文件对接工作，组织师生健康体检。</w:t>
      </w:r>
    </w:p>
    <w:p w14:paraId="67D9DC63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3.全科医生2名：负责郭杜校区日常门诊、常见病诊疗、急诊急救及大型活动医疗保障工作。</w:t>
      </w:r>
    </w:p>
    <w:p w14:paraId="20F3F4D5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4.护士3名：配合医生开展治疗及护理工作，负责院感防控、消毒隔离、急救配合、防疫物资库房管理等工作。</w:t>
      </w:r>
    </w:p>
    <w:p w14:paraId="5FADE4C1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5.药剂师1名：负责药房日常管理、药品采购计划制定、药品出入库登记、近效期药品清查、药品质量监控及处方审核与发放。</w:t>
      </w:r>
    </w:p>
    <w:p w14:paraId="43C2E8BA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6.检验科技师1名：负责门诊常规检验工作（血常规、尿常规、便常规、血糖快速检测等），检验设备日常维护与质控。</w:t>
      </w:r>
    </w:p>
    <w:p w14:paraId="0DD9A16B">
      <w:pPr>
        <w:pStyle w:val="4"/>
        <w:jc w:val="left"/>
      </w:pPr>
      <w:r>
        <w:rPr>
          <w:rFonts w:ascii="仿宋_GB2312" w:hAnsi="仿宋_GB2312" w:eastAsia="仿宋_GB2312" w:cs="仿宋_GB2312"/>
          <w:b/>
          <w:sz w:val="20"/>
        </w:rPr>
        <w:t>（二）太白校区（≥4人）</w:t>
      </w:r>
    </w:p>
    <w:p w14:paraId="7D79A830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1.全科医生2名：负责太白校区日常门诊及急诊急救工作，满足师生多元就医需求，同时协助传染病防控及健康宣教。</w:t>
      </w:r>
    </w:p>
    <w:p w14:paraId="7AA030E1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2.护士2名：配合医生开展治疗及护理工作，负责院感防控、协助完成与学校及属地部门的对接工作。</w:t>
      </w:r>
    </w:p>
    <w:p w14:paraId="38DF4184">
      <w:pPr>
        <w:pStyle w:val="4"/>
        <w:jc w:val="left"/>
      </w:pPr>
      <w:r>
        <w:rPr>
          <w:rFonts w:ascii="仿宋_GB2312" w:hAnsi="仿宋_GB2312" w:eastAsia="仿宋_GB2312" w:cs="仿宋_GB2312"/>
          <w:b/>
          <w:sz w:val="20"/>
        </w:rPr>
        <w:t>（三）明德校区（≥5人）</w:t>
      </w:r>
    </w:p>
    <w:p w14:paraId="13F2F3D3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1.全科医生2名：负责明德校区日常门诊及急诊急救工作。</w:t>
      </w:r>
    </w:p>
    <w:p w14:paraId="1EF03B9F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2.护士2名：配合医生开展治疗及护理工作，协助完成与学校及属地部门的对接工作。</w:t>
      </w:r>
    </w:p>
    <w:p w14:paraId="0584B845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3.药师1名：负责明德校区药房管理、药品发放及处方审核。</w:t>
      </w:r>
    </w:p>
    <w:p w14:paraId="4932C29C">
      <w:pPr>
        <w:pStyle w:val="4"/>
        <w:jc w:val="left"/>
      </w:pPr>
      <w:r>
        <w:rPr>
          <w:rFonts w:ascii="仿宋_GB2312" w:hAnsi="仿宋_GB2312" w:eastAsia="仿宋_GB2312" w:cs="仿宋_GB2312"/>
          <w:b/>
          <w:sz w:val="20"/>
        </w:rPr>
        <w:t>（四）高新校区（≥1人）</w:t>
      </w:r>
    </w:p>
    <w:p w14:paraId="41390119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预防保健人员1名：负责高新校区师生日常健康咨询、传染病监测与上报、数据统计、健康宣教，协助完成与学校及属地部门的对接工作。</w:t>
      </w:r>
    </w:p>
    <w:p w14:paraId="06F2C87A">
      <w:pPr>
        <w:pStyle w:val="4"/>
        <w:jc w:val="left"/>
      </w:pPr>
      <w:r>
        <w:rPr>
          <w:rFonts w:ascii="仿宋_GB2312" w:hAnsi="仿宋_GB2312" w:eastAsia="仿宋_GB2312" w:cs="仿宋_GB2312"/>
          <w:b/>
          <w:sz w:val="20"/>
        </w:rPr>
        <w:t>（五）人员资质要求</w:t>
      </w:r>
    </w:p>
    <w:p w14:paraId="36A0B35D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★1.所有医务人员必须具备相应执业资格证书（医师须持《医师资格证书》《医师执业证书》，护士须持《护士执业证书》，药剂人员须持《药师资格证书》，检验人员须持相应专业技术资格证书。</w:t>
      </w:r>
      <w:r>
        <w:rPr>
          <w:rFonts w:ascii="仿宋_GB2312" w:hAnsi="仿宋_GB2312" w:eastAsia="仿宋_GB2312" w:cs="仿宋_GB2312"/>
          <w:b/>
          <w:sz w:val="20"/>
        </w:rPr>
        <w:t>（供应商提供相关证书复印件）</w:t>
      </w:r>
    </w:p>
    <w:p w14:paraId="605963EA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2.医师须具有3年以上临床工作经验，擅长常见病、多发病的诊治，具备处理急诊急救及突发公共卫生事件的能力。</w:t>
      </w:r>
    </w:p>
    <w:p w14:paraId="69F73C14">
      <w:pPr>
        <w:pStyle w:val="4"/>
        <w:jc w:val="left"/>
      </w:pPr>
      <w:r>
        <w:rPr>
          <w:rFonts w:ascii="仿宋_GB2312" w:hAnsi="仿宋_GB2312" w:eastAsia="仿宋_GB2312" w:cs="仿宋_GB2312"/>
          <w:b/>
          <w:sz w:val="20"/>
        </w:rPr>
        <w:t>三、基本服务要求</w:t>
      </w:r>
    </w:p>
    <w:p w14:paraId="19C559AB">
      <w:pPr>
        <w:pStyle w:val="4"/>
        <w:jc w:val="left"/>
      </w:pPr>
      <w:r>
        <w:rPr>
          <w:rFonts w:ascii="仿宋_GB2312" w:hAnsi="仿宋_GB2312" w:eastAsia="仿宋_GB2312" w:cs="仿宋_GB2312"/>
          <w:b/>
          <w:sz w:val="20"/>
        </w:rPr>
        <w:t>（一）功能科室设置（下述所有医疗设备由中标单位提供）</w:t>
      </w:r>
    </w:p>
    <w:p w14:paraId="57EA8020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服务承包单位须满足学校日常医疗保障及健康服务需求，设置符合医疗标准的、包括但不限于以下功能科室及设施设备：</w:t>
      </w:r>
    </w:p>
    <w:p w14:paraId="4E5F8D26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1.内科/外科诊疗室、急救室、治疗室、观察室、药房、检验室、预防保健室、医疗废物暂存间、防疫物资库房等；</w:t>
      </w:r>
    </w:p>
    <w:p w14:paraId="20762A36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2.诊察床、诊察桌、诊察凳、血压计（电子或水银）、听诊器、体温计（电子+水银）、压舌板、手电筒、医用镊子、止血钳、医用剪刀、身高体重测量仪、出诊箱；</w:t>
      </w:r>
    </w:p>
    <w:p w14:paraId="4B339ECF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3.检验设备，血常规分析仪（可选配）、尿常规分析仪（可选配）、血糖仪；</w:t>
      </w:r>
    </w:p>
    <w:p w14:paraId="3D289C39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4.医疗检查设备心电图机、肺活量测试仪、红外测温枪；</w:t>
      </w:r>
    </w:p>
    <w:p w14:paraId="21943624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5.抢救室设备抢救诊疗床、氧气瓶（或便携式氧气袋）、急救药品柜、人工呼吸面罩、开口器、舌钳、轮椅、担架（折叠式）、脊柱板、急救箱（含止血带、绷带、三角巾、夹板等）；</w:t>
      </w:r>
    </w:p>
    <w:p w14:paraId="34F04E3B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6. 紫外线消毒灯车、含氯消毒剂、75%医用酒精、碘伏、免洗手消毒凝胶、敷料缸、方盘、消毒棉球、纱布罐；</w:t>
      </w:r>
    </w:p>
    <w:p w14:paraId="6C89EFC5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7.其他辅助设备医用冷藏冰箱、阴凉柜、利器盒、医用垃圾桶（套黄色医疗废物专用袋）、医用隔离衣、防护面罩、护目镜；</w:t>
      </w:r>
    </w:p>
    <w:p w14:paraId="3E8D8093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8.配备充足的常用药品、急救药品以及无菌敷料包、清创消毒物品等；</w:t>
      </w:r>
    </w:p>
    <w:p w14:paraId="37EA0014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9.配备电脑、打印机、电话、资料柜、办公桌椅等办公设备。（办公用房由甲方提供）。</w:t>
      </w:r>
    </w:p>
    <w:p w14:paraId="6664909B">
      <w:pPr>
        <w:pStyle w:val="4"/>
        <w:jc w:val="left"/>
      </w:pPr>
      <w:r>
        <w:rPr>
          <w:rFonts w:ascii="仿宋_GB2312" w:hAnsi="仿宋_GB2312" w:eastAsia="仿宋_GB2312" w:cs="仿宋_GB2312"/>
          <w:b/>
          <w:sz w:val="20"/>
        </w:rPr>
        <w:t>（二）日常医疗保障与服务</w:t>
      </w:r>
    </w:p>
    <w:p w14:paraId="116B1DE3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1.统筹推进大学生医疗保险参保组织实施工作，常态化完善并长效运维大学生医保档案管理体系，保障相关工作连贯有序开展。</w:t>
      </w:r>
    </w:p>
    <w:p w14:paraId="38701257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2.统筹落实在校学生年度常规健康体检工作，健全学生体检长效档案管理体系，动态更新档案信息，实现学生健康跟踪管理可持续开展。</w:t>
      </w:r>
    </w:p>
    <w:p w14:paraId="0F9906E1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3.提供学校各种大型集体活动医疗保障服务工作（如考试、招聘会、运动会、军训、大型会议、培训会等），其中在新生军训和学校运动会期间须提供救护车全天待命（全年≦40次）</w:t>
      </w:r>
    </w:p>
    <w:p w14:paraId="3F178489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4.负责完成校内各类突发疾病和突发公共医疗事件的应急处理；</w:t>
      </w:r>
    </w:p>
    <w:p w14:paraId="01192ED4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5.负责学校健康驿站的管理和各项日常工作。</w:t>
      </w:r>
    </w:p>
    <w:p w14:paraId="32E0A8D2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6.建立医疗服务质量管理制度，包括服务标准、满意度评价、投诉处理机制，定期开展服务质量评估与改进。</w:t>
      </w:r>
    </w:p>
    <w:p w14:paraId="0FE560F0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7.建立医疗安全与风险管理制度，制定医疗差错/事故预防措施、医疗纠纷处理预案，投保医疗责任保险。</w:t>
      </w:r>
    </w:p>
    <w:p w14:paraId="2A90D82F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8.建立药品与医疗器械管理制度，规范药品采购、储存、发放、有效期管理流程，定期维护校准医疗设备。</w:t>
      </w:r>
    </w:p>
    <w:p w14:paraId="52DD6F16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9.制定医疗废物处理规范，明确医疗废弃物的分类、暂存、转运和处置流程，符合环保与卫生要求。</w:t>
      </w:r>
    </w:p>
    <w:p w14:paraId="44992CA5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10.全体在岗人员信息统一上墙，人员变动实时更新，明确人员资质与培训制度，定期组织培训与业务考核。</w:t>
      </w:r>
    </w:p>
    <w:p w14:paraId="7BE3919D">
      <w:pPr>
        <w:pStyle w:val="4"/>
        <w:jc w:val="left"/>
      </w:pPr>
      <w:r>
        <w:rPr>
          <w:rFonts w:ascii="仿宋_GB2312" w:hAnsi="仿宋_GB2312" w:eastAsia="仿宋_GB2312" w:cs="仿宋_GB2312"/>
          <w:b/>
          <w:sz w:val="20"/>
        </w:rPr>
        <w:t>（三）传染病监测预警</w:t>
      </w:r>
    </w:p>
    <w:p w14:paraId="12DAF62B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1.建立传染病监测指标与预警阈值，明确不同传染病的监测频率、报告标准和响应分级。</w:t>
      </w:r>
    </w:p>
    <w:p w14:paraId="41A06AC8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2.制定分级响应预案，根据疫情严重程度启动相应级别的防控措施。</w:t>
      </w:r>
    </w:p>
    <w:p w14:paraId="4DF1590E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3.与属地疾控部门建立信息互通机制，确保疫情信息及时上报与共享。</w:t>
      </w:r>
    </w:p>
    <w:p w14:paraId="012DC6E7">
      <w:pPr>
        <w:pStyle w:val="4"/>
        <w:jc w:val="left"/>
      </w:pPr>
      <w:r>
        <w:rPr>
          <w:rFonts w:ascii="仿宋_GB2312" w:hAnsi="仿宋_GB2312" w:eastAsia="仿宋_GB2312" w:cs="仿宋_GB2312"/>
          <w:b/>
          <w:sz w:val="20"/>
        </w:rPr>
        <w:t>（四）转诊与急救转运</w:t>
      </w:r>
    </w:p>
    <w:p w14:paraId="6A63482C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1.建立日常转诊机制，明确与周边二级甲等以上医院的转诊流程和对接方式。</w:t>
      </w:r>
    </w:p>
    <w:p w14:paraId="38F2A970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2.除军训、运动会等大型活动外，日常急救应与属地120建立快速响应联动机制。</w:t>
      </w:r>
    </w:p>
    <w:p w14:paraId="67FD6241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3.制定急救转运预案，明确转运过程中的医护陪同、信息交接等规范。</w:t>
      </w:r>
    </w:p>
    <w:p w14:paraId="259151E3">
      <w:pPr>
        <w:pStyle w:val="4"/>
        <w:jc w:val="left"/>
      </w:pPr>
      <w:r>
        <w:rPr>
          <w:rFonts w:ascii="仿宋_GB2312" w:hAnsi="仿宋_GB2312" w:eastAsia="仿宋_GB2312" w:cs="仿宋_GB2312"/>
          <w:b/>
          <w:sz w:val="20"/>
        </w:rPr>
        <w:t>（五）健康教育宣传</w:t>
      </w:r>
    </w:p>
    <w:p w14:paraId="76AFA3AF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1.配合学校定期举行学生心理咨询服务，配合学校建立心理危机干预机制，对突发心理危机事件进行快速识别、干预与转介；</w:t>
      </w:r>
    </w:p>
    <w:p w14:paraId="13CB274F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2.有序开展健康教育宣传工作，定期更换传染病宣传展板、举办急救知识培训讲座、加强艾滋病及其他性传播疾病的预防宣传、学生常见心理障碍（如抑郁、焦虑等）等宣传工作。</w:t>
      </w:r>
    </w:p>
    <w:p w14:paraId="57CB5D96">
      <w:pPr>
        <w:pStyle w:val="4"/>
        <w:jc w:val="left"/>
      </w:pPr>
      <w:r>
        <w:rPr>
          <w:rFonts w:ascii="仿宋_GB2312" w:hAnsi="仿宋_GB2312" w:eastAsia="仿宋_GB2312" w:cs="仿宋_GB2312"/>
          <w:b/>
          <w:sz w:val="20"/>
        </w:rPr>
        <w:t>（六）慢性病学生专项管理</w:t>
      </w:r>
    </w:p>
    <w:p w14:paraId="0AE04995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1.建立慢性病学生健康档案，对患有高血压、糖尿病、哮喘、癫痫等慢性疾病的学生进行登记备案。</w:t>
      </w:r>
    </w:p>
    <w:p w14:paraId="157B27C7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2.制定慢性病学生应急预案，明确在校期间突发疾病的处置流程和联系人信息。</w:t>
      </w:r>
    </w:p>
    <w:p w14:paraId="34D41A94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3.定期对慢性病学生进行健康随访，提供用药指导和生活方式建议。</w:t>
      </w:r>
    </w:p>
    <w:p w14:paraId="31DB07F6">
      <w:pPr>
        <w:pStyle w:val="4"/>
        <w:jc w:val="left"/>
      </w:pPr>
      <w:r>
        <w:rPr>
          <w:rFonts w:ascii="仿宋_GB2312" w:hAnsi="仿宋_GB2312" w:eastAsia="仿宋_GB2312" w:cs="仿宋_GB2312"/>
          <w:b/>
          <w:sz w:val="20"/>
        </w:rPr>
        <w:t>（七）信息化与数据管理</w:t>
      </w:r>
    </w:p>
    <w:p w14:paraId="6038DB0F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1.建立电子化健康档案管理系统，实现学生健康数据的集中存储、动态更新和便捷查询。</w:t>
      </w:r>
    </w:p>
    <w:p w14:paraId="5507213B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2.推动健康档案与学校学生管理系统的数据互通，提高管理效率。</w:t>
      </w:r>
    </w:p>
    <w:p w14:paraId="036125FC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3.保障健康档案的数据安全与隐私保护，严格遵守相关法律法规。</w:t>
      </w:r>
    </w:p>
    <w:p w14:paraId="0904DA5B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4.通过微信公众号、APP等平台发布医疗服务和健康资讯。</w:t>
      </w:r>
    </w:p>
    <w:p w14:paraId="18F5CE4E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5.完成年度就诊学生健康状况分析研判，形成专项报告报送学校。</w:t>
      </w:r>
    </w:p>
    <w:p w14:paraId="2156C0C5">
      <w:pPr>
        <w:pStyle w:val="4"/>
        <w:jc w:val="left"/>
      </w:pPr>
      <w:r>
        <w:rPr>
          <w:rFonts w:ascii="仿宋_GB2312" w:hAnsi="仿宋_GB2312" w:eastAsia="仿宋_GB2312" w:cs="仿宋_GB2312"/>
          <w:b/>
          <w:sz w:val="20"/>
        </w:rPr>
        <w:t>（八）其他工作</w:t>
      </w:r>
    </w:p>
    <w:p w14:paraId="4ABBE5AF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1.配合学校完成属地对高校的各项卫生防疫、医疗政策及相关文件对接工作。</w:t>
      </w:r>
    </w:p>
    <w:p w14:paraId="2DB18056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2.协助学校完成上级单位及辖区相关卫生部门检查指导工作。</w:t>
      </w:r>
    </w:p>
    <w:p w14:paraId="3497180E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3.协助学校开通具有二级甲等以上医院就医绿色通道。</w:t>
      </w:r>
    </w:p>
    <w:p w14:paraId="4A5EB550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4.储备急救药品和器械，确保数量充足、效期有效。</w:t>
      </w:r>
    </w:p>
    <w:p w14:paraId="282A9A9E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5.协助管理防疫物资库房日常工作，建立物资台账管理制度，定期盘点、及时补充，满足疫情防控需求。</w:t>
      </w:r>
    </w:p>
    <w:p w14:paraId="30ED02DD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6.为行动不便和残疾学生提供上门诊疗或陪同就医等便利服务，提供无障碍就医环境，包括无障碍通道、轮椅等辅助设施。</w:t>
      </w:r>
    </w:p>
    <w:p w14:paraId="73D6F552">
      <w:pPr>
        <w:pStyle w:val="4"/>
        <w:jc w:val="left"/>
      </w:pPr>
      <w:r>
        <w:rPr>
          <w:rFonts w:ascii="仿宋_GB2312" w:hAnsi="仿宋_GB2312" w:eastAsia="仿宋_GB2312" w:cs="仿宋_GB2312"/>
          <w:sz w:val="20"/>
        </w:rPr>
        <w:t>7.配合学校完成病媒生物防治的监督考核工作。</w:t>
      </w:r>
    </w:p>
    <w:p w14:paraId="58DF567A">
      <w:r>
        <w:rPr>
          <w:rFonts w:ascii="仿宋_GB2312" w:hAnsi="仿宋_GB2312" w:eastAsia="仿宋_GB2312" w:cs="仿宋_GB2312"/>
          <w:sz w:val="20"/>
        </w:rPr>
        <w:t>8.完成学校交办的其他相关工作。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EC3CD2"/>
    <w:rsid w:val="29EC3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2026-08-03T01:48:00Z</dcterms:created>
  <dc:creator>德仁招标</dc:creator>
  <cp:lastModifiedBy>德仁招标</cp:lastModifiedBy>
  <dcterms:modified xsi:type="dcterms:W3CDTF">2026-08-03T01:49:03Z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F8FF98F42F8E46D18A7048A5883CAFA2_11</vt:lpwstr>
  </property>
  <property fmtid="{D5CDD505-2E9C-101B-9397-08002B2CF9AE}" pid="4" name="KSOTemplateDocerSaveRecord">
    <vt:lpwstr>eyJoZGlkIjoiNzNmNDZlOGE4YzBiODhkNTY3NTdiYjNiMTljZmEwZTciLCJ1c2VySWQiOiIyNzQ5OTcwMTQifQ==</vt:lpwstr>
  </property>
</Properties>
</file>