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版本号：0617-2612FZ165020260702001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机房核心设备及全院网络维保项目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0617-2612FZ1650</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机房核心设备及全院网络维保项目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0617-2612FZ1650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机房核心设备及全院网络维保项目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西安市儿童医院机房核心设备及全院网络维保，服务期一年。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采购包1（机房核心设备及全院网络维保）：属于专门面向中小企业采购。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吴乐平、唐丽娜、衣冯源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029-85222242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西安市儿童医院机房核心设备及全院网络维保，服务期一年。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机房核心设备及全院网络维保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标的名称：机房核心设备及全院网络维保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随着医院信息化建设深入推进，HIS、LIS、PACS等核心业务系统对网络稳定性、连续性和可靠性要求日益严格。当前，部分交换机和路由器等网络设备老化严重，故障率持续上升，可能导致门诊挂号、电子病历查阅、影像传输等关键业务中断。现有运维团队在兼顾数据中心和信息系统维护的同时，难以实现网络的全天候监控、状态分析和故障预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 服务范围：全院区网络系统（有线网络及无线网络）、安全系统、计算与存储系统、操作系统、数据库、虚拟化平台等。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 服务内容：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2.1 针对在网设备提供优化方案，确保网络稳定运行。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2.2 对维保范围内所有设备提供定期巡检、故障处置、维修及性能调优服务。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2.3 提供交换机、服务器、安全设备、存储设备、板卡、模块、电源、风扇等更换服务。</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2.4 对35个楼层配线间进行线缆梳理、标签标记、除尘等，建立楼层配线间容量管理档案；开展单次不超过3000元的综合布线工程。</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2.5 协助医院梳理信息化资产（交换机、服务器、安全设备、存储设备、操作系统、中间件、数据库、业务、业务访问逻辑等），并建立完备的资产档案。</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3.维保设备清单（以实际情况为准），见附件。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三、技术要求</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1.运维团队要求（人员需附社保证明）：</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 xml:space="preserve">1.1 </w:t>
            </w:r>
            <w:r>
              <w:rPr>
                <w:rFonts w:ascii="仿宋_GB2312" w:hAnsi="仿宋_GB2312" w:cs="仿宋_GB2312" w:eastAsia="仿宋_GB2312"/>
                <w:sz w:val="21"/>
              </w:rPr>
              <w:t>提供不低于</w:t>
            </w:r>
            <w:r>
              <w:rPr>
                <w:rFonts w:ascii="仿宋_GB2312" w:hAnsi="仿宋_GB2312" w:cs="仿宋_GB2312" w:eastAsia="仿宋_GB2312"/>
                <w:sz w:val="21"/>
              </w:rPr>
              <w:t>7</w:t>
            </w:r>
            <w:r>
              <w:rPr>
                <w:rFonts w:ascii="仿宋_GB2312" w:hAnsi="仿宋_GB2312" w:cs="仿宋_GB2312" w:eastAsia="仿宋_GB2312"/>
                <w:sz w:val="21"/>
              </w:rPr>
              <w:t>人的运维团队，驻场工程师不低于</w:t>
            </w:r>
            <w:r>
              <w:rPr>
                <w:rFonts w:ascii="仿宋_GB2312" w:hAnsi="仿宋_GB2312" w:cs="仿宋_GB2312" w:eastAsia="仿宋_GB2312"/>
                <w:sz w:val="21"/>
              </w:rPr>
              <w:t>3</w:t>
            </w:r>
            <w:r>
              <w:rPr>
                <w:rFonts w:ascii="仿宋_GB2312" w:hAnsi="仿宋_GB2312" w:cs="仿宋_GB2312" w:eastAsia="仿宋_GB2312"/>
                <w:sz w:val="21"/>
              </w:rPr>
              <w:t>人（</w:t>
            </w:r>
            <w:r>
              <w:rPr>
                <w:rFonts w:ascii="仿宋_GB2312" w:hAnsi="仿宋_GB2312" w:cs="仿宋_GB2312" w:eastAsia="仿宋_GB2312"/>
                <w:sz w:val="21"/>
              </w:rPr>
              <w:t>至少</w:t>
            </w:r>
            <w:r>
              <w:rPr>
                <w:rFonts w:ascii="仿宋_GB2312" w:hAnsi="仿宋_GB2312" w:cs="仿宋_GB2312" w:eastAsia="仿宋_GB2312"/>
                <w:sz w:val="21"/>
              </w:rPr>
              <w:t>两名中级）。</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1.2 驻场工程师须具备3年以上工作经验。</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驻场工程师至少具备数通（</w:t>
            </w:r>
            <w:r>
              <w:rPr>
                <w:rFonts w:ascii="仿宋_GB2312" w:hAnsi="仿宋_GB2312" w:cs="仿宋_GB2312" w:eastAsia="仿宋_GB2312"/>
                <w:sz w:val="21"/>
              </w:rPr>
              <w:t>HCIP</w:t>
            </w:r>
            <w:r>
              <w:rPr>
                <w:rFonts w:ascii="仿宋_GB2312" w:hAnsi="仿宋_GB2312" w:cs="仿宋_GB2312" w:eastAsia="仿宋_GB2312"/>
                <w:sz w:val="21"/>
              </w:rPr>
              <w:t>或</w:t>
            </w:r>
            <w:r>
              <w:rPr>
                <w:rFonts w:ascii="仿宋_GB2312" w:hAnsi="仿宋_GB2312" w:cs="仿宋_GB2312" w:eastAsia="仿宋_GB2312"/>
                <w:sz w:val="21"/>
              </w:rPr>
              <w:t>HCNP</w:t>
            </w:r>
            <w:r>
              <w:rPr>
                <w:rFonts w:ascii="仿宋_GB2312" w:hAnsi="仿宋_GB2312" w:cs="仿宋_GB2312" w:eastAsia="仿宋_GB2312"/>
                <w:sz w:val="21"/>
              </w:rPr>
              <w:t>或</w:t>
            </w:r>
            <w:r>
              <w:rPr>
                <w:rFonts w:ascii="仿宋_GB2312" w:hAnsi="仿宋_GB2312" w:cs="仿宋_GB2312" w:eastAsia="仿宋_GB2312"/>
                <w:sz w:val="21"/>
              </w:rPr>
              <w:t>H3CSE</w:t>
            </w:r>
            <w:r>
              <w:rPr>
                <w:rFonts w:ascii="仿宋_GB2312" w:hAnsi="仿宋_GB2312" w:cs="仿宋_GB2312" w:eastAsia="仿宋_GB2312"/>
                <w:sz w:val="21"/>
              </w:rPr>
              <w:t>）证书。</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1.4 二线工程师不少于3人，每人至少具备Oracle OCP、RCIE、HCIP(HCNP）或一线网络安全厂家认证资深工程师证书。</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rPr>
              <w:t xml:space="preserve">1.5 </w:t>
            </w:r>
            <w:r>
              <w:rPr>
                <w:rFonts w:ascii="仿宋_GB2312" w:hAnsi="仿宋_GB2312" w:cs="仿宋_GB2312" w:eastAsia="仿宋_GB2312"/>
                <w:sz w:val="21"/>
              </w:rPr>
              <w:t>项目经理</w:t>
            </w:r>
            <w:r>
              <w:rPr>
                <w:rFonts w:ascii="仿宋_GB2312" w:hAnsi="仿宋_GB2312" w:cs="仿宋_GB2312" w:eastAsia="仿宋_GB2312"/>
                <w:sz w:val="21"/>
              </w:rPr>
              <w:t>1</w:t>
            </w:r>
            <w:r>
              <w:rPr>
                <w:rFonts w:ascii="仿宋_GB2312" w:hAnsi="仿宋_GB2312" w:cs="仿宋_GB2312" w:eastAsia="仿宋_GB2312"/>
                <w:sz w:val="21"/>
              </w:rPr>
              <w:t>人须具备</w:t>
            </w:r>
            <w:r>
              <w:rPr>
                <w:rFonts w:ascii="仿宋_GB2312" w:hAnsi="仿宋_GB2312" w:cs="仿宋_GB2312" w:eastAsia="仿宋_GB2312"/>
                <w:sz w:val="21"/>
              </w:rPr>
              <w:t>ITSS IT</w:t>
            </w:r>
            <w:r>
              <w:rPr>
                <w:rFonts w:ascii="仿宋_GB2312" w:hAnsi="仿宋_GB2312" w:cs="仿宋_GB2312" w:eastAsia="仿宋_GB2312"/>
                <w:sz w:val="21"/>
              </w:rPr>
              <w:t>项目服务经理认证证书</w:t>
            </w:r>
            <w:r>
              <w:rPr>
                <w:rFonts w:ascii="仿宋_GB2312" w:hAnsi="仿宋_GB2312" w:cs="仿宋_GB2312" w:eastAsia="仿宋_GB2312"/>
                <w:sz w:val="21"/>
              </w:rPr>
              <w:t>/</w:t>
            </w:r>
            <w:r>
              <w:rPr>
                <w:rFonts w:ascii="仿宋_GB2312" w:hAnsi="仿宋_GB2312" w:cs="仿宋_GB2312" w:eastAsia="仿宋_GB2312"/>
                <w:sz w:val="21"/>
              </w:rPr>
              <w:t>中级系统集成项目证书</w:t>
            </w:r>
            <w:r>
              <w:rPr>
                <w:rFonts w:ascii="仿宋_GB2312" w:hAnsi="仿宋_GB2312" w:cs="仿宋_GB2312" w:eastAsia="仿宋_GB2312"/>
                <w:sz w:val="21"/>
              </w:rPr>
              <w:t>/PMP</w:t>
            </w:r>
            <w:r>
              <w:rPr>
                <w:rFonts w:ascii="仿宋_GB2312" w:hAnsi="仿宋_GB2312" w:cs="仿宋_GB2312" w:eastAsia="仿宋_GB2312"/>
                <w:sz w:val="21"/>
              </w:rPr>
              <w:t>项目证书</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四、服务要求</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日常运维要求</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1.1 提供3人，5×8小时驻场服务。</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1.2 驻场工程师加入医院组织，负责设备正常运行保障，及时处理和排查故障。</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1.3 驻场人员根据工作需要接受医院调派，协助信息科值班。</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1.4 每周≥1次的硬件设备运行情况检查，形成巡检记录（含双方签字的纸质版记录、巡检照片等）。</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 运行保障要求：</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2.1 对全院核心交换机、路由器、无线控制器及防火墙、入侵防御等网络安全设备提供原厂或第三方专业维保服务。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2.2 对院区过保的核心关键安全设备提供运维期最新特征库升级、威胁情报订阅及功能性服务授权。</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2.3 7×24小时业务稳定运行保障，通过专业第三方维保、完备备品备件保障业务系统稳定运行。</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2.4 运维管理平台：配备相应的运维管理平台，对服务器、存储、网络、超融合、虚拟化等设备及业务数据流进行实时监控，确保故障时能迅速定位故障点。</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2.5 对网络中断或无法正常运转的情况，1小时内恢复。</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2.6 如超过1小时应及时沟通并采取应急措施，确保业务顺畅运行。</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 数据安全要求：</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3.1 确保系统正常运行的各类数据资源安全性。</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3.2 定期备份重要业务系统数据库，并检查其可用性。</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3.3 实时监控业务系统运行情况，更新系统补丁。</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3.4 从保密性、完整性、可用性、真实性四方面确保数据安全。</w:t>
            </w:r>
          </w:p>
        </w:tc>
      </w:tr>
      <w:tr>
        <w:tc>
          <w:tcPr>
            <w:tcW w:type="dxa" w:w="2769"/>
          </w:tcPr>
          <w:p>
            <w:pPr>
              <w:pStyle w:val="null3"/>
            </w:pPr>
            <w:r>
              <w:rPr>
                <w:rFonts w:ascii="仿宋_GB2312" w:hAnsi="仿宋_GB2312" w:cs="仿宋_GB2312" w:eastAsia="仿宋_GB2312"/>
              </w:rPr>
              <w:t>36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 安全服务要求：</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4.1 依据医院评级及等保2.0要求，对网络安全架构进行优化、策略精细化配置。</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4.2 每月对医院内外网业务进行一次全面的安全渗透测试服务（每次持续一周）。</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4.3 主动发现安全漏洞，协助进行漏洞修复及复测。</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4.4 在重大节假日、国家/地区及公安部门组织的护网期间提供现场值守服务</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4.5 提供网络灾难、故障的应急演练服务，包括链路攻击维护、核心设备更换、线路切换等。</w:t>
            </w:r>
          </w:p>
        </w:tc>
      </w:tr>
      <w:tr>
        <w:tc>
          <w:tcPr>
            <w:tcW w:type="dxa" w:w="2769"/>
          </w:tcPr>
          <w:p>
            <w:pPr>
              <w:pStyle w:val="null3"/>
            </w:pPr>
            <w:r>
              <w:rPr>
                <w:rFonts w:ascii="仿宋_GB2312" w:hAnsi="仿宋_GB2312" w:cs="仿宋_GB2312" w:eastAsia="仿宋_GB2312"/>
              </w:rPr>
              <w:t>42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 培训要求：</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5.1 为医院相关工作人员提供≥20小时/年系统运行维护培训</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5.2 根据医院需求，承担采购方人员参加CISAW/CISP安全运维、OCP、RHCE、KYCA/KYCP等培训及认证费用</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5.3 形成培训记录，双方签字确认</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5.4 合同签订后，若实施方提供产品（服务）与响应文件不符，采购人有权终止合同并要求供应商返还全部已支付款项。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配备满足项目实施的设施设备。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现行国家标准或国家行政部门颁发的法律法规、规章制度等，没有国家标准的，可参考行业标准。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进度款，合同签订后，服务满6个月，考核服务合格，达到付款条件起20个工作日内，支付合同总金额的50.0%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进度款，服务结束，考核服务合格，达到付款条件起20个工作日内，支付合同总金额的50.0%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1、供应商在响应文件中提供相关方案和措施（总体实施方案、服务质量保证措施、应急预案、培训方案）。★2、本章3.3商务要求（除3.3.6条外）为实质性条款，不得偏离，偏离将导致响应无效。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2.具有独立承担民事责任的能力。提供注册登记凭证（营业执照、其他组织经营的合法凭证，自然人的提供身份证明文件） 3.具有良好的商业信誉和健全的财务会计制度。提供经审计的2025年度（包括四表一注，即资产负债表、利润表、现金流量表、所有者权益变动表及其附注），且无反对意见；事业法人提供部门决算报告；/或在开标日期前六个月内其基本账户开户银行出具的资信证明（附基本存款账户信息等证明材料）；/或专业担保机构出具的投标担保函；/或表明具有良好的商业信誉和健全的财务会计制度的诚信声明；以上四种形式的资料提供任何一种即可。 4.具有履行合同所必需的设备和专业技术能力。提供声明文件。 5.具有依法缴纳税收的良好记录。提供缴费所属日期为投标截止时间前3个月内任一月（投标截止时间当月不计入）的缴费凭据（企业及营利性组织投标的提供增值税及企业所得税；非营利性组织及自然人投标的提供纳税记录）或税务机关出具的完税证明（企业及营利性组织完税证明中须含增值税及所得税）（在法规范围内不需提供的应出具书面说明和证明文件）；/或具有依法缴纳税收的诚信声明；以上二种形式的资料提供任何一种即可。 6.具有依法缴纳社会保障资金的良好记录。提供缴费所属日期为投标截止时间前3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7.参加政府采购活动前3年内在经营活动中没有重大违法记录的书面声明。提供书面声明。 8.非法定代表人参加磋商的，须提供法定代表人身份证明、法定代表人委托授权书、授权代表在供应商单位缴纳的社保记录（近3个月内）；法定代表人参加磋商的，只需提法定代表人身份证明。 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本项目为专门面向中小企业采购的项目，供应商应为中小微企业、监狱企业、残疾人福利性单位；其中中小企业应符合《政府采购促进中小企业发展暂行办法》（财库〔2020〕46号）要求，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司法部关于政府采购支持监狱企业发展有关问题的通知》（财库〔2014〕68号）要求。供应商应填写符合上述文件规定的中小企业声明函或残疾人福利性单位业声明函或监狱企业证明文件，并对真实性负责。 2.参与的供应商服务全部由符合政策要求的中小企业承接。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1.磋商响应文件的签署、加盖印章是否有效；2.提供的各种证明文件、数据、资料是否有效。</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1.磋商报价是否超过采购预算、最高限价；2.磋商报价有效期是否符合磋商文件的要求；3.响应文件内容是否符合国家法律法规；4.是否响应实质性条款。</w:t>
            </w:r>
          </w:p>
        </w:tc>
        <w:tc>
          <w:tcPr>
            <w:tcW w:type="dxa" w:w="1661"/>
          </w:tcPr>
          <w:p>
            <w:pPr>
              <w:pStyle w:val="null3"/>
            </w:pPr>
            <w:r>
              <w:rPr>
                <w:rFonts w:ascii="仿宋_GB2312" w:hAnsi="仿宋_GB2312" w:cs="仿宋_GB2312" w:eastAsia="仿宋_GB2312"/>
              </w:rPr>
              <w:t>响应文件封面 商务应答表 服务方案 标的清单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服务要求响应情况</w:t>
            </w:r>
          </w:p>
        </w:tc>
        <w:tc>
          <w:tcPr>
            <w:tcW w:type="dxa" w:w="2492"/>
          </w:tcPr>
          <w:p>
            <w:pPr>
              <w:pStyle w:val="null3"/>
            </w:pPr>
            <w:r>
              <w:rPr>
                <w:rFonts w:ascii="仿宋_GB2312" w:hAnsi="仿宋_GB2312" w:cs="仿宋_GB2312" w:eastAsia="仿宋_GB2312"/>
              </w:rPr>
              <w:t>供应商完全满足采购文件要求得28分；标注“★”符号的条款偏离（不满足）将导致被否决；一项标注“▲”符号的条款偏离（不满足），扣1分，扣完为止。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供应商针对本项目提供总体实施/服务方案，需充分结合项目实际情况，满足采购需求，方案内容完整、具体、可行、科学合理。 1、评审内容：①项目需求理解分析及服务目标；②服务内容及方式；③服务流程设计；④关键控制点分析及措施；⑤风险分析及预防措施；⑥服务成果交付及验收方案。 2、评审标准：①全面性:内容完整、全面，包括所有评审内容，无遗漏;②详细性:内容详细,针对每一评审内容能够有明确具体的描述和说明;③合理性:内容合理,准确，符合项目实际情况，有利于项目的实施。 3、赋分标准：每一项评审内容满足每一项评审标准的得1分，最多得3分。每一项内容相对每一项评审标准存在一处漏洞或缺陷扣0.5分，1分扣完为止。未提供相关评审内容的，该项得0分。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投标人/供应商针对本项目提供服务质量保证措施，内容需结合前述实施方案，并考虑结合项目实际，能够切实保证服务质量 1、评审内容: ①质量目标设定； ②质量管理标准及规范； ③质量管理制度； ④服务连续性保障措施； ⑤服务过程控制与改进措施； ⑥安全及保密承诺。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3、赋分标准：每一项评审内容满足每一项评审标准的得0.5分，最多得1.5分。每一项内容相对每一项评审标准存在一处漏洞或缺陷扣0.2分，0.5分扣完为止。未提供相关评审内容的，该项得0分。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投标人/供应商针对本项目提供应急预案，内容全面、详细、准确，并贴合项目实际需求。 1、评审内容： ①应急组织架构及配置； ②突发事件预评估及分类； ③各场景应对方案及保障措施； ④应急响应机制及流程。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3、赋分标准：每一项评审内容满足每一项评审标准的得0.5分，最多得1.5分。每一项内容相对每一项评审标准存在一处漏洞或缺陷扣0.2分，0.5分扣完为止。未提供相关评审内容的，该项得0分。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在满足采购需求情况下： 1、运维团队人员每增加一人得0.5分，最高2分； 2、驻场工程师（中级）每增加1人得2分,最高得4分； 3、二线工程师每增加1人，得1分，最高得2分。 以上人员需要满足采购文件对运维团队要求，附证书和社保证明，未附证书或社保证明不得分。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投标人/供应商针对本项目提供完善的培训方案。内容全面详细，具有系统性及实用性，能够切实达到培训目的，并保障培训效果。 1、评审内容： ①培训对象、目的及预期效果； ②培训地点、时间、人数、次数等； ③培训内容及培训方式； ④培训考核办法。 2、评审标准： ①全面性:内容完整、全面，包括所有评审内容，无遗漏; ②详细性:内容详细,针对每一评审内容能够有明确具体的描述和说明; ③合理性:内容合理,准确，符合项目实际情况，有利于培训方案的实施，达到培训目的。 3、赋分标准：每一项评审内容满足每一项评审标准的得0.5分，最多得1.5分。每一项内容相对每一项评审标准存在一处漏洞或缺陷扣0.2分，0.5分扣完为止。未提供相关评审内容的，该项得0分。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供应商服务能力（非强制性资质）</w:t>
            </w:r>
          </w:p>
        </w:tc>
        <w:tc>
          <w:tcPr>
            <w:tcW w:type="dxa" w:w="2492"/>
          </w:tcPr>
          <w:p>
            <w:pPr>
              <w:pStyle w:val="null3"/>
            </w:pPr>
            <w:r>
              <w:rPr>
                <w:rFonts w:ascii="仿宋_GB2312" w:hAnsi="仿宋_GB2312" w:cs="仿宋_GB2312" w:eastAsia="仿宋_GB2312"/>
              </w:rPr>
              <w:t>1、ISO 9001质量管理体系认证，1分； 2、ISO 27001信息安全管理体系认证，2分； 3、ITSS信息技术服务运行维护标准符合性三级及以上证书，2分； 提供证书扫描件。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提供2023年6月1日起至今类似项目业绩（提供合同扫描件，时间以合同签订时间为准），每提供1份有效业绩得2分，最高得10分，未提供或提供无效业绩的不得分。 注：1、类似业绩：信息化维保；2、有效业绩（合同）需至少包含首页、项目内容、签署页等关键页。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