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E5112">
      <w:pPr>
        <w:pStyle w:val="6"/>
        <w:widowControl/>
        <w:ind w:firstLine="562" w:firstLineChars="200"/>
        <w:jc w:val="center"/>
        <w:rPr>
          <w:rFonts w:hint="eastAsia" w:cs="华文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  <w:lang w:val="en-US" w:eastAsia="zh-CN"/>
        </w:rPr>
        <w:t>技术偏离表</w:t>
      </w:r>
    </w:p>
    <w:tbl>
      <w:tblPr>
        <w:tblStyle w:val="8"/>
        <w:tblW w:w="497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2915"/>
        <w:gridCol w:w="2764"/>
        <w:gridCol w:w="1706"/>
      </w:tblGrid>
      <w:tr w14:paraId="23761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center"/>
          </w:tcPr>
          <w:p w14:paraId="7C846B3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</w:rPr>
              <w:t>序号</w:t>
            </w:r>
          </w:p>
        </w:tc>
        <w:tc>
          <w:tcPr>
            <w:tcW w:w="1717" w:type="pct"/>
            <w:noWrap w:val="0"/>
            <w:vAlign w:val="center"/>
          </w:tcPr>
          <w:p w14:paraId="6F16E7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</w:rPr>
              <w:t>招标文件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  <w:lang w:val="en-US" w:eastAsia="zh-CN"/>
              </w:rPr>
              <w:t>技术指标</w:t>
            </w:r>
          </w:p>
        </w:tc>
        <w:tc>
          <w:tcPr>
            <w:tcW w:w="1628" w:type="pct"/>
            <w:noWrap w:val="0"/>
            <w:vAlign w:val="center"/>
          </w:tcPr>
          <w:p w14:paraId="30D4A52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  <w:lang w:val="en-US" w:eastAsia="zh-CN"/>
              </w:rPr>
              <w:t>技术指标响应内容</w:t>
            </w:r>
          </w:p>
        </w:tc>
        <w:tc>
          <w:tcPr>
            <w:tcW w:w="1004" w:type="pct"/>
            <w:noWrap w:val="0"/>
            <w:vAlign w:val="center"/>
          </w:tcPr>
          <w:p w14:paraId="5B4AC4B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highlight w:val="none"/>
              </w:rPr>
              <w:t>偏离说明</w:t>
            </w:r>
          </w:p>
        </w:tc>
      </w:tr>
      <w:tr w14:paraId="569FA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top"/>
          </w:tcPr>
          <w:p w14:paraId="77726DD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43E77D2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5685630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585EE52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1EF3A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top"/>
          </w:tcPr>
          <w:p w14:paraId="5DF7FBD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28ACD52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013B686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3DB5221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67758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top"/>
          </w:tcPr>
          <w:p w14:paraId="598B5C0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03113A0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5BD0D5B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5FFAA5A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4F45A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top"/>
          </w:tcPr>
          <w:p w14:paraId="20113E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32D03F0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5D553B9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4BA7623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083AF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top"/>
          </w:tcPr>
          <w:p w14:paraId="20487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59329E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610B302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1D99A9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671D2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top"/>
          </w:tcPr>
          <w:p w14:paraId="4AC7062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46D4CB5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0F53864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63366B4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09CE7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48" w:type="pct"/>
            <w:noWrap w:val="0"/>
            <w:vAlign w:val="top"/>
          </w:tcPr>
          <w:p w14:paraId="626E1D8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1F6A07A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31C104A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1ECF018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238A9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648" w:type="pct"/>
            <w:noWrap w:val="0"/>
            <w:vAlign w:val="top"/>
          </w:tcPr>
          <w:p w14:paraId="6239643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717" w:type="pct"/>
            <w:noWrap w:val="0"/>
            <w:vAlign w:val="top"/>
          </w:tcPr>
          <w:p w14:paraId="58905B2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628" w:type="pct"/>
            <w:noWrap w:val="0"/>
            <w:vAlign w:val="top"/>
          </w:tcPr>
          <w:p w14:paraId="5CB7347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1004" w:type="pct"/>
            <w:noWrap w:val="0"/>
            <w:vAlign w:val="top"/>
          </w:tcPr>
          <w:p w14:paraId="557DD3C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highlight w:val="none"/>
              </w:rPr>
            </w:pPr>
          </w:p>
        </w:tc>
      </w:tr>
    </w:tbl>
    <w:p w14:paraId="124E0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A20950D">
      <w:pPr>
        <w:pStyle w:val="5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备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注：</w:t>
      </w:r>
    </w:p>
    <w:p w14:paraId="190FAEDD">
      <w:pPr>
        <w:pStyle w:val="5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1、本表须如实逐项填写，不得空项。空缺项目将视为没有实质性响应招标文件。对于有偏离的（包含正、负偏离）必须具体指出技术指标项目，无偏离条款须填写“无偏离”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(所有技术指标要求以招标文件有关内容为准）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。</w:t>
      </w:r>
    </w:p>
    <w:p w14:paraId="407DA9E3">
      <w:pPr>
        <w:pStyle w:val="5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各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技术响应详细内容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可另页描述，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有关证明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资料应附于表后。</w:t>
      </w:r>
    </w:p>
    <w:p w14:paraId="7C6979B9">
      <w:pPr>
        <w:pStyle w:val="5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 w:eastAsia="zh-CN"/>
        </w:rPr>
        <w:t>、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本表“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技术指标响应内容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”与实际产品的</w:t>
      </w:r>
      <w:r>
        <w:rPr>
          <w:rFonts w:hint="eastAsia" w:cs="Helvetica"/>
          <w:color w:val="auto"/>
          <w:sz w:val="21"/>
          <w:szCs w:val="21"/>
          <w:highlight w:val="none"/>
          <w:lang w:val="en-US" w:eastAsia="zh-CN"/>
        </w:rPr>
        <w:t>证明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资料应保持一致，若出现不一致的，其投标将有可能被拒绝。</w:t>
      </w:r>
    </w:p>
    <w:p w14:paraId="0E99995F">
      <w:pPr>
        <w:pStyle w:val="5"/>
        <w:spacing w:before="0" w:beforeAutospacing="0" w:after="0" w:afterAutospacing="0" w:line="360" w:lineRule="auto"/>
        <w:ind w:firstLine="480"/>
        <w:jc w:val="left"/>
        <w:rPr>
          <w:rFonts w:hint="eastAsia" w:ascii="宋体" w:hAnsi="宋体" w:cs="Helvetica"/>
          <w:color w:val="auto"/>
          <w:sz w:val="21"/>
          <w:szCs w:val="21"/>
          <w:highlight w:val="none"/>
          <w:lang w:val="hr-HR" w:eastAsia="zh-CN"/>
        </w:rPr>
      </w:pP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、若签订合同发现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实际产品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与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本表响应内容不符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 w:eastAsia="zh-CN"/>
        </w:rPr>
        <w:t>、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投标文件中为正偏离或无偏离实际为负偏离，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将被视为虚假应标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并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/>
        </w:rPr>
        <w:t>上报财政主管部门，列入政府采购黑名单，1-3年不得参加政府采购活动</w:t>
      </w:r>
      <w:r>
        <w:rPr>
          <w:rFonts w:hint="eastAsia" w:ascii="宋体" w:hAnsi="宋体" w:cs="Helvetica"/>
          <w:color w:val="auto"/>
          <w:sz w:val="21"/>
          <w:szCs w:val="21"/>
          <w:highlight w:val="none"/>
          <w:lang w:val="hr-HR" w:eastAsia="zh-CN"/>
        </w:rPr>
        <w:t>。</w:t>
      </w:r>
    </w:p>
    <w:p w14:paraId="02FEE642"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5、若此表格式和（或）内容不能满足需要，投标供应商可自拟格式，</w:t>
      </w:r>
      <w:bookmarkStart w:id="0" w:name="_GoBack"/>
      <w:bookmarkEnd w:id="0"/>
      <w:r>
        <w:rPr>
          <w:rFonts w:hint="eastAsia" w:ascii="宋体" w:hAnsi="宋体" w:cs="Helvetica"/>
          <w:color w:val="auto"/>
          <w:sz w:val="21"/>
          <w:szCs w:val="21"/>
          <w:highlight w:val="none"/>
          <w:lang w:val="en-US" w:eastAsia="zh-CN"/>
        </w:rPr>
        <w:t>但是要体现表中内容。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7675FA"/>
    <w:multiLevelType w:val="multilevel"/>
    <w:tmpl w:val="637675FA"/>
    <w:lvl w:ilvl="0" w:tentative="0">
      <w:start w:val="1"/>
      <w:numFmt w:val="decimal"/>
      <w:suff w:val="space"/>
      <w:lvlText w:val="第%1章 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space"/>
      <w:lvlText w:val="%1.%2 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%1.%2.%3 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2"/>
      <w:suff w:val="space"/>
      <w:lvlText w:val="%1.%2.%3.%4 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suff w:val="space"/>
      <w:lvlText w:val="%1.%2.%3.%4.%5 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suff w:val="space"/>
      <w:lvlText w:val="%1.%2.%3.%4.%5.%6 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suff w:val="space"/>
      <w:lvlText w:val="%1.%2.%3.%4.%5.%6.%7 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suff w:val="space"/>
      <w:lvlText w:val="%1.%2.%3.%4.%5.%6.%7.%8 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suff w:val="space"/>
      <w:lvlText w:val="%1.%2.%3.%4.%5.%6.%7.%8.%9 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D10980"/>
    <w:rsid w:val="19A20D15"/>
    <w:rsid w:val="7CD1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numPr>
        <w:ilvl w:val="3"/>
        <w:numId w:val="1"/>
      </w:numPr>
      <w:spacing w:before="120" w:after="120" w:line="240" w:lineRule="auto"/>
      <w:outlineLvl w:val="3"/>
    </w:pPr>
    <w:rPr>
      <w:rFonts w:ascii="宋体" w:hAnsi="宋体" w:eastAsia="宋体" w:cs="宋体"/>
      <w:b/>
      <w:bCs/>
      <w:sz w:val="28"/>
      <w:szCs w:val="28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6">
    <w:name w:val="Body Text First Indent"/>
    <w:basedOn w:val="3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367</Words>
  <Characters>369</Characters>
  <Lines>0</Lines>
  <Paragraphs>0</Paragraphs>
  <TotalTime>0</TotalTime>
  <ScaleCrop>false</ScaleCrop>
  <LinksUpToDate>false</LinksUpToDate>
  <CharactersWithSpaces>369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2026-05-25T08:24:00Z</dcterms:created>
  <dc:creator>饣耳</dc:creator>
  <cp:lastModifiedBy>饣耳</cp:lastModifiedBy>
  <dcterms:modified xsi:type="dcterms:W3CDTF">2026-05-25T09:25:55Z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485147641DAA4E0CB9C82248FC2DEAD4_11</vt:lpwstr>
  </property>
  <property fmtid="{D5CDD505-2E9C-101B-9397-08002B2CF9AE}" pid="4" name="KSOTemplateDocerSaveRecord">
    <vt:lpwstr>eyJoZGlkIjoiOGMwYjdlOWMzODY1NzVmZmU0MDBhY2IzZDk2ZGI1NjAiLCJ1c2VySWQiOiI2MTQ1NzE3NTUifQ==</vt:lpwstr>
  </property>
</Properties>
</file>