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4F01E0">
      <w:pPr>
        <w:pStyle w:val="7"/>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黑体"/>
          <w:b/>
          <w:bCs/>
          <w:kern w:val="44"/>
          <w:sz w:val="32"/>
          <w:szCs w:val="32"/>
          <w:highlight w:val="none"/>
          <w:lang w:val="en-US" w:eastAsia="zh-CN" w:bidi="ar-SA"/>
        </w:rPr>
      </w:pPr>
      <w:r>
        <w:rPr>
          <w:rFonts w:hint="eastAsia" w:ascii="黑体" w:hAnsi="黑体" w:eastAsia="黑体" w:cs="黑体"/>
          <w:b/>
          <w:bCs/>
          <w:kern w:val="44"/>
          <w:sz w:val="32"/>
          <w:szCs w:val="32"/>
          <w:highlight w:val="none"/>
          <w:lang w:val="en-US" w:eastAsia="zh-CN" w:bidi="ar-SA"/>
        </w:rPr>
        <w:t>拟签订采购合同文本</w:t>
      </w:r>
    </w:p>
    <w:p w14:paraId="1D60CB2A">
      <w:pPr>
        <w:jc w:val="center"/>
        <w:rPr>
          <w:rFonts w:hint="eastAsia" w:ascii="宋体" w:hAnsi="宋体" w:cs="宋体"/>
          <w:spacing w:val="12"/>
          <w:highlight w:val="none"/>
        </w:rPr>
      </w:pPr>
    </w:p>
    <w:p w14:paraId="1C186725">
      <w:pPr>
        <w:jc w:val="center"/>
        <w:rPr>
          <w:rFonts w:hint="eastAsia" w:ascii="宋体" w:hAnsi="宋体" w:cs="宋体"/>
          <w:spacing w:val="12"/>
          <w:highlight w:val="none"/>
        </w:rPr>
      </w:pPr>
      <w:r>
        <w:rPr>
          <w:rFonts w:hint="eastAsia" w:ascii="宋体" w:hAnsi="宋体" w:cs="宋体"/>
          <w:spacing w:val="12"/>
          <w:highlight w:val="none"/>
        </w:rPr>
        <w:t>注：本合同仅为合同的参考文本，合同签订双方可根据项目的具体要求进行修订。</w:t>
      </w:r>
    </w:p>
    <w:p w14:paraId="3D689131">
      <w:pPr>
        <w:rPr>
          <w:rFonts w:hint="eastAsia" w:ascii="宋体" w:hAnsi="宋体" w:cs="宋体"/>
          <w:spacing w:val="12"/>
          <w:highlight w:val="none"/>
        </w:rPr>
      </w:pPr>
    </w:p>
    <w:p w14:paraId="48186497">
      <w:pPr>
        <w:rPr>
          <w:rFonts w:hint="eastAsia" w:ascii="宋体" w:hAnsi="宋体" w:cs="宋体"/>
          <w:spacing w:val="12"/>
          <w:sz w:val="44"/>
          <w:szCs w:val="44"/>
          <w:highlight w:val="none"/>
        </w:rPr>
      </w:pPr>
    </w:p>
    <w:p w14:paraId="55FEC53D">
      <w:pPr>
        <w:pStyle w:val="4"/>
        <w:rPr>
          <w:rFonts w:hint="eastAsia" w:ascii="宋体" w:hAnsi="宋体" w:cs="宋体"/>
          <w:b/>
          <w:bCs/>
          <w:color w:val="auto"/>
          <w:spacing w:val="12"/>
          <w:sz w:val="32"/>
          <w:szCs w:val="32"/>
          <w:highlight w:val="none"/>
        </w:rPr>
      </w:pPr>
    </w:p>
    <w:p w14:paraId="59AE53CB">
      <w:pPr>
        <w:pStyle w:val="3"/>
        <w:ind w:left="0" w:leftChars="0" w:firstLine="0" w:firstLineChars="0"/>
        <w:jc w:val="center"/>
        <w:rPr>
          <w:rFonts w:hint="eastAsia" w:ascii="宋体" w:hAnsi="宋体" w:eastAsia="宋体" w:cs="宋体"/>
          <w:b/>
          <w:bCs/>
          <w:spacing w:val="12"/>
          <w:sz w:val="44"/>
          <w:szCs w:val="44"/>
          <w:highlight w:val="none"/>
          <w:lang w:eastAsia="zh-CN"/>
        </w:rPr>
      </w:pPr>
      <w:r>
        <w:rPr>
          <w:rFonts w:hint="eastAsia" w:ascii="宋体" w:hAnsi="宋体" w:eastAsia="宋体" w:cs="宋体"/>
          <w:b/>
          <w:bCs/>
          <w:spacing w:val="12"/>
          <w:sz w:val="44"/>
          <w:szCs w:val="44"/>
          <w:highlight w:val="none"/>
          <w:lang w:eastAsia="zh-CN"/>
        </w:rPr>
        <w:t>融媒体中心建设项目</w:t>
      </w:r>
    </w:p>
    <w:p w14:paraId="61E5D3C6">
      <w:pPr>
        <w:pStyle w:val="3"/>
        <w:rPr>
          <w:rFonts w:hint="eastAsia" w:ascii="宋体" w:hAnsi="宋体" w:cs="宋体"/>
          <w:spacing w:val="12"/>
          <w:sz w:val="44"/>
          <w:szCs w:val="44"/>
          <w:highlight w:val="none"/>
        </w:rPr>
      </w:pPr>
    </w:p>
    <w:p w14:paraId="796C5269">
      <w:pPr>
        <w:pStyle w:val="3"/>
        <w:rPr>
          <w:rFonts w:hint="eastAsia" w:ascii="宋体" w:hAnsi="宋体" w:cs="宋体"/>
          <w:spacing w:val="12"/>
          <w:sz w:val="44"/>
          <w:szCs w:val="44"/>
          <w:highlight w:val="none"/>
        </w:rPr>
      </w:pPr>
    </w:p>
    <w:p w14:paraId="77C7F25D">
      <w:pPr>
        <w:pStyle w:val="3"/>
        <w:rPr>
          <w:rFonts w:hint="eastAsia" w:ascii="宋体" w:hAnsi="宋体" w:cs="宋体"/>
          <w:spacing w:val="12"/>
          <w:sz w:val="44"/>
          <w:szCs w:val="44"/>
          <w:highlight w:val="none"/>
        </w:rPr>
      </w:pPr>
    </w:p>
    <w:p w14:paraId="2313348E">
      <w:pPr>
        <w:jc w:val="center"/>
        <w:rPr>
          <w:rFonts w:hint="eastAsia" w:ascii="宋体" w:hAnsi="宋体" w:cs="宋体"/>
          <w:b/>
          <w:bCs/>
          <w:spacing w:val="12"/>
          <w:sz w:val="56"/>
          <w:szCs w:val="56"/>
          <w:highlight w:val="none"/>
        </w:rPr>
      </w:pPr>
      <w:r>
        <w:rPr>
          <w:rFonts w:hint="eastAsia" w:ascii="宋体" w:hAnsi="宋体" w:cs="宋体"/>
          <w:b/>
          <w:bCs/>
          <w:spacing w:val="12"/>
          <w:sz w:val="56"/>
          <w:szCs w:val="56"/>
          <w:highlight w:val="none"/>
        </w:rPr>
        <w:t>采购合同</w:t>
      </w:r>
    </w:p>
    <w:p w14:paraId="771EDFC9">
      <w:pPr>
        <w:rPr>
          <w:rFonts w:hint="eastAsia" w:ascii="宋体" w:hAnsi="宋体" w:cs="宋体"/>
          <w:spacing w:val="12"/>
          <w:sz w:val="44"/>
          <w:szCs w:val="44"/>
          <w:highlight w:val="none"/>
        </w:rPr>
      </w:pPr>
      <w:r>
        <w:rPr>
          <w:rFonts w:hint="eastAsia" w:ascii="宋体" w:hAnsi="宋体" w:cs="宋体"/>
          <w:spacing w:val="12"/>
          <w:sz w:val="32"/>
          <w:szCs w:val="32"/>
          <w:highlight w:val="none"/>
        </w:rPr>
        <w:t xml:space="preserve">                   </w:t>
      </w:r>
    </w:p>
    <w:p w14:paraId="55A75941">
      <w:pPr>
        <w:rPr>
          <w:rFonts w:hint="eastAsia" w:ascii="宋体" w:hAnsi="宋体" w:cs="宋体"/>
          <w:spacing w:val="12"/>
          <w:sz w:val="32"/>
          <w:szCs w:val="32"/>
          <w:highlight w:val="none"/>
          <w:u w:val="single"/>
        </w:rPr>
      </w:pPr>
    </w:p>
    <w:p w14:paraId="6B5AD22C">
      <w:pPr>
        <w:rPr>
          <w:rFonts w:hint="eastAsia" w:ascii="宋体" w:hAnsi="宋体" w:cs="宋体"/>
          <w:spacing w:val="12"/>
          <w:sz w:val="32"/>
          <w:szCs w:val="32"/>
          <w:highlight w:val="none"/>
          <w:u w:val="single"/>
        </w:rPr>
      </w:pPr>
    </w:p>
    <w:p w14:paraId="06CBD7EE">
      <w:pPr>
        <w:rPr>
          <w:rFonts w:hint="eastAsia" w:ascii="宋体" w:hAnsi="宋体" w:cs="宋体"/>
          <w:highlight w:val="none"/>
        </w:rPr>
      </w:pPr>
    </w:p>
    <w:p w14:paraId="7D0FAAA7">
      <w:pPr>
        <w:rPr>
          <w:rFonts w:hint="eastAsia" w:ascii="宋体" w:hAnsi="宋体" w:cs="宋体"/>
          <w:spacing w:val="12"/>
          <w:sz w:val="32"/>
          <w:szCs w:val="32"/>
          <w:highlight w:val="none"/>
        </w:rPr>
      </w:pPr>
    </w:p>
    <w:p w14:paraId="0A2D69C8">
      <w:pPr>
        <w:pStyle w:val="4"/>
        <w:rPr>
          <w:rFonts w:hint="eastAsia" w:ascii="宋体" w:hAnsi="宋体" w:cs="宋体"/>
          <w:spacing w:val="12"/>
          <w:sz w:val="32"/>
          <w:szCs w:val="32"/>
          <w:highlight w:val="none"/>
        </w:rPr>
      </w:pPr>
    </w:p>
    <w:p w14:paraId="5E77E5FF">
      <w:pPr>
        <w:pStyle w:val="4"/>
        <w:rPr>
          <w:rFonts w:hint="eastAsia" w:ascii="宋体" w:hAnsi="宋体" w:cs="宋体"/>
          <w:spacing w:val="12"/>
          <w:sz w:val="32"/>
          <w:szCs w:val="32"/>
          <w:highlight w:val="none"/>
        </w:rPr>
      </w:pPr>
    </w:p>
    <w:p w14:paraId="513B3553">
      <w:pPr>
        <w:pStyle w:val="3"/>
        <w:ind w:firstLine="0"/>
        <w:rPr>
          <w:rFonts w:hint="eastAsia"/>
          <w:highlight w:val="none"/>
        </w:rPr>
      </w:pPr>
    </w:p>
    <w:p w14:paraId="7D6C7CE0">
      <w:pPr>
        <w:ind w:firstLine="1726" w:firstLineChars="500"/>
        <w:rPr>
          <w:rFonts w:hint="eastAsia" w:ascii="宋体" w:hAnsi="宋体" w:cs="宋体"/>
          <w:b/>
          <w:bCs/>
          <w:spacing w:val="12"/>
          <w:sz w:val="32"/>
          <w:szCs w:val="32"/>
          <w:highlight w:val="none"/>
        </w:rPr>
      </w:pPr>
      <w:r>
        <w:rPr>
          <w:rFonts w:hint="eastAsia" w:ascii="宋体" w:hAnsi="宋体" w:cs="宋体"/>
          <w:b/>
          <w:bCs/>
          <w:spacing w:val="12"/>
          <w:sz w:val="32"/>
          <w:szCs w:val="32"/>
          <w:highlight w:val="none"/>
        </w:rPr>
        <w:t>采购人</w:t>
      </w:r>
      <w:r>
        <w:rPr>
          <w:rFonts w:hint="eastAsia" w:ascii="宋体" w:hAnsi="宋体" w:cs="宋体"/>
          <w:b/>
          <w:bCs/>
          <w:spacing w:val="12"/>
          <w:sz w:val="32"/>
          <w:szCs w:val="32"/>
          <w:highlight w:val="none"/>
          <w:lang w:eastAsia="zh-CN"/>
        </w:rPr>
        <w:t>（</w:t>
      </w:r>
      <w:r>
        <w:rPr>
          <w:rFonts w:hint="eastAsia" w:ascii="宋体" w:hAnsi="宋体" w:cs="宋体"/>
          <w:b/>
          <w:bCs/>
          <w:spacing w:val="12"/>
          <w:sz w:val="32"/>
          <w:szCs w:val="32"/>
          <w:highlight w:val="none"/>
          <w:lang w:val="en-US" w:eastAsia="zh-CN"/>
        </w:rPr>
        <w:t>甲方</w:t>
      </w:r>
      <w:r>
        <w:rPr>
          <w:rFonts w:hint="eastAsia" w:ascii="宋体" w:hAnsi="宋体" w:cs="宋体"/>
          <w:b/>
          <w:bCs/>
          <w:spacing w:val="12"/>
          <w:sz w:val="32"/>
          <w:szCs w:val="32"/>
          <w:highlight w:val="none"/>
          <w:lang w:eastAsia="zh-CN"/>
        </w:rPr>
        <w:t>）</w:t>
      </w:r>
      <w:r>
        <w:rPr>
          <w:rFonts w:hint="eastAsia" w:ascii="宋体" w:hAnsi="宋体" w:cs="宋体"/>
          <w:b/>
          <w:bCs/>
          <w:spacing w:val="12"/>
          <w:sz w:val="32"/>
          <w:szCs w:val="32"/>
          <w:highlight w:val="none"/>
        </w:rPr>
        <w:t>：渭南市公安局</w:t>
      </w:r>
    </w:p>
    <w:p w14:paraId="248543B6">
      <w:pPr>
        <w:ind w:firstLine="1726" w:firstLineChars="500"/>
        <w:rPr>
          <w:rFonts w:hint="eastAsia" w:ascii="宋体" w:hAnsi="宋体" w:cs="宋体"/>
          <w:sz w:val="22"/>
          <w:szCs w:val="22"/>
          <w:highlight w:val="none"/>
        </w:rPr>
      </w:pPr>
      <w:r>
        <w:rPr>
          <w:rFonts w:hint="eastAsia" w:ascii="宋体" w:hAnsi="宋体" w:cs="宋体"/>
          <w:b/>
          <w:bCs/>
          <w:spacing w:val="12"/>
          <w:sz w:val="32"/>
          <w:szCs w:val="32"/>
          <w:highlight w:val="none"/>
        </w:rPr>
        <w:t>中标人</w:t>
      </w:r>
      <w:r>
        <w:rPr>
          <w:rFonts w:hint="eastAsia" w:ascii="宋体" w:hAnsi="宋体" w:cs="宋体"/>
          <w:b/>
          <w:bCs/>
          <w:spacing w:val="12"/>
          <w:sz w:val="32"/>
          <w:szCs w:val="32"/>
          <w:highlight w:val="none"/>
          <w:lang w:eastAsia="zh-CN"/>
        </w:rPr>
        <w:t>（</w:t>
      </w:r>
      <w:r>
        <w:rPr>
          <w:rFonts w:hint="eastAsia" w:ascii="宋体" w:hAnsi="宋体" w:cs="宋体"/>
          <w:b/>
          <w:bCs/>
          <w:spacing w:val="12"/>
          <w:sz w:val="32"/>
          <w:szCs w:val="32"/>
          <w:highlight w:val="none"/>
          <w:lang w:val="en-US" w:eastAsia="zh-CN"/>
        </w:rPr>
        <w:t>乙方</w:t>
      </w:r>
      <w:r>
        <w:rPr>
          <w:rFonts w:hint="eastAsia" w:ascii="宋体" w:hAnsi="宋体" w:cs="宋体"/>
          <w:b/>
          <w:bCs/>
          <w:spacing w:val="12"/>
          <w:sz w:val="32"/>
          <w:szCs w:val="32"/>
          <w:highlight w:val="none"/>
          <w:lang w:eastAsia="zh-CN"/>
        </w:rPr>
        <w:t>）</w:t>
      </w:r>
      <w:r>
        <w:rPr>
          <w:rFonts w:hint="eastAsia" w:ascii="宋体" w:hAnsi="宋体" w:cs="宋体"/>
          <w:b/>
          <w:bCs/>
          <w:spacing w:val="12"/>
          <w:sz w:val="32"/>
          <w:szCs w:val="32"/>
          <w:highlight w:val="none"/>
        </w:rPr>
        <w:t>：</w:t>
      </w:r>
    </w:p>
    <w:p w14:paraId="28B7F2B4">
      <w:pPr>
        <w:rPr>
          <w:rFonts w:hint="eastAsia" w:ascii="宋体" w:hAnsi="宋体" w:cs="宋体"/>
          <w:sz w:val="22"/>
          <w:szCs w:val="22"/>
          <w:highlight w:val="none"/>
        </w:rPr>
      </w:pPr>
      <w:r>
        <w:rPr>
          <w:rFonts w:hint="eastAsia" w:ascii="宋体" w:hAnsi="宋体" w:cs="宋体"/>
          <w:sz w:val="22"/>
          <w:szCs w:val="22"/>
          <w:highlight w:val="none"/>
        </w:rPr>
        <w:br w:type="page"/>
      </w:r>
    </w:p>
    <w:p w14:paraId="39DCCBDD">
      <w:pPr>
        <w:spacing w:line="360" w:lineRule="auto"/>
        <w:rPr>
          <w:rFonts w:hint="eastAsia" w:ascii="宋体" w:hAnsi="宋体" w:cs="宋体"/>
          <w:sz w:val="22"/>
          <w:szCs w:val="22"/>
          <w:highlight w:val="none"/>
        </w:rPr>
      </w:pPr>
    </w:p>
    <w:p w14:paraId="5D5FA62A">
      <w:pPr>
        <w:spacing w:line="360" w:lineRule="auto"/>
        <w:rPr>
          <w:rFonts w:hint="eastAsia" w:ascii="宋体" w:hAnsi="宋体" w:cs="宋体"/>
          <w:sz w:val="22"/>
          <w:szCs w:val="22"/>
          <w:highlight w:val="none"/>
        </w:rPr>
      </w:pPr>
      <w:r>
        <w:rPr>
          <w:rFonts w:hint="eastAsia" w:ascii="宋体" w:hAnsi="宋体" w:cs="宋体"/>
          <w:sz w:val="22"/>
          <w:szCs w:val="22"/>
          <w:highlight w:val="none"/>
        </w:rPr>
        <w:t xml:space="preserve">签订地点：  </w:t>
      </w:r>
    </w:p>
    <w:p w14:paraId="39768AA0">
      <w:pPr>
        <w:spacing w:line="360" w:lineRule="auto"/>
        <w:rPr>
          <w:rFonts w:hint="eastAsia" w:ascii="宋体" w:hAnsi="宋体" w:cs="宋体"/>
          <w:sz w:val="22"/>
          <w:szCs w:val="22"/>
          <w:highlight w:val="none"/>
        </w:rPr>
      </w:pPr>
      <w:r>
        <w:rPr>
          <w:rFonts w:hint="eastAsia" w:ascii="宋体" w:hAnsi="宋体" w:cs="宋体"/>
          <w:sz w:val="22"/>
          <w:szCs w:val="22"/>
          <w:highlight w:val="none"/>
        </w:rPr>
        <w:t>项目编号：                                     签订时间：      年  月  日</w:t>
      </w:r>
    </w:p>
    <w:p w14:paraId="13B0EF26">
      <w:pPr>
        <w:spacing w:line="360" w:lineRule="auto"/>
        <w:rPr>
          <w:rFonts w:hint="eastAsia" w:ascii="宋体" w:hAnsi="宋体" w:cs="宋体"/>
          <w:sz w:val="22"/>
          <w:szCs w:val="22"/>
          <w:highlight w:val="none"/>
        </w:rPr>
      </w:pPr>
      <w:r>
        <w:rPr>
          <w:rFonts w:hint="eastAsia" w:ascii="宋体" w:hAnsi="宋体" w:cs="宋体"/>
          <w:sz w:val="22"/>
          <w:szCs w:val="22"/>
          <w:highlight w:val="none"/>
        </w:rPr>
        <w:t xml:space="preserve">采购人（甲方）： 渭南市公安局 </w:t>
      </w:r>
    </w:p>
    <w:p w14:paraId="05D3422D">
      <w:pPr>
        <w:spacing w:line="360" w:lineRule="auto"/>
        <w:rPr>
          <w:rFonts w:hint="eastAsia" w:ascii="宋体" w:hAnsi="宋体" w:cs="宋体"/>
          <w:sz w:val="22"/>
          <w:szCs w:val="22"/>
          <w:highlight w:val="none"/>
        </w:rPr>
      </w:pPr>
      <w:r>
        <w:rPr>
          <w:rFonts w:hint="eastAsia" w:ascii="宋体" w:hAnsi="宋体" w:cs="宋体"/>
          <w:sz w:val="22"/>
          <w:szCs w:val="22"/>
          <w:highlight w:val="none"/>
        </w:rPr>
        <w:t>中标人（乙方）：</w:t>
      </w:r>
    </w:p>
    <w:p w14:paraId="149E62C3">
      <w:pPr>
        <w:spacing w:line="360" w:lineRule="auto"/>
        <w:ind w:firstLine="440" w:firstLineChars="200"/>
        <w:rPr>
          <w:rFonts w:hint="eastAsia" w:ascii="宋体" w:hAnsi="宋体" w:cs="宋体"/>
          <w:sz w:val="22"/>
          <w:szCs w:val="22"/>
          <w:highlight w:val="none"/>
        </w:rPr>
      </w:pPr>
    </w:p>
    <w:p w14:paraId="1B3F7EFA">
      <w:pPr>
        <w:spacing w:line="360" w:lineRule="auto"/>
        <w:ind w:firstLine="440" w:firstLineChars="200"/>
        <w:rPr>
          <w:rFonts w:hint="eastAsia" w:ascii="宋体" w:hAnsi="宋体" w:cs="宋体"/>
          <w:sz w:val="22"/>
          <w:szCs w:val="22"/>
          <w:highlight w:val="none"/>
        </w:rPr>
      </w:pPr>
      <w:r>
        <w:rPr>
          <w:rFonts w:hint="eastAsia" w:ascii="宋体" w:hAnsi="宋体" w:cs="宋体"/>
          <w:sz w:val="22"/>
          <w:szCs w:val="22"/>
          <w:highlight w:val="none"/>
        </w:rPr>
        <w:t>根据</w:t>
      </w:r>
      <w:r>
        <w:rPr>
          <w:rFonts w:hint="eastAsia" w:ascii="宋体" w:hAnsi="宋体" w:cs="宋体"/>
          <w:b/>
          <w:bCs/>
          <w:sz w:val="22"/>
          <w:szCs w:val="22"/>
          <w:highlight w:val="none"/>
          <w:u w:val="single"/>
          <w:lang w:eastAsia="zh-CN"/>
        </w:rPr>
        <w:t>（</w:t>
      </w:r>
      <w:r>
        <w:rPr>
          <w:rFonts w:hint="eastAsia" w:ascii="宋体" w:hAnsi="宋体" w:cs="宋体"/>
          <w:b/>
          <w:bCs/>
          <w:sz w:val="22"/>
          <w:szCs w:val="22"/>
          <w:highlight w:val="none"/>
          <w:u w:val="single"/>
          <w:lang w:val="en-US" w:eastAsia="zh-CN"/>
        </w:rPr>
        <w:t>项目名称及编号</w:t>
      </w:r>
      <w:r>
        <w:rPr>
          <w:rFonts w:hint="eastAsia" w:ascii="宋体" w:hAnsi="宋体" w:cs="宋体"/>
          <w:b/>
          <w:bCs/>
          <w:sz w:val="22"/>
          <w:szCs w:val="22"/>
          <w:highlight w:val="none"/>
          <w:u w:val="single"/>
          <w:lang w:eastAsia="zh-CN"/>
        </w:rPr>
        <w:t>）</w:t>
      </w:r>
      <w:r>
        <w:rPr>
          <w:rFonts w:hint="eastAsia" w:ascii="宋体" w:hAnsi="宋体" w:cs="宋体"/>
          <w:sz w:val="22"/>
          <w:szCs w:val="22"/>
          <w:highlight w:val="none"/>
        </w:rPr>
        <w:t>的采购结果，按照《中华人民共和国政府采购法》、《中华人民共和国民法典》等规定，经双方协商，本着平等互利和诚实信用的原则，一致同意签订本合同如下。</w:t>
      </w:r>
    </w:p>
    <w:p w14:paraId="6DF6EFC5">
      <w:pPr>
        <w:spacing w:line="360" w:lineRule="auto"/>
        <w:rPr>
          <w:rFonts w:hint="eastAsia" w:ascii="宋体" w:hAnsi="宋体" w:cs="宋体"/>
          <w:b/>
          <w:bCs/>
          <w:sz w:val="22"/>
          <w:szCs w:val="22"/>
          <w:highlight w:val="none"/>
        </w:rPr>
      </w:pPr>
      <w:r>
        <w:rPr>
          <w:rFonts w:hint="eastAsia" w:ascii="宋体" w:hAnsi="宋体" w:cs="宋体"/>
          <w:b/>
          <w:bCs/>
          <w:sz w:val="22"/>
          <w:szCs w:val="22"/>
          <w:highlight w:val="none"/>
        </w:rPr>
        <w:t>一、合同文件</w:t>
      </w:r>
    </w:p>
    <w:p w14:paraId="35594630">
      <w:pPr>
        <w:spacing w:line="360" w:lineRule="auto"/>
        <w:ind w:firstLine="440" w:firstLineChars="200"/>
        <w:rPr>
          <w:rFonts w:hint="eastAsia" w:ascii="宋体" w:hAnsi="宋体" w:cs="宋体"/>
          <w:sz w:val="22"/>
          <w:szCs w:val="22"/>
          <w:highlight w:val="none"/>
        </w:rPr>
      </w:pPr>
      <w:r>
        <w:rPr>
          <w:rFonts w:hint="eastAsia" w:ascii="宋体" w:hAnsi="宋体" w:cs="宋体"/>
          <w:sz w:val="22"/>
          <w:szCs w:val="22"/>
          <w:highlight w:val="none"/>
        </w:rPr>
        <w:t>1、合同条款；</w:t>
      </w:r>
    </w:p>
    <w:p w14:paraId="3CE66F63">
      <w:pPr>
        <w:spacing w:line="360" w:lineRule="auto"/>
        <w:ind w:firstLine="440" w:firstLineChars="200"/>
        <w:rPr>
          <w:rFonts w:hint="eastAsia" w:ascii="宋体" w:hAnsi="宋体" w:cs="宋体"/>
          <w:sz w:val="22"/>
          <w:szCs w:val="22"/>
          <w:highlight w:val="none"/>
        </w:rPr>
      </w:pPr>
      <w:r>
        <w:rPr>
          <w:rFonts w:hint="eastAsia" w:ascii="宋体" w:hAnsi="宋体" w:cs="宋体"/>
          <w:sz w:val="22"/>
          <w:szCs w:val="22"/>
          <w:highlight w:val="none"/>
        </w:rPr>
        <w:t>2、招标文件；</w:t>
      </w:r>
    </w:p>
    <w:p w14:paraId="6F4BFB89">
      <w:pPr>
        <w:spacing w:line="360" w:lineRule="auto"/>
        <w:ind w:firstLine="440" w:firstLineChars="200"/>
        <w:rPr>
          <w:rFonts w:hint="eastAsia" w:ascii="宋体" w:hAnsi="宋体" w:cs="宋体"/>
          <w:sz w:val="22"/>
          <w:szCs w:val="22"/>
          <w:highlight w:val="none"/>
        </w:rPr>
      </w:pPr>
      <w:r>
        <w:rPr>
          <w:rFonts w:hint="eastAsia" w:ascii="宋体" w:hAnsi="宋体" w:cs="宋体"/>
          <w:sz w:val="22"/>
          <w:szCs w:val="22"/>
          <w:highlight w:val="none"/>
        </w:rPr>
        <w:t>3、投标文件；</w:t>
      </w:r>
    </w:p>
    <w:p w14:paraId="50FD970D">
      <w:pPr>
        <w:spacing w:line="360" w:lineRule="auto"/>
        <w:ind w:firstLine="440" w:firstLineChars="200"/>
        <w:rPr>
          <w:rFonts w:hint="eastAsia" w:ascii="宋体" w:hAnsi="宋体" w:cs="宋体"/>
          <w:sz w:val="22"/>
          <w:szCs w:val="22"/>
          <w:highlight w:val="none"/>
        </w:rPr>
      </w:pPr>
      <w:r>
        <w:rPr>
          <w:rFonts w:hint="eastAsia" w:ascii="宋体" w:hAnsi="宋体" w:cs="宋体"/>
          <w:sz w:val="22"/>
          <w:szCs w:val="22"/>
          <w:highlight w:val="none"/>
        </w:rPr>
        <w:t>4、中标通知书；</w:t>
      </w:r>
    </w:p>
    <w:p w14:paraId="2B98B74C">
      <w:pPr>
        <w:spacing w:line="360" w:lineRule="auto"/>
        <w:ind w:firstLine="440" w:firstLineChars="200"/>
        <w:rPr>
          <w:rFonts w:hint="eastAsia" w:ascii="宋体" w:hAnsi="宋体" w:cs="宋体"/>
          <w:sz w:val="22"/>
          <w:szCs w:val="22"/>
          <w:highlight w:val="none"/>
        </w:rPr>
      </w:pPr>
      <w:r>
        <w:rPr>
          <w:rFonts w:hint="eastAsia" w:ascii="宋体" w:hAnsi="宋体" w:cs="宋体"/>
          <w:sz w:val="22"/>
          <w:szCs w:val="22"/>
          <w:highlight w:val="none"/>
        </w:rPr>
        <w:t>5、其他。</w:t>
      </w:r>
    </w:p>
    <w:p w14:paraId="1CBCB5D4">
      <w:pPr>
        <w:spacing w:line="360" w:lineRule="auto"/>
        <w:ind w:firstLine="440" w:firstLineChars="200"/>
        <w:rPr>
          <w:rFonts w:hint="eastAsia" w:ascii="宋体" w:hAnsi="宋体" w:cs="宋体"/>
          <w:sz w:val="22"/>
          <w:szCs w:val="22"/>
          <w:highlight w:val="none"/>
        </w:rPr>
      </w:pPr>
      <w:r>
        <w:rPr>
          <w:rFonts w:hint="eastAsia" w:ascii="宋体" w:hAnsi="宋体" w:cs="宋体"/>
          <w:sz w:val="22"/>
          <w:szCs w:val="22"/>
          <w:highlight w:val="none"/>
        </w:rPr>
        <w:t>上述所指合同文件应认为是互相补充和解释的，但是有模棱两可或互相矛盾之处，以</w:t>
      </w:r>
      <w:r>
        <w:rPr>
          <w:rFonts w:hint="eastAsia" w:ascii="宋体" w:hAnsi="宋体" w:cs="宋体"/>
          <w:sz w:val="22"/>
          <w:szCs w:val="22"/>
          <w:highlight w:val="none"/>
          <w:lang w:val="en-US" w:eastAsia="zh-CN"/>
        </w:rPr>
        <w:t>上述文件</w:t>
      </w:r>
      <w:r>
        <w:rPr>
          <w:rFonts w:hint="eastAsia" w:ascii="宋体" w:hAnsi="宋体" w:cs="宋体"/>
          <w:sz w:val="22"/>
          <w:szCs w:val="22"/>
          <w:highlight w:val="none"/>
        </w:rPr>
        <w:t>所列</w:t>
      </w:r>
      <w:r>
        <w:rPr>
          <w:rFonts w:hint="eastAsia" w:ascii="宋体" w:hAnsi="宋体" w:cs="宋体"/>
          <w:sz w:val="22"/>
          <w:szCs w:val="22"/>
          <w:highlight w:val="none"/>
          <w:lang w:val="en-US" w:eastAsia="zh-CN"/>
        </w:rPr>
        <w:t>先后</w:t>
      </w:r>
      <w:r>
        <w:rPr>
          <w:rFonts w:hint="eastAsia" w:ascii="宋体" w:hAnsi="宋体" w:cs="宋体"/>
          <w:sz w:val="22"/>
          <w:szCs w:val="22"/>
          <w:highlight w:val="none"/>
        </w:rPr>
        <w:t>顺序为准。</w:t>
      </w:r>
    </w:p>
    <w:p w14:paraId="0E9849FB">
      <w:pPr>
        <w:spacing w:line="360" w:lineRule="auto"/>
        <w:rPr>
          <w:rFonts w:hint="eastAsia" w:ascii="宋体" w:hAnsi="宋体" w:cs="宋体"/>
          <w:b/>
          <w:bCs/>
          <w:sz w:val="22"/>
          <w:szCs w:val="22"/>
          <w:highlight w:val="none"/>
        </w:rPr>
      </w:pPr>
      <w:bookmarkStart w:id="0" w:name="_Toc9090"/>
      <w:r>
        <w:rPr>
          <w:rFonts w:hint="eastAsia" w:ascii="宋体" w:hAnsi="宋体" w:cs="宋体"/>
          <w:b/>
          <w:bCs/>
          <w:sz w:val="22"/>
          <w:szCs w:val="22"/>
          <w:highlight w:val="none"/>
        </w:rPr>
        <w:t>二、合同价款</w:t>
      </w:r>
      <w:bookmarkEnd w:id="0"/>
    </w:p>
    <w:p w14:paraId="035ACBFF">
      <w:pPr>
        <w:spacing w:line="360" w:lineRule="auto"/>
        <w:ind w:firstLine="440" w:firstLineChars="200"/>
        <w:rPr>
          <w:rFonts w:hint="eastAsia" w:ascii="宋体" w:hAnsi="宋体" w:cs="宋体"/>
          <w:b/>
          <w:bCs/>
          <w:sz w:val="22"/>
          <w:szCs w:val="22"/>
          <w:highlight w:val="none"/>
        </w:rPr>
      </w:pPr>
      <w:r>
        <w:rPr>
          <w:rFonts w:hint="eastAsia" w:ascii="宋体" w:hAnsi="宋体" w:cs="宋体"/>
          <w:sz w:val="22"/>
          <w:szCs w:val="22"/>
          <w:highlight w:val="none"/>
        </w:rPr>
        <w:t>（一）合同总价款为</w:t>
      </w:r>
      <w:r>
        <w:rPr>
          <w:rFonts w:hint="eastAsia" w:ascii="宋体" w:hAnsi="宋体" w:cs="宋体"/>
          <w:b/>
          <w:bCs/>
          <w:sz w:val="22"/>
          <w:szCs w:val="22"/>
          <w:highlight w:val="none"/>
        </w:rPr>
        <w:t>人民币（大写）</w:t>
      </w:r>
      <w:r>
        <w:rPr>
          <w:rFonts w:hint="eastAsia" w:ascii="宋体" w:hAnsi="宋体" w:cs="宋体"/>
          <w:b/>
          <w:bCs/>
          <w:sz w:val="22"/>
          <w:szCs w:val="22"/>
          <w:highlight w:val="none"/>
          <w:u w:val="single"/>
        </w:rPr>
        <w:t xml:space="preserve">                    </w:t>
      </w:r>
      <w:r>
        <w:rPr>
          <w:rFonts w:hint="eastAsia" w:ascii="宋体" w:hAnsi="宋体" w:cs="宋体"/>
          <w:b/>
          <w:bCs/>
          <w:sz w:val="22"/>
          <w:szCs w:val="22"/>
          <w:highlight w:val="none"/>
        </w:rPr>
        <w:t xml:space="preserve"> （¥</w:t>
      </w:r>
      <w:r>
        <w:rPr>
          <w:rFonts w:hint="eastAsia" w:ascii="宋体" w:hAnsi="宋体" w:cs="宋体"/>
          <w:b/>
          <w:bCs/>
          <w:sz w:val="22"/>
          <w:szCs w:val="22"/>
          <w:highlight w:val="none"/>
          <w:u w:val="single"/>
        </w:rPr>
        <w:t xml:space="preserve">            </w:t>
      </w:r>
      <w:r>
        <w:rPr>
          <w:rFonts w:hint="eastAsia" w:ascii="宋体" w:hAnsi="宋体" w:cs="宋体"/>
          <w:b/>
          <w:bCs/>
          <w:sz w:val="22"/>
          <w:szCs w:val="22"/>
          <w:highlight w:val="none"/>
        </w:rPr>
        <w:t>）。</w:t>
      </w:r>
    </w:p>
    <w:p w14:paraId="4D50B6C0">
      <w:pPr>
        <w:spacing w:line="360" w:lineRule="auto"/>
        <w:ind w:firstLine="440" w:firstLineChars="200"/>
        <w:rPr>
          <w:rFonts w:hint="eastAsia" w:ascii="宋体" w:hAnsi="宋体" w:cs="宋体"/>
          <w:sz w:val="22"/>
          <w:szCs w:val="22"/>
          <w:highlight w:val="none"/>
        </w:rPr>
      </w:pPr>
      <w:r>
        <w:rPr>
          <w:rFonts w:hint="eastAsia" w:ascii="宋体" w:hAnsi="宋体" w:cs="宋体"/>
          <w:sz w:val="22"/>
          <w:szCs w:val="22"/>
          <w:highlight w:val="none"/>
        </w:rPr>
        <w:t>（二）合同总价款是指完成本次服务包含的所有费用，包括但不限于本次项目的建设费、系统调试费、检测费、培训费、人工费、安装费、运维费、验收费、管理费、税金、招标文件明示及暗示所有风险等所有费用，服务期内采购人不再增加任何费用。</w:t>
      </w:r>
    </w:p>
    <w:p w14:paraId="2C7FB7AC">
      <w:pPr>
        <w:spacing w:line="360" w:lineRule="auto"/>
        <w:ind w:firstLine="440" w:firstLineChars="200"/>
        <w:rPr>
          <w:rFonts w:hint="eastAsia" w:ascii="宋体" w:hAnsi="宋体" w:cs="宋体"/>
          <w:sz w:val="22"/>
          <w:szCs w:val="22"/>
          <w:highlight w:val="none"/>
        </w:rPr>
      </w:pPr>
      <w:r>
        <w:rPr>
          <w:rFonts w:hint="eastAsia" w:ascii="宋体" w:hAnsi="宋体" w:cs="宋体"/>
          <w:sz w:val="22"/>
          <w:szCs w:val="22"/>
          <w:highlight w:val="none"/>
        </w:rPr>
        <w:t>（三）合同总价一次性包干，不受市场价格变化因素的影响。</w:t>
      </w:r>
    </w:p>
    <w:p w14:paraId="3AB605BF">
      <w:pPr>
        <w:spacing w:line="360" w:lineRule="auto"/>
        <w:rPr>
          <w:rFonts w:hint="eastAsia" w:ascii="宋体" w:hAnsi="宋体" w:cs="宋体"/>
          <w:b/>
          <w:sz w:val="22"/>
          <w:szCs w:val="22"/>
          <w:highlight w:val="none"/>
        </w:rPr>
      </w:pPr>
      <w:bookmarkStart w:id="1" w:name="_Toc5628"/>
      <w:r>
        <w:rPr>
          <w:rFonts w:hint="eastAsia" w:ascii="宋体" w:hAnsi="宋体" w:cs="宋体"/>
          <w:b/>
          <w:sz w:val="22"/>
          <w:szCs w:val="22"/>
          <w:highlight w:val="none"/>
        </w:rPr>
        <w:t>三、款项结算</w:t>
      </w:r>
      <w:bookmarkEnd w:id="1"/>
    </w:p>
    <w:p w14:paraId="74073611">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（一）</w:t>
      </w:r>
      <w:r>
        <w:rPr>
          <w:rFonts w:hint="eastAsia" w:ascii="宋体" w:hAnsi="宋体" w:cs="宋体"/>
          <w:kern w:val="0"/>
          <w:sz w:val="22"/>
          <w:szCs w:val="22"/>
          <w:highlight w:val="none"/>
          <w:lang w:val="en-US" w:eastAsia="zh-CN"/>
        </w:rPr>
        <w:t>付款方式</w:t>
      </w:r>
      <w:r>
        <w:rPr>
          <w:rFonts w:hint="eastAsia" w:ascii="宋体" w:hAnsi="宋体" w:cs="宋体"/>
          <w:kern w:val="0"/>
          <w:sz w:val="22"/>
          <w:szCs w:val="22"/>
          <w:highlight w:val="none"/>
        </w:rPr>
        <w:t>：</w:t>
      </w:r>
      <w:bookmarkStart w:id="2" w:name="_Hlk106572534"/>
    </w:p>
    <w:p w14:paraId="15C7F640">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p>
    <w:bookmarkEnd w:id="2"/>
    <w:p w14:paraId="53B22788">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（二）支付方式：银行转账。</w:t>
      </w:r>
    </w:p>
    <w:p w14:paraId="74A361E6">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（三）结算方式：由采购人负责结算，合同签订后，中标人在接受付款前，开具等额发票给采购人。</w:t>
      </w:r>
    </w:p>
    <w:p w14:paraId="3AEF980F">
      <w:pPr>
        <w:spacing w:line="360" w:lineRule="auto"/>
        <w:rPr>
          <w:rFonts w:hint="eastAsia" w:ascii="宋体" w:hAnsi="宋体" w:cs="宋体"/>
          <w:b/>
          <w:sz w:val="22"/>
          <w:szCs w:val="22"/>
          <w:highlight w:val="none"/>
        </w:rPr>
      </w:pPr>
      <w:r>
        <w:rPr>
          <w:rFonts w:hint="eastAsia" w:ascii="宋体" w:hAnsi="宋体" w:cs="宋体"/>
          <w:b/>
          <w:sz w:val="22"/>
          <w:szCs w:val="22"/>
          <w:highlight w:val="none"/>
        </w:rPr>
        <w:t>四、</w:t>
      </w:r>
      <w:r>
        <w:rPr>
          <w:rFonts w:hint="eastAsia" w:ascii="宋体" w:hAnsi="宋体" w:cs="宋体"/>
          <w:b/>
          <w:sz w:val="22"/>
          <w:szCs w:val="22"/>
          <w:highlight w:val="none"/>
          <w:lang w:val="en-US" w:eastAsia="zh-CN"/>
        </w:rPr>
        <w:t>货物清单及</w:t>
      </w:r>
      <w:r>
        <w:rPr>
          <w:rFonts w:hint="eastAsia" w:ascii="宋体" w:hAnsi="宋体" w:cs="宋体"/>
          <w:b/>
          <w:sz w:val="22"/>
          <w:szCs w:val="22"/>
          <w:highlight w:val="none"/>
        </w:rPr>
        <w:t>服务具体指标</w:t>
      </w:r>
    </w:p>
    <w:p w14:paraId="28693E10">
      <w:pPr>
        <w:spacing w:line="360" w:lineRule="auto"/>
        <w:ind w:firstLine="442" w:firstLineChars="200"/>
        <w:rPr>
          <w:rFonts w:hint="eastAsia" w:ascii="宋体" w:hAnsi="宋体" w:cs="宋体" w:eastAsiaTheme="minorEastAsia"/>
          <w:b/>
          <w:bCs/>
          <w:sz w:val="22"/>
          <w:szCs w:val="22"/>
          <w:highlight w:val="none"/>
          <w:lang w:val="en-US" w:eastAsia="zh-CN"/>
        </w:rPr>
      </w:pPr>
      <w:r>
        <w:rPr>
          <w:rFonts w:hint="eastAsia" w:ascii="宋体" w:hAnsi="宋体" w:cs="宋体"/>
          <w:b/>
          <w:bCs/>
          <w:sz w:val="22"/>
          <w:szCs w:val="22"/>
          <w:highlight w:val="none"/>
        </w:rPr>
        <w:t>（1）</w:t>
      </w:r>
      <w:r>
        <w:rPr>
          <w:rFonts w:hint="eastAsia" w:ascii="宋体" w:hAnsi="宋体" w:cs="宋体"/>
          <w:b/>
          <w:bCs/>
          <w:sz w:val="22"/>
          <w:szCs w:val="22"/>
          <w:highlight w:val="none"/>
          <w:lang w:val="en-US" w:eastAsia="zh-CN"/>
        </w:rPr>
        <w:t>货物清单：</w:t>
      </w:r>
    </w:p>
    <w:p w14:paraId="14A959AF">
      <w:pPr>
        <w:spacing w:line="360" w:lineRule="auto"/>
        <w:ind w:firstLine="442" w:firstLineChars="200"/>
        <w:rPr>
          <w:rFonts w:hint="eastAsia" w:ascii="宋体" w:hAnsi="宋体" w:cs="宋体"/>
          <w:b/>
          <w:bCs/>
          <w:sz w:val="22"/>
          <w:szCs w:val="22"/>
          <w:highlight w:val="none"/>
          <w:u w:val="single"/>
        </w:rPr>
      </w:pPr>
      <w:r>
        <w:rPr>
          <w:rFonts w:hint="eastAsia" w:ascii="宋体" w:hAnsi="宋体" w:cs="宋体"/>
          <w:b/>
          <w:bCs/>
          <w:sz w:val="22"/>
          <w:szCs w:val="22"/>
          <w:highlight w:val="none"/>
          <w:lang w:eastAsia="zh-CN"/>
        </w:rPr>
        <w:t>（</w:t>
      </w:r>
      <w:r>
        <w:rPr>
          <w:rFonts w:hint="eastAsia" w:ascii="宋体" w:hAnsi="宋体" w:cs="宋体"/>
          <w:b/>
          <w:bCs/>
          <w:sz w:val="22"/>
          <w:szCs w:val="22"/>
          <w:highlight w:val="none"/>
          <w:lang w:val="en-US" w:eastAsia="zh-CN"/>
        </w:rPr>
        <w:t>2</w:t>
      </w:r>
      <w:r>
        <w:rPr>
          <w:rFonts w:hint="eastAsia" w:ascii="宋体" w:hAnsi="宋体" w:cs="宋体"/>
          <w:b/>
          <w:bCs/>
          <w:sz w:val="22"/>
          <w:szCs w:val="22"/>
          <w:highlight w:val="none"/>
          <w:lang w:eastAsia="zh-CN"/>
        </w:rPr>
        <w:t>）</w:t>
      </w:r>
      <w:r>
        <w:rPr>
          <w:rFonts w:hint="eastAsia" w:ascii="宋体" w:hAnsi="宋体" w:cs="宋体"/>
          <w:b/>
          <w:bCs/>
          <w:sz w:val="22"/>
          <w:szCs w:val="22"/>
          <w:highlight w:val="none"/>
        </w:rPr>
        <w:t>服务内容：</w:t>
      </w:r>
      <w:r>
        <w:rPr>
          <w:rFonts w:hint="eastAsia" w:ascii="宋体" w:hAnsi="宋体" w:cs="宋体"/>
          <w:b/>
          <w:bCs/>
          <w:sz w:val="22"/>
          <w:szCs w:val="22"/>
          <w:highlight w:val="none"/>
          <w:u w:val="single"/>
        </w:rPr>
        <w:t xml:space="preserve">                                                         。</w:t>
      </w:r>
    </w:p>
    <w:p w14:paraId="3FE24712">
      <w:pPr>
        <w:widowControl/>
        <w:tabs>
          <w:tab w:val="left" w:pos="0"/>
          <w:tab w:val="left" w:pos="437"/>
          <w:tab w:val="left" w:pos="1311"/>
        </w:tabs>
        <w:adjustRightInd w:val="0"/>
        <w:snapToGrid w:val="0"/>
        <w:spacing w:line="360" w:lineRule="auto"/>
        <w:ind w:firstLine="442" w:firstLineChars="200"/>
        <w:jc w:val="left"/>
        <w:rPr>
          <w:rFonts w:hint="eastAsia" w:ascii="宋体" w:hAnsi="宋体" w:cs="宋体"/>
          <w:b/>
          <w:bCs/>
          <w:kern w:val="0"/>
          <w:sz w:val="22"/>
          <w:szCs w:val="22"/>
          <w:highlight w:val="none"/>
        </w:rPr>
      </w:pPr>
      <w:r>
        <w:rPr>
          <w:rFonts w:hint="eastAsia" w:ascii="宋体" w:hAnsi="宋体" w:cs="宋体"/>
          <w:b/>
          <w:bCs/>
          <w:kern w:val="0"/>
          <w:sz w:val="22"/>
          <w:szCs w:val="22"/>
          <w:highlight w:val="none"/>
        </w:rPr>
        <w:t>（</w:t>
      </w:r>
      <w:r>
        <w:rPr>
          <w:rFonts w:hint="eastAsia" w:ascii="宋体" w:hAnsi="宋体" w:cs="宋体"/>
          <w:b/>
          <w:bCs/>
          <w:kern w:val="0"/>
          <w:sz w:val="22"/>
          <w:szCs w:val="22"/>
          <w:highlight w:val="none"/>
          <w:lang w:val="en-US" w:eastAsia="zh-CN"/>
        </w:rPr>
        <w:t>3</w:t>
      </w:r>
      <w:r>
        <w:rPr>
          <w:rFonts w:hint="eastAsia" w:ascii="宋体" w:hAnsi="宋体" w:cs="宋体"/>
          <w:b/>
          <w:bCs/>
          <w:kern w:val="0"/>
          <w:sz w:val="22"/>
          <w:szCs w:val="22"/>
          <w:highlight w:val="none"/>
        </w:rPr>
        <w:t>）合同履约期限：</w:t>
      </w:r>
      <w:r>
        <w:rPr>
          <w:rFonts w:hint="eastAsia" w:ascii="宋体" w:hAnsi="宋体" w:cs="宋体"/>
          <w:b/>
          <w:bCs/>
          <w:sz w:val="22"/>
          <w:szCs w:val="22"/>
          <w:highlight w:val="none"/>
          <w:u w:val="single"/>
        </w:rPr>
        <w:t xml:space="preserve">                                                     。</w:t>
      </w:r>
    </w:p>
    <w:p w14:paraId="66CD55BA">
      <w:pPr>
        <w:widowControl/>
        <w:tabs>
          <w:tab w:val="left" w:pos="0"/>
          <w:tab w:val="left" w:pos="437"/>
          <w:tab w:val="left" w:pos="1311"/>
        </w:tabs>
        <w:adjustRightInd w:val="0"/>
        <w:snapToGrid w:val="0"/>
        <w:spacing w:line="360" w:lineRule="auto"/>
        <w:jc w:val="left"/>
        <w:rPr>
          <w:rFonts w:hint="eastAsia" w:ascii="宋体" w:hAnsi="宋体" w:cs="宋体"/>
          <w:b/>
          <w:bCs/>
          <w:kern w:val="0"/>
          <w:sz w:val="22"/>
          <w:szCs w:val="22"/>
          <w:highlight w:val="none"/>
        </w:rPr>
      </w:pPr>
      <w:r>
        <w:rPr>
          <w:rFonts w:hint="eastAsia" w:ascii="宋体" w:hAnsi="宋体" w:cs="宋体"/>
          <w:b/>
          <w:bCs/>
          <w:kern w:val="0"/>
          <w:sz w:val="22"/>
          <w:szCs w:val="22"/>
          <w:highlight w:val="none"/>
        </w:rPr>
        <w:t>五、技术资料</w:t>
      </w:r>
    </w:p>
    <w:p w14:paraId="6E5EB8C1">
      <w:pPr>
        <w:tabs>
          <w:tab w:val="left" w:pos="0"/>
          <w:tab w:val="left" w:pos="437"/>
          <w:tab w:val="left" w:pos="1311"/>
        </w:tabs>
        <w:adjustRightInd w:val="0"/>
        <w:snapToGrid w:val="0"/>
        <w:spacing w:line="360" w:lineRule="auto"/>
        <w:ind w:firstLine="440" w:firstLineChars="200"/>
        <w:jc w:val="left"/>
        <w:rPr>
          <w:rFonts w:hint="eastAsia" w:ascii="宋体" w:hAnsi="宋体" w:cs="宋体"/>
          <w:bCs/>
          <w:kern w:val="0"/>
          <w:sz w:val="22"/>
          <w:szCs w:val="22"/>
          <w:highlight w:val="none"/>
        </w:rPr>
      </w:pPr>
      <w:r>
        <w:rPr>
          <w:rFonts w:hint="eastAsia" w:ascii="宋体" w:hAnsi="宋体" w:cs="宋体"/>
          <w:bCs/>
          <w:kern w:val="0"/>
          <w:sz w:val="22"/>
          <w:szCs w:val="22"/>
          <w:highlight w:val="none"/>
        </w:rPr>
        <w:t>1.双方承诺，在未征得对方书面同意前，任何一方不得将本合同内容及与本合同项下的技术服务有关的任何信息泄露给任何第三方。</w:t>
      </w:r>
    </w:p>
    <w:p w14:paraId="42E2AB71">
      <w:pPr>
        <w:tabs>
          <w:tab w:val="left" w:pos="0"/>
          <w:tab w:val="left" w:pos="437"/>
          <w:tab w:val="left" w:pos="1311"/>
        </w:tabs>
        <w:adjustRightInd w:val="0"/>
        <w:snapToGrid w:val="0"/>
        <w:spacing w:line="360" w:lineRule="auto"/>
        <w:ind w:firstLine="440" w:firstLineChars="200"/>
        <w:jc w:val="left"/>
        <w:rPr>
          <w:rFonts w:hint="eastAsia" w:ascii="宋体" w:hAnsi="宋体" w:cs="宋体"/>
          <w:bCs/>
          <w:kern w:val="0"/>
          <w:sz w:val="22"/>
          <w:szCs w:val="22"/>
          <w:highlight w:val="none"/>
        </w:rPr>
      </w:pPr>
      <w:r>
        <w:rPr>
          <w:rFonts w:hint="eastAsia" w:ascii="宋体" w:hAnsi="宋体" w:cs="宋体"/>
          <w:bCs/>
          <w:kern w:val="0"/>
          <w:sz w:val="22"/>
          <w:szCs w:val="22"/>
          <w:highlight w:val="none"/>
        </w:rPr>
        <w:t>2.乙方保证上述软件独立开发完成，不会侵犯任何第三方的合法权益。且保证满足甲方的使用要求。</w:t>
      </w:r>
    </w:p>
    <w:p w14:paraId="0CD7D41D">
      <w:pPr>
        <w:tabs>
          <w:tab w:val="left" w:pos="0"/>
          <w:tab w:val="left" w:pos="437"/>
          <w:tab w:val="left" w:pos="1311"/>
        </w:tabs>
        <w:adjustRightInd w:val="0"/>
        <w:snapToGrid w:val="0"/>
        <w:spacing w:line="360" w:lineRule="auto"/>
        <w:ind w:firstLine="440" w:firstLineChars="200"/>
        <w:jc w:val="left"/>
        <w:rPr>
          <w:rFonts w:hint="eastAsia" w:ascii="宋体" w:hAnsi="宋体" w:cs="宋体"/>
          <w:bCs/>
          <w:kern w:val="0"/>
          <w:sz w:val="22"/>
          <w:szCs w:val="22"/>
          <w:highlight w:val="none"/>
        </w:rPr>
      </w:pPr>
      <w:r>
        <w:rPr>
          <w:rFonts w:hint="eastAsia" w:ascii="宋体" w:hAnsi="宋体" w:cs="宋体"/>
          <w:bCs/>
          <w:kern w:val="0"/>
          <w:sz w:val="22"/>
          <w:szCs w:val="22"/>
          <w:highlight w:val="none"/>
        </w:rPr>
        <w:t>3.乙方保证具有提供本合同约定技术服务的相应资质，并不得将合同事项委托给第三方。</w:t>
      </w:r>
    </w:p>
    <w:p w14:paraId="4EF109A4">
      <w:pPr>
        <w:tabs>
          <w:tab w:val="left" w:pos="0"/>
          <w:tab w:val="left" w:pos="437"/>
          <w:tab w:val="left" w:pos="1311"/>
        </w:tabs>
        <w:adjustRightInd w:val="0"/>
        <w:snapToGrid w:val="0"/>
        <w:spacing w:line="360" w:lineRule="auto"/>
        <w:ind w:firstLine="440" w:firstLineChars="200"/>
        <w:jc w:val="left"/>
        <w:rPr>
          <w:rFonts w:hint="eastAsia" w:ascii="宋体" w:hAnsi="宋体" w:cs="宋体"/>
          <w:bCs/>
          <w:kern w:val="0"/>
          <w:sz w:val="22"/>
          <w:szCs w:val="22"/>
          <w:highlight w:val="none"/>
        </w:rPr>
      </w:pPr>
      <w:r>
        <w:rPr>
          <w:rFonts w:hint="eastAsia" w:ascii="宋体" w:hAnsi="宋体" w:cs="宋体"/>
          <w:bCs/>
          <w:kern w:val="0"/>
          <w:sz w:val="22"/>
          <w:szCs w:val="22"/>
          <w:highlight w:val="none"/>
        </w:rPr>
        <w:t>4.乙方对在履行本合同过程中知悉、获取的甲方信息应当保密，不得对外泄露或用于其他用途，否则应承担全部法律责任。</w:t>
      </w:r>
    </w:p>
    <w:p w14:paraId="100BBFC2">
      <w:pPr>
        <w:tabs>
          <w:tab w:val="left" w:pos="0"/>
          <w:tab w:val="left" w:pos="437"/>
          <w:tab w:val="left" w:pos="1311"/>
        </w:tabs>
        <w:adjustRightInd w:val="0"/>
        <w:snapToGrid w:val="0"/>
        <w:spacing w:line="360" w:lineRule="auto"/>
        <w:jc w:val="left"/>
        <w:rPr>
          <w:rFonts w:hint="eastAsia" w:ascii="宋体" w:hAnsi="宋体" w:cs="宋体"/>
          <w:kern w:val="0"/>
          <w:sz w:val="22"/>
          <w:szCs w:val="22"/>
          <w:highlight w:val="none"/>
        </w:rPr>
      </w:pPr>
      <w:r>
        <w:rPr>
          <w:rFonts w:hint="eastAsia" w:ascii="宋体" w:hAnsi="宋体" w:cs="宋体"/>
          <w:b/>
          <w:kern w:val="0"/>
          <w:sz w:val="22"/>
          <w:szCs w:val="22"/>
          <w:highlight w:val="none"/>
        </w:rPr>
        <w:t>六、验 收</w:t>
      </w:r>
    </w:p>
    <w:p w14:paraId="7387426C">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1.验收时，甲乙双方必须同时在场，乙方所提供的</w:t>
      </w:r>
      <w:r>
        <w:rPr>
          <w:rFonts w:hint="eastAsia" w:ascii="宋体" w:hAnsi="宋体" w:cs="宋体"/>
          <w:kern w:val="0"/>
          <w:sz w:val="22"/>
          <w:szCs w:val="22"/>
          <w:highlight w:val="none"/>
          <w:lang w:val="en-US" w:eastAsia="zh-CN"/>
        </w:rPr>
        <w:t>货物和</w:t>
      </w:r>
      <w:r>
        <w:rPr>
          <w:rFonts w:hint="eastAsia" w:ascii="宋体" w:hAnsi="宋体" w:cs="宋体"/>
          <w:kern w:val="0"/>
          <w:sz w:val="22"/>
          <w:szCs w:val="22"/>
          <w:highlight w:val="none"/>
        </w:rPr>
        <w:t xml:space="preserve">服务不符合合同内容规定的，甲方有权拒绝验收。乙方应及时按本合同内容规定和甲方要求免费进行整改，直至验收合格，方视为乙方按本合同规定完成服务。验收合格的，由双方共同签署《验收报告》。在经过两次限期整改后，服务仍达不到合同文件规定内容的，甲方有权拒收，并可以解除合同；由此引起甲方损失及赔偿责任由乙方承担。 </w:t>
      </w:r>
    </w:p>
    <w:p w14:paraId="270C13C9">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lang w:val="en-US" w:eastAsia="zh-CN"/>
        </w:rPr>
        <w:t>2</w:t>
      </w:r>
      <w:r>
        <w:rPr>
          <w:rFonts w:hint="eastAsia" w:ascii="宋体" w:hAnsi="宋体" w:cs="宋体"/>
          <w:kern w:val="0"/>
          <w:sz w:val="22"/>
          <w:szCs w:val="22"/>
          <w:highlight w:val="none"/>
        </w:rPr>
        <w:t>.甲方可以视项目规模或复杂情况聘请专业人员参与验收，大型或复杂项目，以及涉及专业服务内容的应当邀请国家认可的第三方质量检测机构参与验收。</w:t>
      </w:r>
    </w:p>
    <w:p w14:paraId="155FC4E3">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lang w:val="en-US" w:eastAsia="zh-CN"/>
        </w:rPr>
        <w:t>3</w:t>
      </w:r>
      <w:r>
        <w:rPr>
          <w:rFonts w:hint="eastAsia" w:ascii="宋体" w:hAnsi="宋体" w:cs="宋体"/>
          <w:kern w:val="0"/>
          <w:sz w:val="22"/>
          <w:szCs w:val="22"/>
          <w:highlight w:val="none"/>
        </w:rPr>
        <w:t>.如根据项目实施情况需要分阶段验收，则双方分阶段签署《验收报告》。</w:t>
      </w:r>
    </w:p>
    <w:p w14:paraId="1610FB27">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lang w:val="en-US" w:eastAsia="zh-CN"/>
        </w:rPr>
        <w:t>4</w:t>
      </w:r>
      <w:r>
        <w:rPr>
          <w:rFonts w:hint="eastAsia" w:ascii="宋体" w:hAnsi="宋体" w:cs="宋体"/>
          <w:kern w:val="0"/>
          <w:sz w:val="22"/>
          <w:szCs w:val="22"/>
          <w:highlight w:val="none"/>
        </w:rPr>
        <w:t>.如果合同双方对《验收报告》有分歧，双方须于出现分歧后7天内给对方书面声明，以陈述己方的理由及要求，并附有关证据。分歧应通过协商解决。</w:t>
      </w:r>
    </w:p>
    <w:p w14:paraId="247FD3F9">
      <w:pPr>
        <w:widowControl/>
        <w:tabs>
          <w:tab w:val="left" w:pos="0"/>
          <w:tab w:val="left" w:pos="437"/>
          <w:tab w:val="left" w:pos="1311"/>
        </w:tabs>
        <w:adjustRightInd w:val="0"/>
        <w:snapToGrid w:val="0"/>
        <w:spacing w:line="360" w:lineRule="auto"/>
        <w:jc w:val="left"/>
        <w:rPr>
          <w:rFonts w:hint="eastAsia" w:ascii="宋体" w:hAnsi="宋体" w:cs="宋体"/>
          <w:b/>
          <w:bCs/>
          <w:kern w:val="0"/>
          <w:sz w:val="22"/>
          <w:szCs w:val="22"/>
          <w:highlight w:val="none"/>
        </w:rPr>
      </w:pPr>
      <w:r>
        <w:rPr>
          <w:rFonts w:hint="eastAsia" w:ascii="宋体" w:hAnsi="宋体" w:cs="宋体"/>
          <w:b/>
          <w:bCs/>
          <w:kern w:val="0"/>
          <w:sz w:val="22"/>
          <w:szCs w:val="22"/>
          <w:highlight w:val="none"/>
        </w:rPr>
        <w:t>七、转让或分包</w:t>
      </w:r>
    </w:p>
    <w:p w14:paraId="56F3B1E6">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bCs/>
          <w:kern w:val="0"/>
          <w:sz w:val="22"/>
          <w:szCs w:val="22"/>
          <w:highlight w:val="none"/>
        </w:rPr>
      </w:pPr>
      <w:r>
        <w:rPr>
          <w:rFonts w:hint="eastAsia" w:ascii="宋体" w:hAnsi="宋体" w:cs="宋体"/>
          <w:bCs/>
          <w:kern w:val="0"/>
          <w:sz w:val="22"/>
          <w:szCs w:val="22"/>
          <w:highlight w:val="none"/>
        </w:rPr>
        <w:t>1.本合同范围的项目服务内容，应由乙方直接服务，不得整体转让他人。</w:t>
      </w:r>
    </w:p>
    <w:p w14:paraId="5DFCB878">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bCs/>
          <w:kern w:val="0"/>
          <w:sz w:val="22"/>
          <w:szCs w:val="22"/>
          <w:highlight w:val="none"/>
        </w:rPr>
      </w:pPr>
      <w:r>
        <w:rPr>
          <w:rFonts w:hint="eastAsia" w:ascii="宋体" w:hAnsi="宋体" w:cs="宋体"/>
          <w:bCs/>
          <w:kern w:val="0"/>
          <w:sz w:val="22"/>
          <w:szCs w:val="22"/>
          <w:highlight w:val="none"/>
        </w:rPr>
        <w:t>2.如有整体转让和</w:t>
      </w:r>
      <w:r>
        <w:rPr>
          <w:rFonts w:hint="eastAsia" w:ascii="宋体" w:hAnsi="宋体" w:cs="宋体"/>
          <w:bCs/>
          <w:kern w:val="0"/>
          <w:sz w:val="22"/>
          <w:szCs w:val="22"/>
          <w:highlight w:val="none"/>
          <w:lang w:val="en-US" w:eastAsia="zh-CN"/>
        </w:rPr>
        <w:t>未经招标文件约定</w:t>
      </w:r>
      <w:r>
        <w:rPr>
          <w:rFonts w:hint="eastAsia" w:ascii="宋体" w:hAnsi="宋体" w:cs="宋体"/>
          <w:bCs/>
          <w:kern w:val="0"/>
          <w:sz w:val="22"/>
          <w:szCs w:val="22"/>
          <w:highlight w:val="none"/>
        </w:rPr>
        <w:t>的分包行为，采购人有权解除合同，并要求中标人根据采购人的直接损失，部分或全部退还采购人已支付的报酬。</w:t>
      </w:r>
    </w:p>
    <w:p w14:paraId="433DAD5C">
      <w:pPr>
        <w:widowControl/>
        <w:tabs>
          <w:tab w:val="left" w:pos="0"/>
          <w:tab w:val="left" w:pos="437"/>
          <w:tab w:val="left" w:pos="1311"/>
        </w:tabs>
        <w:adjustRightInd w:val="0"/>
        <w:snapToGrid w:val="0"/>
        <w:spacing w:line="360" w:lineRule="auto"/>
        <w:jc w:val="left"/>
        <w:rPr>
          <w:rFonts w:hint="eastAsia" w:ascii="宋体" w:hAnsi="宋体" w:cs="宋体"/>
          <w:b/>
          <w:kern w:val="0"/>
          <w:sz w:val="22"/>
          <w:szCs w:val="22"/>
          <w:highlight w:val="none"/>
        </w:rPr>
      </w:pPr>
      <w:r>
        <w:rPr>
          <w:rFonts w:hint="eastAsia" w:ascii="宋体" w:hAnsi="宋体" w:cs="宋体"/>
          <w:b/>
          <w:kern w:val="0"/>
          <w:sz w:val="22"/>
          <w:szCs w:val="22"/>
          <w:highlight w:val="none"/>
        </w:rPr>
        <w:t>八、甲方的权利及义务</w:t>
      </w:r>
    </w:p>
    <w:p w14:paraId="30306D20">
      <w:pPr>
        <w:widowControl/>
        <w:tabs>
          <w:tab w:val="left" w:pos="0"/>
          <w:tab w:val="left" w:pos="437"/>
          <w:tab w:val="left" w:pos="1311"/>
        </w:tabs>
        <w:adjustRightInd w:val="0"/>
        <w:snapToGrid w:val="0"/>
        <w:spacing w:line="360" w:lineRule="auto"/>
        <w:ind w:firstLine="442" w:firstLineChars="200"/>
        <w:jc w:val="left"/>
        <w:rPr>
          <w:rFonts w:hint="eastAsia" w:ascii="宋体" w:hAnsi="宋体" w:cs="宋体"/>
          <w:b/>
          <w:bCs/>
          <w:kern w:val="0"/>
          <w:sz w:val="22"/>
          <w:szCs w:val="22"/>
          <w:highlight w:val="none"/>
        </w:rPr>
      </w:pPr>
      <w:r>
        <w:rPr>
          <w:rFonts w:hint="eastAsia" w:ascii="宋体" w:hAnsi="宋体" w:cs="宋体"/>
          <w:b/>
          <w:bCs/>
          <w:kern w:val="0"/>
          <w:sz w:val="22"/>
          <w:szCs w:val="22"/>
          <w:highlight w:val="none"/>
        </w:rPr>
        <w:t>（一）甲方的权利</w:t>
      </w:r>
    </w:p>
    <w:p w14:paraId="4CD74223">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1．甲方有权向乙方询问工作进展情况及相关的内容。</w:t>
      </w:r>
    </w:p>
    <w:p w14:paraId="79110690">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2．甲方有权阐述对具体问题的意见和建议。</w:t>
      </w:r>
    </w:p>
    <w:p w14:paraId="1D35B7F4">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3.甲方有权根据项目的具体情况，要求乙方按期到项目现场协调解决问题。</w:t>
      </w:r>
    </w:p>
    <w:p w14:paraId="30DEC603">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4．当甲方认定乙方专业人员不按合同履行其职责，或与第三人串通给乙方造成经济损失的，甲方有权要求更换专业人员，直至终止合同并要求乙方承担相应的赔偿责任。</w:t>
      </w:r>
    </w:p>
    <w:p w14:paraId="6D5F27AB">
      <w:pPr>
        <w:widowControl/>
        <w:tabs>
          <w:tab w:val="left" w:pos="0"/>
          <w:tab w:val="left" w:pos="437"/>
          <w:tab w:val="left" w:pos="1311"/>
        </w:tabs>
        <w:adjustRightInd w:val="0"/>
        <w:snapToGrid w:val="0"/>
        <w:spacing w:line="360" w:lineRule="auto"/>
        <w:ind w:firstLine="442" w:firstLineChars="200"/>
        <w:jc w:val="left"/>
        <w:rPr>
          <w:rFonts w:hint="eastAsia" w:ascii="宋体" w:hAnsi="宋体" w:cs="宋体"/>
          <w:b/>
          <w:bCs/>
          <w:kern w:val="0"/>
          <w:sz w:val="22"/>
          <w:szCs w:val="22"/>
          <w:highlight w:val="none"/>
        </w:rPr>
      </w:pPr>
      <w:r>
        <w:rPr>
          <w:rFonts w:hint="eastAsia" w:ascii="宋体" w:hAnsi="宋体" w:cs="宋体"/>
          <w:b/>
          <w:bCs/>
          <w:kern w:val="0"/>
          <w:sz w:val="22"/>
          <w:szCs w:val="22"/>
          <w:highlight w:val="none"/>
        </w:rPr>
        <w:t>（二）甲方的义务</w:t>
      </w:r>
    </w:p>
    <w:p w14:paraId="7681CF5E">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1.甲方应当在约定的时间内，向乙方提供与本项目实施有关的资料。</w:t>
      </w:r>
    </w:p>
    <w:p w14:paraId="6CFD39EA">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2.甲方对乙方的生产运行状态进行监督检查发现问题及时提出整改意见。</w:t>
      </w:r>
    </w:p>
    <w:p w14:paraId="49A3AE15">
      <w:pPr>
        <w:widowControl/>
        <w:tabs>
          <w:tab w:val="left" w:pos="0"/>
          <w:tab w:val="left" w:pos="437"/>
          <w:tab w:val="left" w:pos="1311"/>
        </w:tabs>
        <w:adjustRightInd w:val="0"/>
        <w:snapToGrid w:val="0"/>
        <w:spacing w:line="360" w:lineRule="auto"/>
        <w:jc w:val="left"/>
        <w:rPr>
          <w:rFonts w:hint="eastAsia" w:ascii="宋体" w:hAnsi="宋体" w:cs="宋体"/>
          <w:b/>
          <w:kern w:val="0"/>
          <w:sz w:val="22"/>
          <w:szCs w:val="22"/>
          <w:highlight w:val="none"/>
        </w:rPr>
      </w:pPr>
      <w:r>
        <w:rPr>
          <w:rFonts w:hint="eastAsia" w:ascii="宋体" w:hAnsi="宋体" w:cs="宋体"/>
          <w:b/>
          <w:kern w:val="0"/>
          <w:sz w:val="22"/>
          <w:szCs w:val="22"/>
          <w:highlight w:val="none"/>
        </w:rPr>
        <w:t>九、乙方的权利及义务</w:t>
      </w:r>
    </w:p>
    <w:p w14:paraId="275A4102">
      <w:pPr>
        <w:widowControl/>
        <w:tabs>
          <w:tab w:val="left" w:pos="0"/>
          <w:tab w:val="left" w:pos="437"/>
          <w:tab w:val="left" w:pos="1311"/>
        </w:tabs>
        <w:adjustRightInd w:val="0"/>
        <w:snapToGrid w:val="0"/>
        <w:spacing w:line="360" w:lineRule="auto"/>
        <w:ind w:firstLine="442" w:firstLineChars="200"/>
        <w:jc w:val="left"/>
        <w:rPr>
          <w:rFonts w:hint="eastAsia" w:ascii="宋体" w:hAnsi="宋体" w:cs="宋体"/>
          <w:b/>
          <w:bCs/>
          <w:kern w:val="0"/>
          <w:sz w:val="22"/>
          <w:szCs w:val="22"/>
          <w:highlight w:val="none"/>
        </w:rPr>
      </w:pPr>
      <w:r>
        <w:rPr>
          <w:rFonts w:hint="eastAsia" w:ascii="宋体" w:hAnsi="宋体" w:cs="宋体"/>
          <w:b/>
          <w:bCs/>
          <w:kern w:val="0"/>
          <w:sz w:val="22"/>
          <w:szCs w:val="22"/>
          <w:highlight w:val="none"/>
        </w:rPr>
        <w:t>（一）乙方的权利</w:t>
      </w:r>
    </w:p>
    <w:p w14:paraId="4C7CBA59">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1.乙方在项目实施过程中，如甲方提供的资料不明确时，可向甲方提出书面报告。</w:t>
      </w:r>
    </w:p>
    <w:p w14:paraId="6805D341">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2.乙方在项目实施过程中，有到项目现场勘察的权利。</w:t>
      </w:r>
    </w:p>
    <w:p w14:paraId="4286462C">
      <w:pPr>
        <w:widowControl/>
        <w:tabs>
          <w:tab w:val="left" w:pos="0"/>
          <w:tab w:val="left" w:pos="437"/>
          <w:tab w:val="left" w:pos="1311"/>
        </w:tabs>
        <w:adjustRightInd w:val="0"/>
        <w:snapToGrid w:val="0"/>
        <w:spacing w:line="360" w:lineRule="auto"/>
        <w:ind w:firstLine="442" w:firstLineChars="200"/>
        <w:jc w:val="left"/>
        <w:rPr>
          <w:rFonts w:hint="eastAsia" w:ascii="宋体" w:hAnsi="宋体" w:cs="宋体"/>
          <w:b/>
          <w:bCs/>
          <w:kern w:val="0"/>
          <w:sz w:val="22"/>
          <w:szCs w:val="22"/>
          <w:highlight w:val="none"/>
        </w:rPr>
      </w:pPr>
      <w:r>
        <w:rPr>
          <w:rFonts w:hint="eastAsia" w:ascii="宋体" w:hAnsi="宋体" w:cs="宋体"/>
          <w:b/>
          <w:bCs/>
          <w:kern w:val="0"/>
          <w:sz w:val="22"/>
          <w:szCs w:val="22"/>
          <w:highlight w:val="none"/>
        </w:rPr>
        <w:t>（二）乙方的义务</w:t>
      </w:r>
    </w:p>
    <w:p w14:paraId="343ECC7E">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bookmarkStart w:id="3" w:name="_Toc143630947"/>
      <w:r>
        <w:rPr>
          <w:rFonts w:hint="eastAsia" w:ascii="宋体" w:hAnsi="宋体" w:cs="宋体"/>
          <w:kern w:val="0"/>
          <w:sz w:val="22"/>
          <w:szCs w:val="22"/>
          <w:highlight w:val="none"/>
        </w:rPr>
        <w:t>1.负责系统和数据管理模块的日常检查、维护。</w:t>
      </w:r>
    </w:p>
    <w:p w14:paraId="6837D4B0">
      <w:pPr>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2.常规巡检要对问题及时发现、及时提交并处理。</w:t>
      </w:r>
    </w:p>
    <w:p w14:paraId="40E758C0">
      <w:pPr>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3.相关工作及配套服务必须保证科学、准确、符合立体防控系统建设实际情况。</w:t>
      </w:r>
    </w:p>
    <w:p w14:paraId="06449E69">
      <w:pPr>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4.中标人向采购人提供全方位的技术服务，在项目实施的各个阶段中，项目工程师提供7*24小时的电话服务支持，接到用户电话后，在2小时内响应，24小时以内解决问题，以保障用户的正常使用。</w:t>
      </w:r>
    </w:p>
    <w:p w14:paraId="117DE1C3">
      <w:pPr>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5.</w:t>
      </w:r>
      <w:r>
        <w:rPr>
          <w:rFonts w:hint="eastAsia" w:ascii="宋体" w:hAnsi="宋体" w:cs="宋体"/>
          <w:kern w:val="0"/>
          <w:sz w:val="22"/>
          <w:szCs w:val="22"/>
          <w:highlight w:val="none"/>
          <w:lang w:val="en-US" w:eastAsia="zh-CN"/>
        </w:rPr>
        <w:t>整项目免费提供</w:t>
      </w:r>
      <w:r>
        <w:rPr>
          <w:rFonts w:hint="eastAsia" w:ascii="宋体" w:hAnsi="宋体" w:cs="宋体"/>
          <w:kern w:val="0"/>
          <w:sz w:val="22"/>
          <w:szCs w:val="22"/>
          <w:highlight w:val="none"/>
          <w:u w:val="single"/>
          <w:lang w:val="en-US" w:eastAsia="zh-CN"/>
        </w:rPr>
        <w:t xml:space="preserve">  </w:t>
      </w:r>
      <w:r>
        <w:rPr>
          <w:rFonts w:hint="eastAsia" w:ascii="宋体" w:hAnsi="宋体" w:cs="宋体"/>
          <w:kern w:val="0"/>
          <w:sz w:val="22"/>
          <w:szCs w:val="22"/>
          <w:highlight w:val="none"/>
          <w:lang w:val="en-US" w:eastAsia="zh-CN"/>
        </w:rPr>
        <w:t>年质保，并按招标文件要求派驻驻场运维工程师。</w:t>
      </w:r>
      <w:r>
        <w:rPr>
          <w:rFonts w:hint="eastAsia" w:ascii="宋体" w:hAnsi="宋体" w:cs="宋体"/>
          <w:kern w:val="0"/>
          <w:sz w:val="22"/>
          <w:szCs w:val="22"/>
          <w:highlight w:val="none"/>
        </w:rPr>
        <w:t>在运维期间内，项目中涉及设备的系统软件免费升级，需负责全部升级工作，以保证不影响系统的运行。不管是在保修期内还是保修期外，免费为采购人提供技术咨询服务，这其中包括：新技术咨询、配置调整、故障解决等。</w:t>
      </w:r>
    </w:p>
    <w:p w14:paraId="254AB17C">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6.要随时响应采购人提出的其他临时性要求。</w:t>
      </w:r>
    </w:p>
    <w:p w14:paraId="3D87AC00">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7.项目完成后，乙方及时向采购人提供成果资料及相关文件。</w:t>
      </w:r>
    </w:p>
    <w:p w14:paraId="18DE608E">
      <w:pPr>
        <w:widowControl/>
        <w:tabs>
          <w:tab w:val="left" w:pos="0"/>
          <w:tab w:val="left" w:pos="437"/>
          <w:tab w:val="left" w:pos="1311"/>
        </w:tabs>
        <w:adjustRightInd w:val="0"/>
        <w:snapToGrid w:val="0"/>
        <w:spacing w:line="360" w:lineRule="auto"/>
        <w:ind w:firstLine="440" w:firstLineChars="200"/>
        <w:jc w:val="left"/>
        <w:rPr>
          <w:rFonts w:hint="eastAsia" w:ascii="宋体" w:hAnsi="宋体" w:eastAsia="宋体" w:cs="宋体"/>
          <w:bCs/>
          <w:kern w:val="0"/>
          <w:sz w:val="22"/>
          <w:szCs w:val="22"/>
          <w:highlight w:val="none"/>
        </w:rPr>
      </w:pPr>
      <w:r>
        <w:rPr>
          <w:rFonts w:hint="eastAsia" w:ascii="宋体" w:hAnsi="宋体" w:cs="宋体"/>
          <w:bCs/>
          <w:kern w:val="0"/>
          <w:sz w:val="22"/>
          <w:szCs w:val="22"/>
          <w:highlight w:val="none"/>
        </w:rPr>
        <w:t>8.系统验收完成后，需要对本项目提供详细的系统使用培训服务，提供详尽的培训方案及培训计划，并列出培训的具体内容及方式，确保使用人员能够独立熟练操作、维护和正常使用。</w:t>
      </w:r>
    </w:p>
    <w:bookmarkEnd w:id="3"/>
    <w:p w14:paraId="262AF849">
      <w:pPr>
        <w:spacing w:line="360" w:lineRule="auto"/>
        <w:outlineLvl w:val="1"/>
        <w:rPr>
          <w:rFonts w:hint="eastAsia" w:ascii="宋体" w:hAnsi="宋体" w:cs="宋体"/>
          <w:b/>
          <w:sz w:val="22"/>
          <w:szCs w:val="22"/>
          <w:highlight w:val="none"/>
        </w:rPr>
      </w:pPr>
      <w:bookmarkStart w:id="4" w:name="_Toc23218"/>
      <w:r>
        <w:rPr>
          <w:rFonts w:hint="eastAsia" w:ascii="宋体" w:hAnsi="宋体" w:cs="宋体"/>
          <w:b/>
          <w:sz w:val="22"/>
          <w:szCs w:val="22"/>
          <w:highlight w:val="none"/>
        </w:rPr>
        <w:t>十、违约责任</w:t>
      </w:r>
      <w:bookmarkEnd w:id="4"/>
    </w:p>
    <w:p w14:paraId="5983D40C">
      <w:pPr>
        <w:pStyle w:val="8"/>
        <w:numPr>
          <w:ilvl w:val="1"/>
          <w:numId w:val="0"/>
        </w:numPr>
        <w:spacing w:line="360" w:lineRule="auto"/>
        <w:ind w:firstLine="440" w:firstLineChars="200"/>
        <w:rPr>
          <w:rFonts w:hint="eastAsia" w:ascii="宋体" w:hAnsi="宋体" w:cs="宋体"/>
          <w:kern w:val="0"/>
          <w:sz w:val="22"/>
          <w:szCs w:val="22"/>
          <w:highlight w:val="none"/>
        </w:rPr>
      </w:pPr>
      <w:r>
        <w:rPr>
          <w:rFonts w:hint="eastAsia" w:ascii="宋体" w:hAnsi="宋体" w:cs="宋体"/>
          <w:kern w:val="0"/>
          <w:sz w:val="22"/>
          <w:szCs w:val="22"/>
          <w:highlight w:val="none"/>
        </w:rPr>
        <w:t>1.甲方应根据合同</w:t>
      </w:r>
      <w:r>
        <w:rPr>
          <w:rFonts w:hint="eastAsia" w:ascii="宋体" w:hAnsi="宋体" w:cs="宋体"/>
          <w:kern w:val="0"/>
          <w:sz w:val="22"/>
          <w:szCs w:val="22"/>
          <w:highlight w:val="none"/>
          <w:lang w:val="en-US" w:eastAsia="zh-CN"/>
        </w:rPr>
        <w:t>约</w:t>
      </w:r>
      <w:r>
        <w:rPr>
          <w:rFonts w:hint="eastAsia" w:ascii="宋体" w:hAnsi="宋体" w:cs="宋体"/>
          <w:kern w:val="0"/>
          <w:sz w:val="22"/>
          <w:szCs w:val="22"/>
          <w:highlight w:val="none"/>
        </w:rPr>
        <w:t>定付款，甲方如无正当理由不能按本合同约定时间付款，甲方应按</w:t>
      </w:r>
      <w:r>
        <w:rPr>
          <w:rFonts w:hint="eastAsia" w:ascii="宋体" w:hAnsi="宋体" w:cs="宋体"/>
          <w:kern w:val="0"/>
          <w:sz w:val="22"/>
          <w:szCs w:val="22"/>
          <w:highlight w:val="none"/>
          <w:lang w:val="en-US" w:eastAsia="zh-CN"/>
        </w:rPr>
        <w:t>应付款一年期的LPR</w:t>
      </w:r>
      <w:r>
        <w:rPr>
          <w:rFonts w:hint="eastAsia" w:ascii="宋体" w:hAnsi="宋体" w:cs="宋体"/>
          <w:kern w:val="0"/>
          <w:sz w:val="22"/>
          <w:szCs w:val="22"/>
          <w:highlight w:val="none"/>
        </w:rPr>
        <w:t>向乙方支付</w:t>
      </w:r>
      <w:r>
        <w:rPr>
          <w:rFonts w:hint="eastAsia" w:ascii="宋体" w:hAnsi="宋体" w:cs="宋体"/>
          <w:kern w:val="0"/>
          <w:sz w:val="22"/>
          <w:szCs w:val="22"/>
          <w:highlight w:val="none"/>
          <w:lang w:val="en-US" w:eastAsia="zh-CN"/>
        </w:rPr>
        <w:t>延期付款的利息</w:t>
      </w:r>
      <w:r>
        <w:rPr>
          <w:rFonts w:hint="eastAsia" w:ascii="宋体" w:hAnsi="宋体" w:cs="宋体"/>
          <w:kern w:val="0"/>
          <w:sz w:val="22"/>
          <w:szCs w:val="22"/>
          <w:highlight w:val="none"/>
        </w:rPr>
        <w:t>。</w:t>
      </w:r>
    </w:p>
    <w:p w14:paraId="316AADCC">
      <w:pPr>
        <w:pStyle w:val="8"/>
        <w:numPr>
          <w:ilvl w:val="1"/>
          <w:numId w:val="0"/>
        </w:numPr>
        <w:spacing w:line="360" w:lineRule="auto"/>
        <w:ind w:firstLine="440" w:firstLineChars="200"/>
        <w:rPr>
          <w:rFonts w:hint="eastAsia" w:ascii="宋体" w:hAnsi="宋体" w:cs="宋体"/>
          <w:kern w:val="0"/>
          <w:sz w:val="22"/>
          <w:szCs w:val="22"/>
          <w:highlight w:val="none"/>
        </w:rPr>
      </w:pPr>
      <w:r>
        <w:rPr>
          <w:rFonts w:hint="eastAsia" w:ascii="宋体" w:hAnsi="宋体" w:cs="宋体"/>
          <w:kern w:val="0"/>
          <w:sz w:val="22"/>
          <w:szCs w:val="22"/>
          <w:highlight w:val="none"/>
        </w:rPr>
        <w:t>2.甲方拒绝接收工作成果的，甲方已经支付的货款乙方将不予退回。</w:t>
      </w:r>
    </w:p>
    <w:p w14:paraId="649A31FD">
      <w:pPr>
        <w:pStyle w:val="8"/>
        <w:numPr>
          <w:ilvl w:val="1"/>
          <w:numId w:val="0"/>
        </w:numPr>
        <w:spacing w:line="360" w:lineRule="auto"/>
        <w:ind w:firstLine="440" w:firstLineChars="200"/>
        <w:rPr>
          <w:rFonts w:hint="eastAsia" w:ascii="宋体" w:hAnsi="宋体" w:cs="宋体"/>
          <w:kern w:val="0"/>
          <w:sz w:val="22"/>
          <w:szCs w:val="22"/>
          <w:highlight w:val="none"/>
        </w:rPr>
      </w:pPr>
      <w:r>
        <w:rPr>
          <w:rFonts w:hint="eastAsia" w:ascii="宋体" w:hAnsi="宋体" w:cs="宋体"/>
          <w:kern w:val="0"/>
          <w:sz w:val="22"/>
          <w:szCs w:val="22"/>
          <w:highlight w:val="none"/>
        </w:rPr>
        <w:t>3.乙方不能按合同规定的时间提交工作成果和提供服务时，或提供的技术服务有瑕疵，不能满足甲方正常使用的，视为违约，乙方应向甲方支付合同总价【  】%的违约金并承担由此给甲方造成的全部损失，包括但不限于违约金、损失赔偿金等。</w:t>
      </w:r>
    </w:p>
    <w:p w14:paraId="0A7CB0AC">
      <w:pPr>
        <w:pStyle w:val="8"/>
        <w:numPr>
          <w:ilvl w:val="1"/>
          <w:numId w:val="0"/>
        </w:numPr>
        <w:spacing w:line="360" w:lineRule="auto"/>
        <w:ind w:firstLine="440" w:firstLineChars="200"/>
        <w:rPr>
          <w:rFonts w:hint="eastAsia" w:ascii="宋体" w:hAnsi="宋体" w:cs="宋体"/>
          <w:kern w:val="0"/>
          <w:sz w:val="22"/>
          <w:szCs w:val="22"/>
          <w:highlight w:val="none"/>
        </w:rPr>
      </w:pPr>
      <w:r>
        <w:rPr>
          <w:rFonts w:hint="eastAsia" w:ascii="宋体" w:hAnsi="宋体" w:cs="宋体"/>
          <w:kern w:val="0"/>
          <w:sz w:val="22"/>
          <w:szCs w:val="22"/>
          <w:highlight w:val="none"/>
        </w:rPr>
        <w:t>4.特殊情况下，乙方征得甲方书面同意后，合同履行期限可以顺延。若乙方在甲方规定期限内仍无法提交工作成果和提供服务时，每迟延一天，甲方按本合同未完成部分价格的10%扣除乙方未支付的合同款，直至乙方完成合同约定内容。</w:t>
      </w:r>
    </w:p>
    <w:p w14:paraId="6C927054">
      <w:pPr>
        <w:widowControl/>
        <w:tabs>
          <w:tab w:val="left" w:pos="0"/>
          <w:tab w:val="left" w:pos="437"/>
          <w:tab w:val="left" w:pos="1311"/>
        </w:tabs>
        <w:adjustRightInd w:val="0"/>
        <w:snapToGrid w:val="0"/>
        <w:spacing w:line="360" w:lineRule="auto"/>
        <w:jc w:val="left"/>
        <w:rPr>
          <w:rFonts w:hint="eastAsia" w:ascii="宋体" w:hAnsi="宋体" w:cs="宋体"/>
          <w:b/>
          <w:bCs/>
          <w:kern w:val="0"/>
          <w:sz w:val="22"/>
          <w:szCs w:val="22"/>
          <w:highlight w:val="none"/>
        </w:rPr>
      </w:pPr>
      <w:r>
        <w:rPr>
          <w:rFonts w:hint="eastAsia" w:ascii="宋体" w:hAnsi="宋体" w:cs="宋体"/>
          <w:b/>
          <w:bCs/>
          <w:kern w:val="0"/>
          <w:sz w:val="22"/>
          <w:szCs w:val="22"/>
          <w:highlight w:val="none"/>
        </w:rPr>
        <w:t>十一、不可抗力事件处理</w:t>
      </w:r>
    </w:p>
    <w:p w14:paraId="48EC290C">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1. 在合同有效期内，任何一方因不可抗力事件导致不能履行合同，则合同履行期可延长，其延长期与不可抗力影响期相同。</w:t>
      </w:r>
    </w:p>
    <w:p w14:paraId="26EF85CE">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2. 不可抗力事件发生后，应立即通知对方，并寄送有关权威机构出具的证明。</w:t>
      </w:r>
    </w:p>
    <w:p w14:paraId="4DECFE83">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3. 不可抗力事件延续120天以上，双方应通过友好协商，确定是否继续履行合同。</w:t>
      </w:r>
    </w:p>
    <w:p w14:paraId="17ECB6CB">
      <w:pPr>
        <w:widowControl/>
        <w:tabs>
          <w:tab w:val="left" w:pos="0"/>
          <w:tab w:val="left" w:pos="437"/>
          <w:tab w:val="left" w:pos="1311"/>
        </w:tabs>
        <w:adjustRightInd w:val="0"/>
        <w:snapToGrid w:val="0"/>
        <w:spacing w:line="360" w:lineRule="auto"/>
        <w:jc w:val="left"/>
        <w:rPr>
          <w:rFonts w:hint="eastAsia" w:ascii="宋体" w:hAnsi="宋体" w:cs="宋体"/>
          <w:b/>
          <w:bCs/>
          <w:kern w:val="0"/>
          <w:sz w:val="22"/>
          <w:szCs w:val="22"/>
          <w:highlight w:val="none"/>
        </w:rPr>
      </w:pPr>
      <w:r>
        <w:rPr>
          <w:rFonts w:hint="eastAsia" w:ascii="宋体" w:hAnsi="宋体" w:cs="宋体"/>
          <w:b/>
          <w:bCs/>
          <w:kern w:val="0"/>
          <w:sz w:val="22"/>
          <w:szCs w:val="22"/>
          <w:highlight w:val="none"/>
        </w:rPr>
        <w:t>十</w:t>
      </w:r>
      <w:r>
        <w:rPr>
          <w:rFonts w:hint="eastAsia" w:ascii="宋体" w:hAnsi="宋体" w:cs="宋体"/>
          <w:b/>
          <w:bCs/>
          <w:kern w:val="0"/>
          <w:sz w:val="22"/>
          <w:szCs w:val="22"/>
          <w:highlight w:val="none"/>
          <w:lang w:val="en-US" w:eastAsia="zh-CN"/>
        </w:rPr>
        <w:t>二</w:t>
      </w:r>
      <w:r>
        <w:rPr>
          <w:rFonts w:hint="eastAsia" w:ascii="宋体" w:hAnsi="宋体" w:cs="宋体"/>
          <w:b/>
          <w:bCs/>
          <w:kern w:val="0"/>
          <w:sz w:val="22"/>
          <w:szCs w:val="22"/>
          <w:highlight w:val="none"/>
        </w:rPr>
        <w:t>、争议解决与适用法律</w:t>
      </w:r>
    </w:p>
    <w:p w14:paraId="6F2D3CFF">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1.如双方就本合同内容或其执行发生任何争议，双方应进行友好协商；协商不成时，依法提交</w:t>
      </w:r>
      <w:r>
        <w:rPr>
          <w:rFonts w:hint="eastAsia" w:ascii="宋体" w:hAnsi="宋体" w:cs="宋体"/>
          <w:kern w:val="0"/>
          <w:sz w:val="22"/>
          <w:szCs w:val="22"/>
          <w:highlight w:val="none"/>
          <w:lang w:val="en-US" w:eastAsia="zh-CN"/>
        </w:rPr>
        <w:t>甲</w:t>
      </w:r>
      <w:r>
        <w:rPr>
          <w:rFonts w:hint="eastAsia" w:ascii="宋体" w:hAnsi="宋体" w:cs="宋体"/>
          <w:kern w:val="0"/>
          <w:sz w:val="22"/>
          <w:szCs w:val="22"/>
          <w:highlight w:val="none"/>
        </w:rPr>
        <w:t>方所在地人民法院解决。</w:t>
      </w:r>
    </w:p>
    <w:p w14:paraId="3589E5C5">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2.本合同的订立、执行和解释及争议的解决均应适用中国法律。</w:t>
      </w:r>
    </w:p>
    <w:p w14:paraId="06407609">
      <w:pPr>
        <w:widowControl/>
        <w:tabs>
          <w:tab w:val="left" w:pos="0"/>
          <w:tab w:val="left" w:pos="437"/>
          <w:tab w:val="left" w:pos="1311"/>
        </w:tabs>
        <w:adjustRightInd w:val="0"/>
        <w:snapToGrid w:val="0"/>
        <w:spacing w:line="360" w:lineRule="auto"/>
        <w:jc w:val="left"/>
        <w:rPr>
          <w:rFonts w:hint="eastAsia" w:ascii="宋体" w:hAnsi="宋体" w:cs="宋体"/>
          <w:b/>
          <w:bCs/>
          <w:kern w:val="0"/>
          <w:sz w:val="22"/>
          <w:szCs w:val="22"/>
          <w:highlight w:val="none"/>
        </w:rPr>
      </w:pPr>
      <w:r>
        <w:rPr>
          <w:rFonts w:hint="eastAsia" w:ascii="宋体" w:hAnsi="宋体" w:cs="宋体"/>
          <w:b/>
          <w:bCs/>
          <w:kern w:val="0"/>
          <w:sz w:val="22"/>
          <w:szCs w:val="22"/>
          <w:highlight w:val="none"/>
        </w:rPr>
        <w:t>十</w:t>
      </w:r>
      <w:r>
        <w:rPr>
          <w:rFonts w:hint="eastAsia" w:ascii="宋体" w:hAnsi="宋体" w:cs="宋体"/>
          <w:b/>
          <w:bCs/>
          <w:kern w:val="0"/>
          <w:sz w:val="22"/>
          <w:szCs w:val="22"/>
          <w:highlight w:val="none"/>
          <w:lang w:val="en-US" w:eastAsia="zh-CN"/>
        </w:rPr>
        <w:t>三</w:t>
      </w:r>
      <w:r>
        <w:rPr>
          <w:rFonts w:hint="eastAsia" w:ascii="宋体" w:hAnsi="宋体" w:cs="宋体"/>
          <w:b/>
          <w:bCs/>
          <w:kern w:val="0"/>
          <w:sz w:val="22"/>
          <w:szCs w:val="22"/>
          <w:highlight w:val="none"/>
        </w:rPr>
        <w:t>、合同生效及其它</w:t>
      </w:r>
    </w:p>
    <w:p w14:paraId="71FCE4F9">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1.本合同经甲方、</w:t>
      </w:r>
      <w:r>
        <w:rPr>
          <w:rFonts w:hint="eastAsia" w:ascii="宋体" w:hAnsi="宋体" w:cs="宋体"/>
          <w:sz w:val="22"/>
          <w:szCs w:val="22"/>
          <w:highlight w:val="none"/>
        </w:rPr>
        <w:t>乙方</w:t>
      </w:r>
      <w:r>
        <w:rPr>
          <w:rFonts w:hint="eastAsia" w:ascii="宋体" w:hAnsi="宋体" w:cs="宋体"/>
          <w:kern w:val="0"/>
          <w:sz w:val="22"/>
          <w:szCs w:val="22"/>
          <w:highlight w:val="none"/>
        </w:rPr>
        <w:t>法定代表人或其委托人签字并加盖公章后生效。</w:t>
      </w:r>
    </w:p>
    <w:p w14:paraId="0DE91D05">
      <w:pPr>
        <w:widowControl/>
        <w:tabs>
          <w:tab w:val="left" w:pos="0"/>
          <w:tab w:val="left" w:pos="437"/>
          <w:tab w:val="left" w:pos="1311"/>
        </w:tabs>
        <w:adjustRightInd w:val="0"/>
        <w:snapToGrid w:val="0"/>
        <w:spacing w:line="360" w:lineRule="auto"/>
        <w:ind w:firstLine="408" w:firstLineChars="200"/>
        <w:jc w:val="left"/>
        <w:rPr>
          <w:rFonts w:hint="eastAsia" w:ascii="宋体" w:hAnsi="宋体" w:cs="宋体"/>
          <w:kern w:val="0"/>
          <w:sz w:val="22"/>
          <w:szCs w:val="22"/>
          <w:highlight w:val="none"/>
        </w:rPr>
      </w:pPr>
      <w:r>
        <w:rPr>
          <w:rFonts w:hint="eastAsia" w:ascii="宋体" w:hAnsi="宋体" w:cs="宋体"/>
          <w:spacing w:val="-8"/>
          <w:kern w:val="0"/>
          <w:sz w:val="22"/>
          <w:szCs w:val="22"/>
          <w:highlight w:val="none"/>
        </w:rPr>
        <w:t>2.本合同一式</w:t>
      </w:r>
      <w:r>
        <w:rPr>
          <w:rFonts w:hint="eastAsia" w:ascii="宋体" w:hAnsi="宋体" w:cs="宋体"/>
          <w:spacing w:val="-8"/>
          <w:kern w:val="0"/>
          <w:sz w:val="22"/>
          <w:szCs w:val="22"/>
          <w:highlight w:val="none"/>
          <w:u w:val="single"/>
        </w:rPr>
        <w:t xml:space="preserve">  </w:t>
      </w:r>
      <w:r>
        <w:rPr>
          <w:rFonts w:hint="eastAsia" w:ascii="宋体" w:hAnsi="宋体" w:cs="宋体"/>
          <w:spacing w:val="-8"/>
          <w:kern w:val="0"/>
          <w:sz w:val="22"/>
          <w:szCs w:val="22"/>
          <w:highlight w:val="none"/>
        </w:rPr>
        <w:t>份，采购人执</w:t>
      </w:r>
      <w:r>
        <w:rPr>
          <w:rFonts w:hint="eastAsia" w:ascii="宋体" w:hAnsi="宋体" w:cs="宋体"/>
          <w:spacing w:val="-8"/>
          <w:kern w:val="0"/>
          <w:sz w:val="22"/>
          <w:szCs w:val="22"/>
          <w:highlight w:val="none"/>
          <w:u w:val="single"/>
        </w:rPr>
        <w:t xml:space="preserve">  </w:t>
      </w:r>
      <w:r>
        <w:rPr>
          <w:rFonts w:hint="eastAsia" w:ascii="宋体" w:hAnsi="宋体" w:cs="宋体"/>
          <w:spacing w:val="-8"/>
          <w:kern w:val="0"/>
          <w:sz w:val="22"/>
          <w:szCs w:val="22"/>
          <w:highlight w:val="none"/>
        </w:rPr>
        <w:t>份、中标人执</w:t>
      </w:r>
      <w:r>
        <w:rPr>
          <w:rFonts w:hint="eastAsia" w:ascii="宋体" w:hAnsi="宋体" w:cs="宋体"/>
          <w:spacing w:val="-8"/>
          <w:kern w:val="0"/>
          <w:sz w:val="22"/>
          <w:szCs w:val="22"/>
          <w:highlight w:val="none"/>
          <w:u w:val="single"/>
        </w:rPr>
        <w:t xml:space="preserve">  </w:t>
      </w:r>
      <w:r>
        <w:rPr>
          <w:rFonts w:hint="eastAsia" w:ascii="宋体" w:hAnsi="宋体" w:cs="宋体"/>
          <w:spacing w:val="-8"/>
          <w:kern w:val="0"/>
          <w:sz w:val="22"/>
          <w:szCs w:val="22"/>
          <w:highlight w:val="none"/>
        </w:rPr>
        <w:t>份，其余相关部门各</w:t>
      </w:r>
      <w:r>
        <w:rPr>
          <w:rFonts w:hint="eastAsia" w:ascii="宋体" w:hAnsi="宋体" w:cs="宋体"/>
          <w:spacing w:val="-8"/>
          <w:kern w:val="0"/>
          <w:sz w:val="22"/>
          <w:szCs w:val="22"/>
          <w:highlight w:val="none"/>
          <w:u w:val="single"/>
        </w:rPr>
        <w:t xml:space="preserve">  </w:t>
      </w:r>
      <w:r>
        <w:rPr>
          <w:rFonts w:hint="eastAsia" w:ascii="宋体" w:hAnsi="宋体" w:cs="宋体"/>
          <w:spacing w:val="-8"/>
          <w:kern w:val="0"/>
          <w:sz w:val="22"/>
          <w:szCs w:val="22"/>
          <w:highlight w:val="none"/>
        </w:rPr>
        <w:t>份</w:t>
      </w:r>
      <w:r>
        <w:rPr>
          <w:rFonts w:hint="eastAsia" w:ascii="宋体" w:hAnsi="宋体" w:cs="宋体"/>
          <w:spacing w:val="-8"/>
          <w:kern w:val="0"/>
          <w:sz w:val="22"/>
          <w:szCs w:val="22"/>
          <w:highlight w:val="none"/>
          <w:lang w:eastAsia="zh-CN"/>
        </w:rPr>
        <w:t>，</w:t>
      </w:r>
      <w:r>
        <w:rPr>
          <w:rFonts w:hint="eastAsia" w:ascii="宋体" w:hAnsi="宋体" w:cs="宋体"/>
          <w:spacing w:val="-8"/>
          <w:kern w:val="0"/>
          <w:sz w:val="22"/>
          <w:szCs w:val="22"/>
          <w:highlight w:val="none"/>
          <w:lang w:val="en-US" w:eastAsia="zh-CN"/>
        </w:rPr>
        <w:t>所有合同均具有同等法律效力</w:t>
      </w:r>
      <w:r>
        <w:rPr>
          <w:rFonts w:hint="eastAsia" w:ascii="宋体" w:hAnsi="宋体" w:cs="宋体"/>
          <w:spacing w:val="-8"/>
          <w:kern w:val="0"/>
          <w:sz w:val="22"/>
          <w:szCs w:val="22"/>
          <w:highlight w:val="none"/>
        </w:rPr>
        <w:t>。</w:t>
      </w:r>
    </w:p>
    <w:p w14:paraId="430B0655">
      <w:pPr>
        <w:pStyle w:val="4"/>
        <w:spacing w:line="360" w:lineRule="auto"/>
        <w:ind w:firstLine="440" w:firstLineChars="200"/>
        <w:rPr>
          <w:rFonts w:hint="eastAsia" w:ascii="宋体" w:hAnsi="宋体" w:cs="宋体"/>
          <w:color w:val="auto"/>
          <w:kern w:val="0"/>
          <w:sz w:val="22"/>
          <w:szCs w:val="22"/>
          <w:highlight w:val="none"/>
        </w:rPr>
      </w:pPr>
    </w:p>
    <w:p w14:paraId="18FEC997">
      <w:pPr>
        <w:pStyle w:val="4"/>
        <w:spacing w:line="360" w:lineRule="auto"/>
        <w:ind w:firstLine="440" w:firstLineChars="200"/>
        <w:rPr>
          <w:rFonts w:hint="eastAsia" w:ascii="宋体" w:hAnsi="宋体" w:cs="宋体"/>
          <w:color w:val="auto"/>
          <w:kern w:val="0"/>
          <w:sz w:val="22"/>
          <w:szCs w:val="22"/>
          <w:highlight w:val="none"/>
        </w:rPr>
      </w:pPr>
    </w:p>
    <w:p w14:paraId="0188701D">
      <w:pPr>
        <w:pStyle w:val="4"/>
        <w:spacing w:line="360" w:lineRule="auto"/>
        <w:ind w:firstLine="440" w:firstLineChars="200"/>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xml:space="preserve">采购人（甲方）：                             中标人（乙方）：         </w:t>
      </w:r>
    </w:p>
    <w:p w14:paraId="6A41BC3C">
      <w:pPr>
        <w:pStyle w:val="4"/>
        <w:spacing w:line="360" w:lineRule="auto"/>
        <w:ind w:firstLine="440" w:firstLineChars="200"/>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法定代表人                                   法定代表人</w:t>
      </w:r>
    </w:p>
    <w:p w14:paraId="76DF305F">
      <w:pPr>
        <w:pStyle w:val="4"/>
        <w:spacing w:line="360" w:lineRule="auto"/>
        <w:ind w:firstLine="440" w:firstLineChars="200"/>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xml:space="preserve">或委托代理人（签字或盖章）：                 或委托代理人（签字或盖章）：  </w:t>
      </w:r>
    </w:p>
    <w:p w14:paraId="6B4FAB5D">
      <w:pPr>
        <w:pStyle w:val="4"/>
        <w:spacing w:line="360" w:lineRule="auto"/>
        <w:rPr>
          <w:rFonts w:hint="eastAsia" w:ascii="宋体" w:hAnsi="宋体" w:cs="宋体"/>
          <w:sz w:val="22"/>
          <w:szCs w:val="22"/>
          <w:highlight w:val="none"/>
        </w:rPr>
      </w:pPr>
    </w:p>
    <w:p w14:paraId="77774C8F">
      <w:pPr>
        <w:pStyle w:val="7"/>
        <w:keepNext w:val="0"/>
        <w:keepLines w:val="0"/>
        <w:pageBreakBefore w:val="0"/>
        <w:kinsoku/>
        <w:wordWrap/>
        <w:overflowPunct/>
        <w:topLinePunct w:val="0"/>
        <w:autoSpaceDE/>
        <w:autoSpaceDN/>
        <w:bidi w:val="0"/>
        <w:adjustRightInd/>
        <w:snapToGrid/>
        <w:spacing w:line="400" w:lineRule="exact"/>
        <w:ind w:firstLine="960"/>
        <w:textAlignment w:val="auto"/>
        <w:outlineLvl w:val="9"/>
        <w:rPr>
          <w:rFonts w:hint="eastAsia" w:ascii="宋体" w:hAnsi="宋体" w:eastAsia="宋体" w:cs="宋体"/>
          <w:sz w:val="20"/>
          <w:szCs w:val="20"/>
          <w:highlight w:val="none"/>
        </w:rPr>
      </w:pPr>
      <w:r>
        <w:rPr>
          <w:rFonts w:hint="eastAsia" w:ascii="宋体" w:hAnsi="宋体" w:cs="宋体"/>
          <w:kern w:val="0"/>
          <w:sz w:val="22"/>
          <w:szCs w:val="22"/>
          <w:highlight w:val="none"/>
        </w:rPr>
        <w:t>年   月   日                                年   月   日</w:t>
      </w:r>
    </w:p>
    <w:p w14:paraId="4A40DA94">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2D1AD8"/>
    <w:multiLevelType w:val="multilevel"/>
    <w:tmpl w:val="322D1AD8"/>
    <w:lvl w:ilvl="0" w:tentative="0">
      <w:start w:val="1"/>
      <w:numFmt w:val="decimal"/>
      <w:lvlText w:val="%1."/>
      <w:lvlJc w:val="left"/>
      <w:pPr>
        <w:tabs>
          <w:tab w:val="left" w:pos="567"/>
        </w:tabs>
        <w:ind w:left="567" w:hanging="567"/>
      </w:pPr>
      <w:rPr>
        <w:rFonts w:hint="eastAsia"/>
        <w:u w:val="none"/>
      </w:rPr>
    </w:lvl>
    <w:lvl w:ilvl="1" w:tentative="0">
      <w:start w:val="1"/>
      <w:numFmt w:val="decimal"/>
      <w:pStyle w:val="8"/>
      <w:isLgl/>
      <w:suff w:val="space"/>
      <w:lvlText w:val="%1.%2"/>
      <w:lvlJc w:val="left"/>
      <w:pPr>
        <w:ind w:left="1417" w:hanging="567"/>
      </w:pPr>
      <w:rPr>
        <w:rFonts w:hint="default"/>
      </w:rPr>
    </w:lvl>
    <w:lvl w:ilvl="2" w:tentative="0">
      <w:start w:val="1"/>
      <w:numFmt w:val="decimal"/>
      <w:isLgl/>
      <w:lvlText w:val="%1.%2.%3"/>
      <w:lvlJc w:val="left"/>
      <w:pPr>
        <w:tabs>
          <w:tab w:val="left" w:pos="420"/>
        </w:tabs>
        <w:ind w:left="420" w:hanging="420"/>
      </w:pPr>
      <w:rPr>
        <w:rFonts w:hint="default"/>
      </w:rPr>
    </w:lvl>
    <w:lvl w:ilvl="3" w:tentative="0">
      <w:start w:val="1"/>
      <w:numFmt w:val="decimal"/>
      <w:isLgl/>
      <w:lvlText w:val="%1.%2.%3.%4"/>
      <w:lvlJc w:val="left"/>
      <w:pPr>
        <w:tabs>
          <w:tab w:val="left" w:pos="420"/>
        </w:tabs>
        <w:ind w:left="420" w:hanging="420"/>
      </w:pPr>
      <w:rPr>
        <w:rFonts w:hint="default"/>
      </w:rPr>
    </w:lvl>
    <w:lvl w:ilvl="4" w:tentative="0">
      <w:start w:val="1"/>
      <w:numFmt w:val="decimal"/>
      <w:isLgl/>
      <w:lvlText w:val="%1.%2.%3.%4.%5"/>
      <w:lvlJc w:val="left"/>
      <w:pPr>
        <w:tabs>
          <w:tab w:val="left" w:pos="420"/>
        </w:tabs>
        <w:ind w:left="420" w:hanging="420"/>
      </w:pPr>
      <w:rPr>
        <w:rFonts w:hint="default"/>
      </w:rPr>
    </w:lvl>
    <w:lvl w:ilvl="5" w:tentative="0">
      <w:start w:val="1"/>
      <w:numFmt w:val="decimal"/>
      <w:isLgl/>
      <w:lvlText w:val="%1.%2.%3.%4.%5.%6"/>
      <w:lvlJc w:val="left"/>
      <w:pPr>
        <w:tabs>
          <w:tab w:val="left" w:pos="420"/>
        </w:tabs>
        <w:ind w:left="420" w:hanging="420"/>
      </w:pPr>
      <w:rPr>
        <w:rFonts w:hint="default"/>
      </w:rPr>
    </w:lvl>
    <w:lvl w:ilvl="6" w:tentative="0">
      <w:start w:val="1"/>
      <w:numFmt w:val="decimal"/>
      <w:isLgl/>
      <w:lvlText w:val="%1.%2.%3.%4.%5.%6.%7"/>
      <w:lvlJc w:val="left"/>
      <w:pPr>
        <w:tabs>
          <w:tab w:val="left" w:pos="420"/>
        </w:tabs>
        <w:ind w:left="420" w:hanging="420"/>
      </w:pPr>
      <w:rPr>
        <w:rFonts w:hint="default"/>
      </w:rPr>
    </w:lvl>
    <w:lvl w:ilvl="7" w:tentative="0">
      <w:start w:val="1"/>
      <w:numFmt w:val="decimal"/>
      <w:isLgl/>
      <w:lvlText w:val="%1.%2.%3.%4.%5.%6.%7.%8"/>
      <w:lvlJc w:val="left"/>
      <w:pPr>
        <w:tabs>
          <w:tab w:val="left" w:pos="420"/>
        </w:tabs>
        <w:ind w:left="420" w:hanging="420"/>
      </w:pPr>
      <w:rPr>
        <w:rFonts w:hint="default"/>
      </w:rPr>
    </w:lvl>
    <w:lvl w:ilvl="8" w:tentative="0">
      <w:start w:val="1"/>
      <w:numFmt w:val="decimal"/>
      <w:isLgl/>
      <w:lvlText w:val="%1.%2.%3.%4.%5.%6.%7.%8.%9"/>
      <w:lvlJc w:val="left"/>
      <w:pPr>
        <w:tabs>
          <w:tab w:val="left" w:pos="420"/>
        </w:tabs>
        <w:ind w:left="420" w:hanging="420"/>
      </w:pPr>
      <w:rPr>
        <w:rFonts w:hint="default"/>
      </w:rPr>
    </w:lvl>
  </w:abstractNum>
  <w:abstractNum w:abstractNumId="1">
    <w:nsid w:val="637675FA"/>
    <w:multiLevelType w:val="multilevel"/>
    <w:tmpl w:val="637675FA"/>
    <w:lvl w:ilvl="0" w:tentative="0">
      <w:start w:val="1"/>
      <w:numFmt w:val="decimal"/>
      <w:suff w:val="space"/>
      <w:lvlText w:val="第%1章 "/>
      <w:lvlJc w:val="left"/>
      <w:pPr>
        <w:ind w:left="0" w:firstLine="0"/>
      </w:pPr>
      <w:rPr>
        <w:rFonts w:hint="eastAsia"/>
      </w:rPr>
    </w:lvl>
    <w:lvl w:ilvl="1" w:tentative="0">
      <w:start w:val="1"/>
      <w:numFmt w:val="decimal"/>
      <w:suff w:val="space"/>
      <w:lvlText w:val="%1.%2 "/>
      <w:lvlJc w:val="left"/>
      <w:pPr>
        <w:ind w:left="0" w:firstLine="0"/>
      </w:pPr>
      <w:rPr>
        <w:rFonts w:hint="eastAsia"/>
      </w:rPr>
    </w:lvl>
    <w:lvl w:ilvl="2" w:tentative="0">
      <w:start w:val="1"/>
      <w:numFmt w:val="decimal"/>
      <w:suff w:val="space"/>
      <w:lvlText w:val="%1.%2.%3 "/>
      <w:lvlJc w:val="left"/>
      <w:pPr>
        <w:ind w:left="0" w:firstLine="0"/>
      </w:pPr>
      <w:rPr>
        <w:rFonts w:hint="eastAsia"/>
      </w:rPr>
    </w:lvl>
    <w:lvl w:ilvl="3" w:tentative="0">
      <w:start w:val="1"/>
      <w:numFmt w:val="decimal"/>
      <w:pStyle w:val="2"/>
      <w:suff w:val="space"/>
      <w:lvlText w:val="%1.%2.%3.%4 "/>
      <w:lvlJc w:val="left"/>
      <w:pPr>
        <w:ind w:left="0" w:firstLine="0"/>
      </w:pPr>
      <w:rPr>
        <w:rFonts w:hint="eastAsia"/>
      </w:rPr>
    </w:lvl>
    <w:lvl w:ilvl="4" w:tentative="0">
      <w:start w:val="1"/>
      <w:numFmt w:val="decimal"/>
      <w:suff w:val="space"/>
      <w:lvlText w:val="%1.%2.%3.%4.%5 "/>
      <w:lvlJc w:val="left"/>
      <w:pPr>
        <w:ind w:left="0" w:firstLine="0"/>
      </w:pPr>
      <w:rPr>
        <w:rFonts w:hint="eastAsia"/>
      </w:rPr>
    </w:lvl>
    <w:lvl w:ilvl="5" w:tentative="0">
      <w:start w:val="1"/>
      <w:numFmt w:val="decimal"/>
      <w:suff w:val="space"/>
      <w:lvlText w:val="%1.%2.%3.%4.%5.%6 "/>
      <w:lvlJc w:val="left"/>
      <w:pPr>
        <w:ind w:left="0" w:firstLine="0"/>
      </w:pPr>
      <w:rPr>
        <w:rFonts w:hint="eastAsia"/>
      </w:rPr>
    </w:lvl>
    <w:lvl w:ilvl="6" w:tentative="0">
      <w:start w:val="1"/>
      <w:numFmt w:val="decimal"/>
      <w:suff w:val="space"/>
      <w:lvlText w:val="%1.%2.%3.%4.%5.%6.%7 "/>
      <w:lvlJc w:val="left"/>
      <w:pPr>
        <w:ind w:left="0" w:firstLine="0"/>
      </w:pPr>
      <w:rPr>
        <w:rFonts w:hint="eastAsia"/>
      </w:rPr>
    </w:lvl>
    <w:lvl w:ilvl="7" w:tentative="0">
      <w:start w:val="1"/>
      <w:numFmt w:val="decimal"/>
      <w:suff w:val="space"/>
      <w:lvlText w:val="%1.%2.%3.%4.%5.%6.%7.%8 "/>
      <w:lvlJc w:val="left"/>
      <w:pPr>
        <w:ind w:left="0" w:firstLine="0"/>
      </w:pPr>
      <w:rPr>
        <w:rFonts w:hint="eastAsia"/>
      </w:rPr>
    </w:lvl>
    <w:lvl w:ilvl="8" w:tentative="0">
      <w:start w:val="1"/>
      <w:numFmt w:val="decimal"/>
      <w:suff w:val="space"/>
      <w:lvlText w:val="%1.%2.%3.%4.%5.%6.%7.%8.%9 "/>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4A496B"/>
    <w:rsid w:val="714A49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numPr>
        <w:ilvl w:val="3"/>
        <w:numId w:val="1"/>
      </w:numPr>
      <w:spacing w:before="120" w:after="120" w:line="240" w:lineRule="auto"/>
      <w:outlineLvl w:val="3"/>
    </w:pPr>
    <w:rPr>
      <w:rFonts w:ascii="宋体" w:hAnsi="宋体" w:eastAsia="宋体" w:cs="宋体"/>
      <w:b/>
      <w:bCs/>
      <w:sz w:val="28"/>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Body Text"/>
    <w:basedOn w:val="1"/>
    <w:next w:val="1"/>
    <w:qFormat/>
    <w:uiPriority w:val="99"/>
    <w:rPr>
      <w:color w:val="993300"/>
      <w:sz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合同条款2"/>
    <w:basedOn w:val="1"/>
    <w:qFormat/>
    <w:uiPriority w:val="0"/>
    <w:pPr>
      <w:numPr>
        <w:ilvl w:val="1"/>
        <w:numId w:val="2"/>
      </w:numPr>
      <w:tabs>
        <w:tab w:val="left" w:pos="1417"/>
      </w:tabs>
    </w:pPr>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2026-05-25T09:03:00Z</dcterms:created>
  <dc:creator>饣耳</dc:creator>
  <cp:lastModifiedBy>饣耳</cp:lastModifiedBy>
  <dcterms:modified xsi:type="dcterms:W3CDTF">2026-05-25T09:03:50Z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A7A57B7BD870488E8AEC69548E267D34_11</vt:lpwstr>
  </property>
  <property fmtid="{D5CDD505-2E9C-101B-9397-08002B2CF9AE}" pid="4" name="KSOTemplateDocerSaveRecord">
    <vt:lpwstr>eyJoZGlkIjoiOGMwYjdlOWMzODY1NzVmZmU0MDBhY2IzZDk2ZGI1NjAiLCJ1c2VySWQiOiI2MTQ1NzE3NTUifQ==</vt:lpwstr>
  </property>
</Properties>
</file>