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版本号：JZZB-【2026】-3720260703001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三校区消防控制室社会化服务项目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JZZB-【2026】-37</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三校区消防控制室社会化服务项目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三校区消防控制室社会化服务项目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西安石油大学2026年8月1日至2027年7月31日三校区教学区及家属区消防安全（消防控制室监控和消防设施初级维护）工作委托地方消防公司实行社会化管理的服务。 具体采购内容详见磋商文件中的采购内容及要求。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采购包1（雁塔、明德校区消防控制室社会化服务）：属于专门面向中小企业采购。</w:t>
      </w:r>
    </w:p>
    <w:p>
      <w:pPr>
        <w:pStyle w:val="null3"/>
      </w:pPr>
      <w:r>
        <w:rPr>
          <w:rFonts w:ascii="仿宋_GB2312" w:hAnsi="仿宋_GB2312" w:cs="仿宋_GB2312" w:eastAsia="仿宋_GB2312"/>
        </w:rPr>
        <w:t>采购包2（鄠邑校区消防控制室社会化服务）：属于专门面向中小企业采购。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法定代表人身份证明/授权委托书：法定代表人/负责人直接参加的，只须递交《法定代表人/负责人身份证明》；法定代表人/负责人授权代表参加的，须递交《法定代表人/负责人授权书》，并提供被授权人自2026年1月以来至少一个月在本公司的社会保障资金缴纳证明；并进行电子签章。</w:t>
      </w:r>
    </w:p>
    <w:p>
      <w:pPr>
        <w:pStyle w:val="null3"/>
      </w:pPr>
      <w:r>
        <w:rPr>
          <w:rFonts w:ascii="仿宋_GB2312" w:hAnsi="仿宋_GB2312" w:cs="仿宋_GB2312" w:eastAsia="仿宋_GB2312"/>
        </w:rPr>
        <w:t>3、税收缴纳证明：提供自2025年7月以来至少一个月的纳税证明或完税证明，纳税证明或完税证明上应有代收机构或税务机关的公章或业务专用章；其他组织和自然人提供自2025年7月以来至少一个月缴纳税收的凭据；依法免税的供应商应提供相关文件证明；并进行电子签章。</w:t>
      </w:r>
    </w:p>
    <w:p>
      <w:pPr>
        <w:pStyle w:val="null3"/>
      </w:pPr>
      <w:r>
        <w:rPr>
          <w:rFonts w:ascii="仿宋_GB2312" w:hAnsi="仿宋_GB2312" w:cs="仿宋_GB2312" w:eastAsia="仿宋_GB2312"/>
        </w:rPr>
        <w:t>4、社会保障资金缴纳证明：提供自2025年7月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财务审计报告或资信证明：提供会计师事务所出具的完整的2024年度或2025年度审计报告（成立时间至提交磋商响应文件截止时间不足一年的可提供成立后任意时段的资产负债表)，或开标前3个月内其开户银行出具的资信证明，或信用担保机构出具的投标担保函（以上三种形式的资料提供任何一种即可)；其他组织和自然人提供银行出具的资信证明或财务报表；并进行电子签章。</w:t>
      </w:r>
    </w:p>
    <w:p>
      <w:pPr>
        <w:pStyle w:val="null3"/>
      </w:pPr>
      <w:r>
        <w:rPr>
          <w:rFonts w:ascii="仿宋_GB2312" w:hAnsi="仿宋_GB2312" w:cs="仿宋_GB2312" w:eastAsia="仿宋_GB2312"/>
        </w:rPr>
        <w:t>6、无重大违法记录声明：供应商需提供《无重大违法记录声明》完成承诺；并进行电子签章。</w:t>
      </w:r>
    </w:p>
    <w:p>
      <w:pPr>
        <w:pStyle w:val="null3"/>
      </w:pPr>
      <w:r>
        <w:rPr>
          <w:rFonts w:ascii="仿宋_GB2312" w:hAnsi="仿宋_GB2312" w:cs="仿宋_GB2312" w:eastAsia="仿宋_GB2312"/>
        </w:rPr>
        <w:t>7、承诺函：供应商需提供《具有履行合同所必需的设备和专业技术能力的承诺书》完成承诺；并进行电子签章。</w:t>
      </w:r>
    </w:p>
    <w:p>
      <w:pPr>
        <w:pStyle w:val="null3"/>
      </w:pPr>
      <w:r>
        <w:rPr>
          <w:rFonts w:ascii="仿宋_GB2312" w:hAnsi="仿宋_GB2312" w:cs="仿宋_GB2312" w:eastAsia="仿宋_GB2312"/>
        </w:rPr>
        <w:t>8、企业资质：供应商须提供在“社会消防技术服务信息系统”网站上的备案截图并进行电子签章。</w:t>
      </w:r>
    </w:p>
    <w:p>
      <w:pPr>
        <w:pStyle w:val="null3"/>
      </w:pPr>
      <w:r>
        <w:rPr>
          <w:rFonts w:ascii="仿宋_GB2312" w:hAnsi="仿宋_GB2312" w:cs="仿宋_GB2312" w:eastAsia="仿宋_GB2312"/>
        </w:rPr>
        <w:t>9、拟派人员：供应商须提供拟派驻现场人员合格有效的执业资格证书进行电子签章。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法定代表人身份证明/授权委托书：法定代表人/负责人直接参加的，只须递交《法定代表人/负责人身份证明》；法定代表人/负责人授权代表参加的，须递交《法定代表人/负责人授权书》，并提供被授权人自2026年1月以来至少一个月在本公司的社会保障资金缴纳证明；并进行电子签章。</w:t>
      </w:r>
    </w:p>
    <w:p>
      <w:pPr>
        <w:pStyle w:val="null3"/>
      </w:pPr>
      <w:r>
        <w:rPr>
          <w:rFonts w:ascii="仿宋_GB2312" w:hAnsi="仿宋_GB2312" w:cs="仿宋_GB2312" w:eastAsia="仿宋_GB2312"/>
        </w:rPr>
        <w:t>3、税收缴纳证明：提供自2025年7月以来至少一个月的纳税证明或完税证明，纳税证明或完税证明上应有代收机构或税务机关的公章或业务专用章；其他组织和自然人提供自2025年7月以来至少一个月缴纳税收的凭据；依法免税的供应商应提供相关文件证明；并进行电子签章。</w:t>
      </w:r>
    </w:p>
    <w:p>
      <w:pPr>
        <w:pStyle w:val="null3"/>
      </w:pPr>
      <w:r>
        <w:rPr>
          <w:rFonts w:ascii="仿宋_GB2312" w:hAnsi="仿宋_GB2312" w:cs="仿宋_GB2312" w:eastAsia="仿宋_GB2312"/>
        </w:rPr>
        <w:t>4、社会保障资金缴纳证明：提供自2025年7月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财务审计报告或资信证明：提供会计师事务所出具的完整的2024年度或2025年度审计报告（成立时间至提交磋商响应文件截止时间不足一年的可提供成立后任意时段的资产负债表)，或开标前3个月内其开户银行出具的资信证明，或信用担保机构出具的投标担保函（以上三种形式的资料提供任何一种即可)；其他组织和自然人提供银行出具的资信证明或财务报表；并进行电子签章。</w:t>
      </w:r>
    </w:p>
    <w:p>
      <w:pPr>
        <w:pStyle w:val="null3"/>
      </w:pPr>
      <w:r>
        <w:rPr>
          <w:rFonts w:ascii="仿宋_GB2312" w:hAnsi="仿宋_GB2312" w:cs="仿宋_GB2312" w:eastAsia="仿宋_GB2312"/>
        </w:rPr>
        <w:t>6、无重大违法记录声明：供应商需提供《无重大违法记录声明》完成承诺；并进行电子签章。</w:t>
      </w:r>
    </w:p>
    <w:p>
      <w:pPr>
        <w:pStyle w:val="null3"/>
      </w:pPr>
      <w:r>
        <w:rPr>
          <w:rFonts w:ascii="仿宋_GB2312" w:hAnsi="仿宋_GB2312" w:cs="仿宋_GB2312" w:eastAsia="仿宋_GB2312"/>
        </w:rPr>
        <w:t>7、承诺函：供应商需提供《具有履行合同所必需的设备和专业技术能力的承诺书》完成承诺；并进行电子签章。</w:t>
      </w:r>
    </w:p>
    <w:p>
      <w:pPr>
        <w:pStyle w:val="null3"/>
      </w:pPr>
      <w:r>
        <w:rPr>
          <w:rFonts w:ascii="仿宋_GB2312" w:hAnsi="仿宋_GB2312" w:cs="仿宋_GB2312" w:eastAsia="仿宋_GB2312"/>
        </w:rPr>
        <w:t>8、企业资质：供应商须提供在“社会消防技术服务信息系统”网站上的备案截图并进行电子签章。</w:t>
      </w:r>
    </w:p>
    <w:p>
      <w:pPr>
        <w:pStyle w:val="null3"/>
      </w:pPr>
      <w:r>
        <w:rPr>
          <w:rFonts w:ascii="仿宋_GB2312" w:hAnsi="仿宋_GB2312" w:cs="仿宋_GB2312" w:eastAsia="仿宋_GB2312"/>
        </w:rPr>
        <w:t>9、拟派人员：供应商须提供拟派驻现场人员合格有效的执业资格证书进行电子签章。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 123 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高翠翠、张磊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15129916640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p>
          <w:p>
            <w:pPr>
              <w:pStyle w:val="null3"/>
            </w:pPr>
            <w:r>
              <w:rPr>
                <w:rFonts w:ascii="仿宋_GB2312" w:hAnsi="仿宋_GB2312" w:cs="仿宋_GB2312" w:eastAsia="仿宋_GB2312"/>
              </w:rPr>
              <w:t>采购包2：360,000.00元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开户名称：陕西金泽盛业项目管理有限公司</w:t>
            </w:r>
          </w:p>
          <w:p>
            <w:pPr>
              <w:pStyle w:val="null3"/>
            </w:pPr>
            <w:r>
              <w:rPr>
                <w:rFonts w:ascii="仿宋_GB2312" w:hAnsi="仿宋_GB2312" w:cs="仿宋_GB2312" w:eastAsia="仿宋_GB2312"/>
              </w:rPr>
              <w:t>开户银行：北京银行股份有限公司西安大明宫支行</w:t>
            </w:r>
          </w:p>
          <w:p>
            <w:pPr>
              <w:pStyle w:val="null3"/>
            </w:pPr>
            <w:r>
              <w:rPr>
                <w:rFonts w:ascii="仿宋_GB2312" w:hAnsi="仿宋_GB2312" w:cs="仿宋_GB2312" w:eastAsia="仿宋_GB2312"/>
              </w:rPr>
              <w:t>银行账号：200000 430482 000331 80933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合同签订前向采购人缴纳成交金额5%的履约保证金。如果合同期内乙方未发生不安全责任事故，甲方在合同履行结束后一个月全额无息退还给乙方。如因消防工作人员工作严重失职或处理不当导致甲方发生设备故障、火情等事故，给甲方造成重大损失，甲方可根据损失程度扣取乙方服务费总额5%—10%作为补偿金。如因消防工作人员工作严重失职或处理不当导致甲方发生火灾事故的，甲方依据相关法律法规追究乙方经济赔偿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合同签订前向采购人缴纳成交金额5%的履约保证金。如果合同期内乙方未发生不安全责任事故，甲方在合同履行结束后一个月全额无息退还给乙方。如因消防工作人员工作严重失职或处理不当导致甲方发生设备故障、火情等事故，给甲方造成重大损失，甲方可根据损失程度扣取乙方服务费总额5%—10%作为补偿金。如因消防工作人员工作严重失职或处理不当导致甲方发生火灾事故的，甲方依据相关法律法规追究乙方经济赔偿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采购包成交价为基数，按国家计委关于印发《招标代理服务收费管理暂行办法》的通知（计价格【2002】1980号）《国家发展改革委关于降低部分建设项目收费标准规范收费行为等有关问题的通知》（发改价格[2011]534号）规定的90%计取招标代理服务费。2、支付方式：成交供应商在领取通知书的同时，支付本项目代理服务费。 收款单位：陕西金泽盛业项目管理有限公司 开户行：北京银行股份有限公司西安大明宫支行 账号： 200000 430482 000331 80933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联系人：张磊</w:t>
      </w:r>
    </w:p>
    <w:p>
      <w:pPr>
        <w:pStyle w:val="null3"/>
      </w:pPr>
      <w:r>
        <w:rPr>
          <w:rFonts w:ascii="仿宋_GB2312" w:hAnsi="仿宋_GB2312" w:cs="仿宋_GB2312" w:eastAsia="仿宋_GB2312"/>
        </w:rPr>
        <w:t>联系电话：15129916640</w:t>
      </w:r>
    </w:p>
    <w:p>
      <w:pPr>
        <w:pStyle w:val="null3"/>
      </w:pPr>
      <w:r>
        <w:rPr>
          <w:rFonts w:ascii="仿宋_GB2312" w:hAnsi="仿宋_GB2312" w:cs="仿宋_GB2312" w:eastAsia="仿宋_GB2312"/>
        </w:rPr>
        <w:t>地址：西安市经济技术开发区凤城五路123号秦创原软科中心A座2001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西安石油大学2026年8月1日至2027年7月31日三校区教学区及家属区消防安全（消防控制室监控和消防设施初级维护）工作委托地方消防公司实行社会化管理的服务。 具体采购内容详见磋商文件中的采购内容及要求。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雁塔、明德校区消防控制室社会化服务项目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鄠邑校区消防控制室社会化服务项目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标的名称：雁塔、明德校区消防控制室社会化服务项目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服务要求：</w:t>
            </w:r>
          </w:p>
          <w:p>
            <w:pPr>
              <w:pStyle w:val="null3"/>
            </w:pPr>
            <w:r>
              <w:rPr>
                <w:rFonts w:ascii="仿宋_GB2312" w:hAnsi="仿宋_GB2312" w:cs="仿宋_GB2312" w:eastAsia="仿宋_GB2312"/>
                <w:sz w:val="21"/>
              </w:rPr>
              <w:t>1.总消防控制室需要配备工作人员进行24小时值班（消防控制室工作岗位为特种岗位，需持消防职业四级/中级技能职业资格证书）。</w:t>
            </w:r>
          </w:p>
          <w:p>
            <w:pPr>
              <w:pStyle w:val="null3"/>
            </w:pPr>
            <w:r>
              <w:rPr>
                <w:rFonts w:ascii="仿宋_GB2312" w:hAnsi="仿宋_GB2312" w:cs="仿宋_GB2312" w:eastAsia="仿宋_GB2312"/>
                <w:sz w:val="21"/>
              </w:rPr>
              <w:t>2.负责学校消防控制室日常数据监控、记录、巡查消防设施、处置各类消防故障突发事件、按规定规范处置校园火情以及火灾等突发事件。</w:t>
            </w:r>
          </w:p>
          <w:p>
            <w:pPr>
              <w:pStyle w:val="null3"/>
            </w:pPr>
            <w:r>
              <w:rPr>
                <w:rFonts w:ascii="仿宋_GB2312" w:hAnsi="仿宋_GB2312" w:cs="仿宋_GB2312" w:eastAsia="仿宋_GB2312"/>
                <w:sz w:val="21"/>
              </w:rPr>
              <w:t>3.每月对消防监控数据、消防设施巡查情况和当月消防安全情况进行书面评估，提出整改意见、整改方案，并加盖公司公章报学校保卫部（处）。</w:t>
            </w:r>
          </w:p>
          <w:p>
            <w:pPr>
              <w:pStyle w:val="null3"/>
            </w:pPr>
            <w:r>
              <w:rPr>
                <w:rFonts w:ascii="仿宋_GB2312" w:hAnsi="仿宋_GB2312" w:cs="仿宋_GB2312" w:eastAsia="仿宋_GB2312"/>
                <w:sz w:val="21"/>
              </w:rPr>
              <w:t>4.针对雁塔、明德校区所有消防系统提供初级维护保养服务，对火灾自动报警系统、自动喷淋系统、消火栓系统、水泵房系统、应急照明系统、灭火器、防火卷帘门、防火门等消防系统定期进行费用100元以下的初级维护保养。</w:t>
            </w:r>
          </w:p>
          <w:p>
            <w:pPr>
              <w:pStyle w:val="null3"/>
            </w:pPr>
            <w:r>
              <w:rPr>
                <w:rFonts w:ascii="仿宋_GB2312" w:hAnsi="仿宋_GB2312" w:cs="仿宋_GB2312" w:eastAsia="仿宋_GB2312"/>
                <w:sz w:val="21"/>
              </w:rPr>
              <w:t>5.对发现的消防安全隐患要及时进行书面汇报。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服务标准：</w:t>
            </w:r>
          </w:p>
          <w:p>
            <w:pPr>
              <w:pStyle w:val="null3"/>
            </w:pPr>
            <w:r>
              <w:rPr>
                <w:rFonts w:ascii="仿宋_GB2312" w:hAnsi="仿宋_GB2312" w:cs="仿宋_GB2312" w:eastAsia="仿宋_GB2312"/>
                <w:sz w:val="21"/>
              </w:rPr>
              <w:t>1.具有专业操作性强的消防工作服务质量保证措施、方法及突发事件的应急预案。</w:t>
            </w:r>
          </w:p>
          <w:p>
            <w:pPr>
              <w:pStyle w:val="null3"/>
            </w:pPr>
            <w:r>
              <w:rPr>
                <w:rFonts w:ascii="仿宋_GB2312" w:hAnsi="仿宋_GB2312" w:cs="仿宋_GB2312" w:eastAsia="仿宋_GB2312"/>
                <w:sz w:val="21"/>
              </w:rPr>
              <w:t>2.消防控制室工作岗位为特种岗位，所有工作人员需持应急管理部消防救援局颁发的消防职业四级/中级技能职业资格证书进行上岗。</w:t>
            </w:r>
          </w:p>
          <w:p>
            <w:pPr>
              <w:pStyle w:val="null3"/>
            </w:pPr>
            <w:r>
              <w:rPr>
                <w:rFonts w:ascii="仿宋_GB2312" w:hAnsi="仿宋_GB2312" w:cs="仿宋_GB2312" w:eastAsia="仿宋_GB2312"/>
                <w:sz w:val="21"/>
              </w:rPr>
              <w:t>3.消防控制室装备器械配备使用措施（如：日常消防巡查、测试、突必备设备）。</w:t>
            </w:r>
          </w:p>
          <w:tbl>
            <w:tblPr>
              <w:tblBorders>
                <w:top w:val="none" w:color="000000" w:sz="4"/>
                <w:left w:val="none" w:color="000000" w:sz="4"/>
                <w:bottom w:val="none" w:color="000000" w:sz="4"/>
                <w:right w:val="none" w:color="000000" w:sz="4"/>
                <w:insideH w:val="none"/>
                <w:insideV w:val="none"/>
              </w:tblBorders>
            </w:tblPr>
            <w:tblGrid>
              <w:gridCol w:w="744"/>
              <w:gridCol w:w="744"/>
              <w:gridCol w:w="192"/>
              <w:gridCol w:w="513"/>
              <w:gridCol w:w="359"/>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种类</w:t>
                  </w:r>
                </w:p>
              </w:tc>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配备数量</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型号</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备注</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服务期限： 2026年8月至2027年7月</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服务人员数量及组成：派驻专职管理人员对总消防控制室进行管理，学校指定工作人员进行工作对接，中标单位需向学校提交消防工作人员花名册，花名册应至少包括姓名、性别、年龄、文化程度、联系方式等内容，人员配置结构及年龄要求：政治和身体素质良好，要求品行端正，无违法犯罪记录，熟悉火灾报警控制系统、消防联动控制系统的操作，热爱本职工作，责任心强，年龄在18—45周岁。</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具体岗位及人员配置：</w:t>
            </w:r>
          </w:p>
          <w:tbl>
            <w:tblPr>
              <w:tblInd w:type="dxa" w:w="120"/>
              <w:tblBorders>
                <w:top w:val="none" w:color="000000" w:sz="4"/>
                <w:left w:val="none" w:color="000000" w:sz="4"/>
                <w:bottom w:val="none" w:color="000000" w:sz="4"/>
                <w:right w:val="none" w:color="000000" w:sz="4"/>
                <w:insideH w:val="none"/>
                <w:insideV w:val="none"/>
              </w:tblBorders>
            </w:tblPr>
            <w:tblGrid>
              <w:gridCol w:w="871"/>
              <w:gridCol w:w="892"/>
              <w:gridCol w:w="198"/>
              <w:gridCol w:w="198"/>
              <w:gridCol w:w="395"/>
            </w:tblGrid>
            <w:tr>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值班地点</w:t>
                  </w: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值班时间</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岗位数</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合计</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雁塔校区总消防控制室</w:t>
                  </w: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8:00—14:00</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2人</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6人</w:t>
                  </w:r>
                </w:p>
              </w:tc>
              <w:tc>
                <w:tcPr>
                  <w:tcW w:type="dxa" w:w="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1、总控制室工作人员值班期间禁止私自离岗。</w:t>
                  </w:r>
                </w:p>
                <w:p>
                  <w:pPr>
                    <w:pStyle w:val="null3"/>
                  </w:pPr>
                  <w:r>
                    <w:rPr>
                      <w:rFonts w:ascii="仿宋_GB2312" w:hAnsi="仿宋_GB2312" w:cs="仿宋_GB2312" w:eastAsia="仿宋_GB2312"/>
                      <w:sz w:val="21"/>
                    </w:rPr>
                    <w:t>2、当班消防巡查人员积极完成区域巡逻任务（明德校区消防巡查由雁塔校区控制室负责）。</w:t>
                  </w:r>
                </w:p>
                <w:p>
                  <w:pPr>
                    <w:pStyle w:val="null3"/>
                  </w:pPr>
                  <w:r>
                    <w:rPr>
                      <w:rFonts w:ascii="仿宋_GB2312" w:hAnsi="仿宋_GB2312" w:cs="仿宋_GB2312" w:eastAsia="仿宋_GB2312"/>
                      <w:sz w:val="21"/>
                    </w:rPr>
                    <w:t>3、利用学校周末或假期进行人员轮休安排。</w:t>
                  </w:r>
                </w:p>
              </w:tc>
            </w:tr>
            <w:tr>
              <w:tc>
                <w:tcPr>
                  <w:tcW w:type="dxa" w:w="871"/>
                  <w:vMerge/>
                  <w:tcBorders>
                    <w:top w:val="none" w:color="000000" w:sz="4"/>
                    <w:left w:val="single" w:color="000000" w:sz="4"/>
                    <w:bottom w:val="single" w:color="000000" w:sz="4"/>
                    <w:right w:val="single" w:color="000000" w:sz="4"/>
                  </w:tcBorders>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14:00—20:00</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2人</w:t>
                  </w:r>
                </w:p>
              </w:tc>
              <w:tc>
                <w:tcPr>
                  <w:tcW w:type="dxa" w:w="198"/>
                  <w:vMerge/>
                  <w:tcBorders>
                    <w:top w:val="none" w:color="000000" w:sz="4"/>
                    <w:left w:val="non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r>
            <w:tr>
              <w:tc>
                <w:tcPr>
                  <w:tcW w:type="dxa" w:w="871"/>
                  <w:vMerge/>
                  <w:tcBorders>
                    <w:top w:val="none" w:color="000000" w:sz="4"/>
                    <w:left w:val="single" w:color="000000" w:sz="4"/>
                    <w:bottom w:val="single" w:color="000000" w:sz="4"/>
                    <w:right w:val="single" w:color="000000" w:sz="4"/>
                  </w:tcBorders>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20:00—8:00</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2人</w:t>
                  </w:r>
                </w:p>
              </w:tc>
              <w:tc>
                <w:tcPr>
                  <w:tcW w:type="dxa" w:w="198"/>
                  <w:vMerge/>
                  <w:tcBorders>
                    <w:top w:val="none" w:color="000000" w:sz="4"/>
                    <w:left w:val="non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r>
            <w:tr>
              <w:tc>
                <w:tcPr>
                  <w:tcW w:type="dxa" w:w="8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明德校区总消防控制室</w:t>
                  </w: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8:00-16:00</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1人</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3人</w:t>
                  </w:r>
                </w:p>
              </w:tc>
              <w:tc>
                <w:tcPr>
                  <w:tcW w:type="dxa" w:w="395"/>
                  <w:vMerge/>
                  <w:tcBorders>
                    <w:top w:val="none" w:color="000000" w:sz="4"/>
                    <w:left w:val="single" w:color="000000" w:sz="4"/>
                    <w:bottom w:val="single" w:color="000000" w:sz="4"/>
                    <w:right w:val="single" w:color="000000" w:sz="4"/>
                  </w:tcBorders>
                </w:tcPr>
                <w:p/>
              </w:tc>
            </w:tr>
            <w:tr>
              <w:tc>
                <w:tcPr>
                  <w:tcW w:type="dxa" w:w="871"/>
                  <w:vMerge/>
                  <w:tcBorders>
                    <w:top w:val="none" w:color="000000" w:sz="4"/>
                    <w:left w:val="single" w:color="000000" w:sz="4"/>
                    <w:bottom w:val="single" w:color="000000" w:sz="4"/>
                    <w:right w:val="single" w:color="000000" w:sz="4"/>
                  </w:tcBorders>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16：00-24:00</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1人</w:t>
                  </w:r>
                </w:p>
              </w:tc>
              <w:tc>
                <w:tcPr>
                  <w:tcW w:type="dxa" w:w="198"/>
                  <w:vMerge/>
                  <w:tcBorders>
                    <w:top w:val="none" w:color="000000" w:sz="4"/>
                    <w:left w:val="non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r>
            <w:tr>
              <w:tc>
                <w:tcPr>
                  <w:tcW w:type="dxa" w:w="871"/>
                  <w:vMerge/>
                  <w:tcBorders>
                    <w:top w:val="none" w:color="000000" w:sz="4"/>
                    <w:left w:val="single" w:color="000000" w:sz="4"/>
                    <w:bottom w:val="single" w:color="000000" w:sz="4"/>
                    <w:right w:val="single" w:color="000000" w:sz="4"/>
                  </w:tcBorders>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0:00-8:00</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1人</w:t>
                  </w:r>
                </w:p>
              </w:tc>
              <w:tc>
                <w:tcPr>
                  <w:tcW w:type="dxa" w:w="198"/>
                  <w:vMerge/>
                  <w:tcBorders>
                    <w:top w:val="none" w:color="000000" w:sz="4"/>
                    <w:left w:val="none" w:color="000000" w:sz="4"/>
                    <w:bottom w:val="single" w:color="000000" w:sz="4"/>
                    <w:right w:val="single" w:color="000000" w:sz="4"/>
                  </w:tcBorders>
                </w:tcPr>
                <w:p/>
              </w:tc>
              <w:tc>
                <w:tcPr>
                  <w:tcW w:type="dxa" w:w="395"/>
                  <w:vMerge/>
                  <w:tcBorders>
                    <w:top w:val="none" w:color="000000" w:sz="4"/>
                    <w:left w:val="single" w:color="000000" w:sz="4"/>
                    <w:bottom w:val="single" w:color="000000" w:sz="4"/>
                    <w:right w:val="single" w:color="000000" w:sz="4"/>
                  </w:tcBorders>
                </w:tcPr>
                <w:p/>
              </w:tc>
            </w:tr>
            <w:tr>
              <w:tc>
                <w:tcPr>
                  <w:tcW w:type="dxa" w:w="196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总计</w:t>
                  </w:r>
                </w:p>
              </w:tc>
              <w:tc>
                <w:tcPr>
                  <w:tcW w:type="dxa" w:w="5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9人</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标的名称：鄠邑校区消防控制室社会化服务项目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服务要求：</w:t>
            </w:r>
          </w:p>
          <w:p>
            <w:pPr>
              <w:pStyle w:val="null3"/>
            </w:pPr>
            <w:r>
              <w:rPr>
                <w:rFonts w:ascii="仿宋_GB2312" w:hAnsi="仿宋_GB2312" w:cs="仿宋_GB2312" w:eastAsia="仿宋_GB2312"/>
                <w:sz w:val="21"/>
              </w:rPr>
              <w:t>1.总消防控制室需要配备工作人员进行24小时值班（消防控制室工作岗位为特种岗位，需持消防职业四级/中级技能职业资格证书）。</w:t>
            </w:r>
          </w:p>
          <w:p>
            <w:pPr>
              <w:pStyle w:val="null3"/>
            </w:pPr>
            <w:r>
              <w:rPr>
                <w:rFonts w:ascii="仿宋_GB2312" w:hAnsi="仿宋_GB2312" w:cs="仿宋_GB2312" w:eastAsia="仿宋_GB2312"/>
                <w:sz w:val="21"/>
              </w:rPr>
              <w:t>2.负责学校消防控制室日常数据监控、记录、巡查消防设施、处置各类消防故障突发事件、按规定规范处置校园火情以及火灾等突发事件。</w:t>
            </w:r>
          </w:p>
          <w:p>
            <w:pPr>
              <w:pStyle w:val="null3"/>
            </w:pPr>
            <w:r>
              <w:rPr>
                <w:rFonts w:ascii="仿宋_GB2312" w:hAnsi="仿宋_GB2312" w:cs="仿宋_GB2312" w:eastAsia="仿宋_GB2312"/>
                <w:sz w:val="21"/>
              </w:rPr>
              <w:t>3.每月对消防监控数据、消防设施巡查情况和当月消防安全情况进行书面评估，提出整改意见、整改方案，并加盖公司公章报学校保卫部（处）。</w:t>
            </w:r>
          </w:p>
          <w:p>
            <w:pPr>
              <w:pStyle w:val="null3"/>
            </w:pPr>
            <w:r>
              <w:rPr>
                <w:rFonts w:ascii="仿宋_GB2312" w:hAnsi="仿宋_GB2312" w:cs="仿宋_GB2312" w:eastAsia="仿宋_GB2312"/>
                <w:sz w:val="21"/>
              </w:rPr>
              <w:t>4.针对鄠邑校区所有消防系统提供初级维护保养服务，对火灾自动报警系统、自动喷淋系统、消火栓系统、水泵房系统、应急照明系统、灭火器、防火卷帘门、防火门等消防系统定期进行费用100元以下的初级维护保养。</w:t>
            </w:r>
          </w:p>
          <w:p>
            <w:pPr>
              <w:pStyle w:val="null3"/>
            </w:pPr>
            <w:r>
              <w:rPr>
                <w:rFonts w:ascii="仿宋_GB2312" w:hAnsi="仿宋_GB2312" w:cs="仿宋_GB2312" w:eastAsia="仿宋_GB2312"/>
                <w:sz w:val="21"/>
              </w:rPr>
              <w:t>5.对发现的消防安全隐患要及时进行书面汇报。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服务标准：</w:t>
            </w:r>
          </w:p>
          <w:p>
            <w:pPr>
              <w:pStyle w:val="null3"/>
            </w:pPr>
            <w:r>
              <w:rPr>
                <w:rFonts w:ascii="仿宋_GB2312" w:hAnsi="仿宋_GB2312" w:cs="仿宋_GB2312" w:eastAsia="仿宋_GB2312"/>
                <w:sz w:val="21"/>
              </w:rPr>
              <w:t>1.具有专业操作性强的消防工作服务质量保证措施、方法及突发事件的应急预案。</w:t>
            </w:r>
          </w:p>
          <w:p>
            <w:pPr>
              <w:pStyle w:val="null3"/>
            </w:pPr>
            <w:r>
              <w:rPr>
                <w:rFonts w:ascii="仿宋_GB2312" w:hAnsi="仿宋_GB2312" w:cs="仿宋_GB2312" w:eastAsia="仿宋_GB2312"/>
                <w:sz w:val="21"/>
              </w:rPr>
              <w:t>2.消防控制室工作岗位为特种岗位，所有工作人员需持应急管理部消防救援局颁发的消防职业四级/中级技能职业资格证书进行上岗。</w:t>
            </w:r>
          </w:p>
          <w:p>
            <w:pPr>
              <w:pStyle w:val="null3"/>
            </w:pPr>
            <w:r>
              <w:rPr>
                <w:rFonts w:ascii="仿宋_GB2312" w:hAnsi="仿宋_GB2312" w:cs="仿宋_GB2312" w:eastAsia="仿宋_GB2312"/>
                <w:sz w:val="21"/>
              </w:rPr>
              <w:t>3.消防控制室装备器械配备使用措施（如：日常消防巡查、测试、突必备设备）。</w:t>
            </w:r>
          </w:p>
          <w:tbl>
            <w:tblPr>
              <w:tblBorders>
                <w:top w:val="none" w:color="000000" w:sz="4"/>
                <w:left w:val="none" w:color="000000" w:sz="4"/>
                <w:bottom w:val="none" w:color="000000" w:sz="4"/>
                <w:right w:val="none" w:color="000000" w:sz="4"/>
                <w:insideH w:val="none"/>
                <w:insideV w:val="none"/>
              </w:tblBorders>
            </w:tblPr>
            <w:tblGrid>
              <w:gridCol w:w="744"/>
              <w:gridCol w:w="744"/>
              <w:gridCol w:w="192"/>
              <w:gridCol w:w="513"/>
              <w:gridCol w:w="359"/>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种类</w:t>
                  </w:r>
                </w:p>
              </w:tc>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配备数量</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型号</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备注</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服务期限： 2026年8月至2027年7月</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服务人员数量及组成：派驻专职管理人员对总消防控制室进行管理，学校指定工作人员进行工作对接，中标单位需向学校提交消防工作人员花名册，花名册应至少包括姓名、性别、年龄、文化程度、联系方式等内容，人员配置结构及年龄要求：政治和身体素质良好，要求品行端正，无违法犯罪记录，熟悉火灾报警控制系统、消防联动控制系统的操作，热爱本职工作，责任心强，年龄在18—45周岁。</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具体岗位及人员配置：</w:t>
            </w:r>
          </w:p>
          <w:tbl>
            <w:tblPr>
              <w:tblInd w:type="dxa" w:w="120"/>
              <w:tblBorders>
                <w:top w:val="none" w:color="000000" w:sz="4"/>
                <w:left w:val="none" w:color="000000" w:sz="4"/>
                <w:bottom w:val="none" w:color="000000" w:sz="4"/>
                <w:right w:val="none" w:color="000000" w:sz="4"/>
                <w:insideH w:val="none"/>
                <w:insideV w:val="none"/>
              </w:tblBorders>
            </w:tblPr>
            <w:tblGrid>
              <w:gridCol w:w="658"/>
              <w:gridCol w:w="745"/>
              <w:gridCol w:w="293"/>
              <w:gridCol w:w="222"/>
              <w:gridCol w:w="634"/>
            </w:tblGrid>
            <w:tr>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值班地点</w:t>
                  </w:r>
                </w:p>
              </w:tc>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值班时间</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岗位数</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合计</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鄠邑校区总消防控制室</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8:00—14:00</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2人</w:t>
                  </w:r>
                </w:p>
              </w:tc>
              <w:tc>
                <w:tcPr>
                  <w:tcW w:type="dxa" w:w="2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6人</w:t>
                  </w:r>
                </w:p>
              </w:tc>
              <w:tc>
                <w:tcPr>
                  <w:tcW w:type="dxa" w:w="6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1、总控制室工作人员值班期间禁止私自离岗。</w:t>
                  </w:r>
                </w:p>
                <w:p>
                  <w:pPr>
                    <w:pStyle w:val="null3"/>
                  </w:pPr>
                  <w:r>
                    <w:rPr>
                      <w:rFonts w:ascii="仿宋_GB2312" w:hAnsi="仿宋_GB2312" w:cs="仿宋_GB2312" w:eastAsia="仿宋_GB2312"/>
                      <w:sz w:val="21"/>
                    </w:rPr>
                    <w:t>2、当班消防巡查人员积极完成区域巡逻任务。</w:t>
                  </w:r>
                </w:p>
                <w:p>
                  <w:pPr>
                    <w:pStyle w:val="null3"/>
                  </w:pPr>
                  <w:r>
                    <w:rPr>
                      <w:rFonts w:ascii="仿宋_GB2312" w:hAnsi="仿宋_GB2312" w:cs="仿宋_GB2312" w:eastAsia="仿宋_GB2312"/>
                      <w:sz w:val="21"/>
                    </w:rPr>
                    <w:t>3、利用学校周末或假期进行人员轮休安排。</w:t>
                  </w:r>
                </w:p>
              </w:tc>
            </w:tr>
            <w:tr>
              <w:tc>
                <w:tcPr>
                  <w:tcW w:type="dxa" w:w="658"/>
                  <w:vMerge/>
                  <w:tcBorders>
                    <w:top w:val="none" w:color="000000" w:sz="4"/>
                    <w:left w:val="single" w:color="000000" w:sz="4"/>
                    <w:bottom w:val="single" w:color="000000" w:sz="4"/>
                    <w:right w:val="single" w:color="000000" w:sz="4"/>
                  </w:tcBorders>
                </w:tcP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14:00—20:00</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2人</w:t>
                  </w:r>
                </w:p>
              </w:tc>
              <w:tc>
                <w:tcPr>
                  <w:tcW w:type="dxa" w:w="222"/>
                  <w:vMerge/>
                  <w:tcBorders>
                    <w:top w:val="none" w:color="000000" w:sz="4"/>
                    <w:left w:val="none" w:color="000000" w:sz="4"/>
                    <w:bottom w:val="single" w:color="000000" w:sz="4"/>
                    <w:right w:val="single" w:color="000000" w:sz="4"/>
                  </w:tcBorders>
                </w:tcPr>
                <w:p/>
              </w:tc>
              <w:tc>
                <w:tcPr>
                  <w:tcW w:type="dxa" w:w="634"/>
                  <w:vMerge/>
                  <w:tcBorders>
                    <w:top w:val="none" w:color="000000" w:sz="4"/>
                    <w:left w:val="single" w:color="000000" w:sz="4"/>
                    <w:bottom w:val="single" w:color="000000" w:sz="4"/>
                    <w:right w:val="single" w:color="000000" w:sz="4"/>
                  </w:tcBorders>
                </w:tcPr>
                <w:p/>
              </w:tc>
            </w:tr>
            <w:tr>
              <w:tc>
                <w:tcPr>
                  <w:tcW w:type="dxa" w:w="658"/>
                  <w:vMerge/>
                  <w:tcBorders>
                    <w:top w:val="none" w:color="000000" w:sz="4"/>
                    <w:left w:val="single" w:color="000000" w:sz="4"/>
                    <w:bottom w:val="single" w:color="000000" w:sz="4"/>
                    <w:right w:val="single" w:color="000000" w:sz="4"/>
                  </w:tcBorders>
                </w:tcP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20:00—8:00</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2人</w:t>
                  </w:r>
                </w:p>
              </w:tc>
              <w:tc>
                <w:tcPr>
                  <w:tcW w:type="dxa" w:w="222"/>
                  <w:vMerge/>
                  <w:tcBorders>
                    <w:top w:val="none" w:color="000000" w:sz="4"/>
                    <w:left w:val="none" w:color="000000" w:sz="4"/>
                    <w:bottom w:val="single" w:color="000000" w:sz="4"/>
                    <w:right w:val="single" w:color="000000" w:sz="4"/>
                  </w:tcBorders>
                </w:tcPr>
                <w:p/>
              </w:tc>
              <w:tc>
                <w:tcPr>
                  <w:tcW w:type="dxa" w:w="634"/>
                  <w:vMerge/>
                  <w:tcBorders>
                    <w:top w:val="none" w:color="000000" w:sz="4"/>
                    <w:left w:val="single" w:color="000000" w:sz="4"/>
                    <w:bottom w:val="single" w:color="000000" w:sz="4"/>
                    <w:right w:val="single" w:color="000000" w:sz="4"/>
                  </w:tcBorders>
                </w:tcPr>
                <w:p/>
              </w:tc>
            </w:tr>
            <w:tr>
              <w:tc>
                <w:tcPr>
                  <w:tcW w:type="dxa" w:w="169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总计</w:t>
                  </w:r>
                </w:p>
              </w:tc>
              <w:tc>
                <w:tcPr>
                  <w:tcW w:type="dxa" w:w="8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6人</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2026年8月至2027年7月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2026年8月至2027年7月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学校派专职人员每日对乙方出勤人员进行清点考勤，考勤内容包括人数、工时、合同任务完成情况等，根据考勤情况于每月15号前以转账结算方式向乙方支付上个月服务费（遇学校寒假、暑假延期至开学）。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学校派专职人员每日对乙方出勤人员进行清点考勤，考勤内容包括人数、工时、合同任务完成情况等，根据考勤情况于每月15号前以转账结算方式向乙方支付上个月服务费（遇学校寒假、暑假延期至开学）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进度款，成交供应商在每月10号前向采购人提供关于上个月服务费的合法有效的发票，达到付款条件起5个工作日内，支付合同总金额的8.37%</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进度款，成交供应商在每月10号前向采购人提供关于上个月服务费的合法有效的发票，达到付款条件起5个工作日内，支付合同总金额的8.33%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进度款，成交供应商在每月10号前向采购人提供关于上个月服务费的合法有效的发票，达到付款条件起5个工作日内，支付合同总金额的8.37%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1、甲乙双方如因为其他原因要解除合约，应提前一个月通知对方，如有一方违反将补偿对方一个月服务费。 2、乙方不认真履行合同条款或因其它理由突然终止合同，视为乙方单方违约，甲方即废除同乙方合同，并没收乙方履约质量保证金。 3、甲方无正当理由拒付乙方服务费或拖欠服务费一个月以上时，乙方有权单方解除合同并撤回派消防工作人员。 4、乙方消防工作人员在工作中因故意或疏忽而出现的责任事故，因乙方原因造成他人人身伤害、财产损失及严重损害甲方声誉的，由乙方承担所有赔偿责任且甲方有权单方面解除本合同。 5、乙方或消防工作人员违反合同所约定之义务，影响合同约定区域的安全或导致甲方其他方面损害，经甲方三次警告或仍无整改，甲方有权单方面终止合同，而无须承担任何责任。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次采购、投标报价、评审和合同授予均以采购包为单位，响应供应商必须就一个完整的采购包进行响应。允许一家供应商同时报名参加多个采购包，但不允许同一家响应供应商同时中标本项目多个采购包，中标优先顺序为：采购包1＞采购包2。本项目严禁中标后另行转包或者分包。 （2）根据《财政部关于推进和完善服务项目政府采购有关问题的通知》（财库〔2014〕37号）有关规定，本项目在合同期满前，采购人将对成交供应商进行考核，根据服务满意程度等要求，采购人有权决定是否续签合同，累计合同履行期限不超过3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完整的2024年度或2025年度审计报告（成立时间至提交磋商响应文件截止时间不足一年的可提供成立后任意时段的资产负债表)，或开标前3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完整的2024年度或2025年度审计报告（成立时间至提交磋商响应文件截止时间不足一年的可提供成立后任意时段的资产负债表)，或开标前3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自2026年1月以来至少一个月在本公司的社会保障资金缴纳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7月以来至少一个月的纳税证明或完税证明，纳税证明或完税证明上应有代收机构或税务机关的公章或业务专用章；其他组织和自然人提供自2025年7月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2025年7月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会计师事务所出具的完整的2024年度或2025年度审计报告（成立时间至提交磋商响应文件截止时间不足一年的可提供成立后任意时段的资产负债表)，或开标前3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供应商需提供《无重大违法记录声明》完成承诺；并进行电子签章。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供应商需提供《具有履行合同所必需的设备和专业技术能力的承诺书》完成承诺；并进行电子签章。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供应商须提供在“社会消防技术服务信息系统”网站上的备案截图并进行电子签章。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拟派人员</w:t>
            </w:r>
          </w:p>
        </w:tc>
        <w:tc>
          <w:tcPr>
            <w:tcW w:type="dxa" w:w="3322"/>
          </w:tcPr>
          <w:p>
            <w:pPr>
              <w:pStyle w:val="null3"/>
            </w:pPr>
            <w:r>
              <w:rPr>
                <w:rFonts w:ascii="仿宋_GB2312" w:hAnsi="仿宋_GB2312" w:cs="仿宋_GB2312" w:eastAsia="仿宋_GB2312"/>
              </w:rPr>
              <w:t>供应商须提供拟派驻现场人员合格有效的执业资格证书进行电子签章。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自2026年1月以来至少一个月在本公司的社会保障资金缴纳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7月以来至少一个月的纳税证明或完税证明，纳税证明或完税证明上应有代收机构或税务机关的公章或业务专用章；其他组织和自然人提供自2025年7月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2025年7月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会计师事务所出具的完整的2024年度或2025年度审计报告（成立时间至提交磋商响应文件截止时间不足一年的可提供成立后任意时段的资产负债表)，或开标前3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供应商需提供《无重大违法记录声明》完成承诺；并进行电子签章。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供应商需提供《具有履行合同所必需的设备和专业技术能力的承诺书》完成承诺；并进行电子签章。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供应商须提供在“社会消防技术服务信息系统”网站上的备案截图并进行电子签章。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拟派人员</w:t>
            </w:r>
          </w:p>
        </w:tc>
        <w:tc>
          <w:tcPr>
            <w:tcW w:type="dxa" w:w="3322"/>
          </w:tcPr>
          <w:p>
            <w:pPr>
              <w:pStyle w:val="null3"/>
            </w:pPr>
            <w:r>
              <w:rPr>
                <w:rFonts w:ascii="仿宋_GB2312" w:hAnsi="仿宋_GB2312" w:cs="仿宋_GB2312" w:eastAsia="仿宋_GB2312"/>
              </w:rPr>
              <w:t>供应商须提供拟派驻现场人员合格有效的执业资格证书进行电子签章。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响应文件封面 服务要求及商务要求偏离表 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服务要求及商务要求偏离表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对响应文件响应程度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满足磋商文件中要求的服务期、服务地点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应满足响应文件中的规定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磋商保证金</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响应文件封面 服务要求及商务要求偏离表 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服务要求及商务要求偏离表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对响应文件响应程度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满足磋商文件中要求的服务期、服务地点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应满足响应文件中的规定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磋商保证金</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供应商针对本项目提供项目服务整体方案等进行评分，方案包括但不限于：①项目的理解及工作思路；②任务目标；③作业依据；④执勤作业流程等； 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12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安全防范管理制度</w:t>
            </w:r>
          </w:p>
        </w:tc>
        <w:tc>
          <w:tcPr>
            <w:tcW w:type="dxa" w:w="2492"/>
          </w:tcPr>
          <w:p>
            <w:pPr>
              <w:pStyle w:val="null3"/>
            </w:pPr>
            <w:r>
              <w:rPr>
                <w:rFonts w:ascii="仿宋_GB2312" w:hAnsi="仿宋_GB2312" w:cs="仿宋_GB2312" w:eastAsia="仿宋_GB2312"/>
              </w:rPr>
              <w:t>供应商针对本项目提供安全防范管理制度，包括但不限于：①值班巡逻；②重点位置；③维护保养；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9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方案，方案包括但不限于：①资产保护；②特殊事故（情况）③治安、消防、大型活动等；评审标准：①完善性：方案必须全面，对评审内容中的各项要求有详细阐述；②可实施性：切合本项目实际情况，提出步骤清晰、合理的方案；③针对性：方案能够紧扣项目实际情况，内容科学合理。 上述3项评审内容全部满足评审标准得9分，每有一个评审内容缺项扣3分，每项评审内容如存在缺陷，每个缺陷扣1分，扣完为止。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供应商针对本项目提供专业的人员培训方案，包括但不限于：①培训计划及方式；②培训目标、考核方式及目标等； 内容完整详细、工作制度科学合理；评审标准：①完善性：方案必须全面，对评审内容中的各项要求有详细阐述；②可实施性：切合本项目实际情况，提出步骤清晰、合理的方案；③针对性：方案能够紧扣项目实际情况，内容科学合理。 上述2项评审内容全部满足评审标准得5分，每有一个评审内容缺项扣2.5分，每项评审内容如存在缺陷，每个缺陷扣0.5分，扣完为止。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供应商针对本项目提供相应的服务承诺方案，包括但不限于：①针对本项目承诺并接受和采纳招标人对管理服务的监督、批评和建议；②针对本项目承诺人员稳定性，，确保服务工作的正常进行； 评审标准：①完整性：方案必须全面，对评审内容中的各项要求有详细阐述；②可实施性：切合本项目实际情况，提出步骤清晰、合理的方案；③针对性：方案能够紧扣项目实际情况，内容科学合理。上述2项评审内容全部满足评审标准得5分，每有一个评审内容缺项扣2.5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1.消防控制室负责人具有3年消防管理经验的计 3 分；每增加一年管理经验增加 1 分，最多增加 2 分，满分 5 分。 注：需提供相关工作证明文件或被服务单位加盖公章的证明材料，未提供不计分。 2. 消防控制室负责人具有退伍复转军人证书或退役军人优待证的计 3 分。 注：需提供有效的证书复印件加盖公章，未提供不计分。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配件储备及工具设备</w:t>
            </w:r>
          </w:p>
        </w:tc>
        <w:tc>
          <w:tcPr>
            <w:tcW w:type="dxa" w:w="2492"/>
          </w:tcPr>
          <w:p>
            <w:pPr>
              <w:pStyle w:val="null3"/>
            </w:pPr>
            <w:r>
              <w:rPr>
                <w:rFonts w:ascii="仿宋_GB2312" w:hAnsi="仿宋_GB2312" w:cs="仿宋_GB2312" w:eastAsia="仿宋_GB2312"/>
              </w:rPr>
              <w:t>1. 常用配件储备（8分）：提供烟感、温感、应急灯、水带、喷头、闭门器的储备清单（每种不少于 20 件），有明确的品牌规格，得6分；承诺所有更换配件为原厂正品并提供合格证，得 2 分； 2. 专业维保工具（4 分）：配备消火栓压力测试仪、末端试水装置、感烟探测器试验器等必备工具，提供购买证明 / 自有证明，得 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供应商近三年（2023年07月01日起至首次磋商响应文件提交截止时间）具有类似业绩，每具有1项上述业绩得2分，最高得10分； 注：业绩证明文件以合同复印件加盖单位公章为准。业绩所属期限以合同签订日期为准。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供应商针对本项目提供项目服务整体方案等进行评分，方案包括但不限于：①项目的理解及工作思路；②任务目标；③作业依据；④执勤作业流程等； 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12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安全防范管理制度</w:t>
            </w:r>
          </w:p>
        </w:tc>
        <w:tc>
          <w:tcPr>
            <w:tcW w:type="dxa" w:w="2492"/>
          </w:tcPr>
          <w:p>
            <w:pPr>
              <w:pStyle w:val="null3"/>
            </w:pPr>
            <w:r>
              <w:rPr>
                <w:rFonts w:ascii="仿宋_GB2312" w:hAnsi="仿宋_GB2312" w:cs="仿宋_GB2312" w:eastAsia="仿宋_GB2312"/>
              </w:rPr>
              <w:t>供应商针对本项目提供安全防范管理制度，包括但不限于：①值班巡逻；②重点位置；③维护保养；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9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方案，方案包括但不限于：①资产保护；②特殊事故（情况）③治安、消防、大型活动等；评审标准：①完善性：方案必须全面，对评审内容中的各项要求有详细阐述；②可实施性：切合本项目实际情况，提出步骤清晰、合理的方案；③针对性：方案能够紧扣项目实际情况，内容科学合理。 上述3项评审内容全部满足评审标准得9分，每有一个评审内容缺项扣3分，每项评审内容如存在缺陷，每个缺陷扣1分，扣完为止。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供应商针对本项目提供专业的人员培训方案，包括但不限于：①培训计划及方式；②培训目标、考核方式及目标等； 内容完整详细、工作制度科学合理；评审标准：①完善性：方案必须全面，对评审内容中的各项要求有详细阐述；②可实施性：切合本项目实际情况，提出步骤清晰、合理的方案；③针对性：方案能够紧扣项目实际情况，内容科学合理。 上述2项评审内容全部满足评审标准得5分，每有一个评审内容缺项扣2.5分，每项评审内容如存在缺陷，每个缺陷扣0.5分，扣完为止。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供应商针对本项目提供相应的服务承诺方案，包括但不限于：①针对本项目承诺并接受和采纳招标人对管理服务的监督、批评和建议；②针对本项目承诺人员稳定性，，确保服务工作的正常进行； 评审标准：①完整性：方案必须全面，对评审内容中的各项要求有详细阐述；②可实施性：切合本项目实际情况，提出步骤清晰、合理的方案；③针对性：方案能够紧扣项目实际情况，内容科学合理。上述2项评审内容全部满足评审标准得5分，每有一个评审内容缺项扣2.5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1.消防控制室负责人具有3年消防管理经验的计 3 分；每增加一年管理经验增加 1 分，最多增加 2 分，满分 5 分。 注：需提供相关工作证明文件或被服务单位加盖公章的证明材料，未提供不计分。 2. 消防控制室负责人具有退伍复转军人证书或退役军人优待证的计 3 分。 注：需提供有效的证书复印件加盖公章，未提供不计分。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配件储备及工具设备</w:t>
            </w:r>
          </w:p>
        </w:tc>
        <w:tc>
          <w:tcPr>
            <w:tcW w:type="dxa" w:w="2492"/>
          </w:tcPr>
          <w:p>
            <w:pPr>
              <w:pStyle w:val="null3"/>
            </w:pPr>
            <w:r>
              <w:rPr>
                <w:rFonts w:ascii="仿宋_GB2312" w:hAnsi="仿宋_GB2312" w:cs="仿宋_GB2312" w:eastAsia="仿宋_GB2312"/>
              </w:rPr>
              <w:t>1. 常用配件储备（8分）：提供烟感、温感、应急灯、水带、喷头、闭门器的储备清单（每种不少于 20 件），有明确的品牌规格，得6分；承诺所有更换配件为原厂正品并提供合格证，得 2 分； 2. 专业维保工具（4 分）：配备消火栓压力测试仪、末端试水装置、感烟探测器试验器等必备工具，提供购买证明 / 自有证明，得 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供应商近三年（2023年07月01日起至首次磋商响应文件提交截止时间）具有类似业绩，每具有1项上述业绩得2分，最高得10分； 注：业绩证明文件以合同复印件加盖单位公章为准。业绩所属期限以合同签订日期为准。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详见附件：服务要求及商务要求偏离表</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详见附件：服务要求及商务要求偏离表</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